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5"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0"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44"/>
              <w:spacing w:after="0"/>
              <w:rPr>
                <w:sz w:val="20"/>
                <w:szCs w:val="20"/>
                <w:color w:val="auto"/>
              </w:rPr>
            </w:pPr>
            <w:r>
              <w:rPr>
                <w:rFonts w:ascii="Times New Roman" w:cs="Times New Roman" w:eastAsia="Times New Roman" w:hAnsi="Times New Roman"/>
                <w:sz w:val="14"/>
                <w:szCs w:val="14"/>
                <w:i w:val="1"/>
                <w:iCs w:val="1"/>
                <w:color w:val="auto"/>
              </w:rPr>
              <w:t>State of</w:t>
            </w:r>
          </w:p>
        </w:tc>
        <w:tc>
          <w:tcPr>
            <w:tcW w:w="29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5"/>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960" w:type="dxa"/>
            <w:vAlign w:val="bottom"/>
            <w:tcBorders>
              <w:bottom w:val="single" w:sz="8" w:color="auto"/>
            </w:tcBorders>
            <w:gridSpan w:val="2"/>
          </w:tcPr>
          <w:p>
            <w:pPr>
              <w:jc w:val="center"/>
              <w:ind w:left="462"/>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9"/>
        </w:trPr>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6"/>
                <w:szCs w:val="16"/>
                <w:color w:val="auto"/>
              </w:rPr>
              <w:t>001-37976</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Delaware</w:t>
            </w:r>
          </w:p>
        </w:tc>
        <w:tc>
          <w:tcPr>
            <w:tcW w:w="294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rPr>
              <w:t>81-3881866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1-7850</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California</w:t>
            </w:r>
          </w:p>
        </w:tc>
        <w:tc>
          <w:tcPr>
            <w:tcW w:w="294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20" w:type="dxa"/>
            <w:vAlign w:val="bottom"/>
          </w:tcPr>
          <w:p>
            <w:pPr>
              <w:spacing w:after="0"/>
              <w:rPr>
                <w:sz w:val="17"/>
                <w:szCs w:val="17"/>
                <w:color w:val="auto"/>
              </w:rPr>
            </w:pPr>
          </w:p>
        </w:tc>
        <w:tc>
          <w:tcPr>
            <w:tcW w:w="5060" w:type="dxa"/>
            <w:vAlign w:val="bottom"/>
            <w:tcBorders>
              <w:top w:val="single" w:sz="8" w:color="auto"/>
            </w:tcBorders>
            <w:gridSpan w:val="3"/>
          </w:tcPr>
          <w:p>
            <w:pPr>
              <w:jc w:val="center"/>
              <w:ind w:left="545"/>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762"/>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00"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96"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3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5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53"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Corporation:</w:t>
            </w: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52"/>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6"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Times New Roman" w:cs="Times New Roman" w:eastAsia="Times New Roman" w:hAnsi="Times New Roman"/>
          <w:sz w:val="16"/>
          <w:szCs w:val="16"/>
          <w:color w:val="auto"/>
        </w:rPr>
        <w:t>Indicate by check mark whether each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color w:val="auto"/>
        </w:rPr>
        <w:t>Southwest Gas Holdings, Inc. Common Stock, $1 Par Value, 71,743,666 shares as of October 25, 2024.</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All of the outstanding shares of common stock ($1 par value) of Southwest Gas Corporation were held by Southwest Gas Holdings, Inc. as of October 25, 2024.</w:t>
      </w:r>
    </w:p>
    <w:p>
      <w:pPr>
        <w:spacing w:after="0" w:line="118"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consolidated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 except par value)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September 30, 2024</w:t>
            </w:r>
          </w:p>
        </w:tc>
        <w:tc>
          <w:tcPr>
            <w:tcW w:w="16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19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10,652,224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10,140,362</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(2,822,669)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200,549</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7,958,164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7,518,242</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1,193,062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1,266,340</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886,549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552,885</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218,832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1,455,396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1,881,114</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789,729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477,900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414,008</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1,268,328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1,204,200</w:t>
            </w:r>
          </w:p>
        </w:tc>
        <w:tc>
          <w:tcPr>
            <w:tcW w:w="0" w:type="dxa"/>
            <w:vAlign w:val="bottom"/>
          </w:tcPr>
          <w:p>
            <w:pPr>
              <w:spacing w:after="0"/>
              <w:rPr>
                <w:sz w:val="1"/>
                <w:szCs w:val="1"/>
                <w:color w:val="auto"/>
              </w:rPr>
            </w:pP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11,874,950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11,869,896</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$1 par (authorized - 120,000,000 shares;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- 71,740,332 and 71,563,750 shares)</w:t>
            </w:r>
          </w:p>
        </w:tc>
        <w:tc>
          <w:tcPr>
            <w:tcW w:w="16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2,714,958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710,940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stockholders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3,455,393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104,667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4,382,146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4,609,838</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8,022,102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8,024,541</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628,500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346,907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58,053</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422,245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522,953</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1,702,742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1,684,847</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790,825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752,997</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458,000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894,281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949,511</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2,150,106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2,160,508</w:t>
            </w:r>
          </w:p>
        </w:tc>
        <w:tc>
          <w:tcPr>
            <w:tcW w:w="0" w:type="dxa"/>
            <w:vAlign w:val="bottom"/>
          </w:tcPr>
          <w:p>
            <w:pPr>
              <w:spacing w:after="0"/>
              <w:rPr>
                <w:sz w:val="1"/>
                <w:szCs w:val="1"/>
                <w:color w:val="auto"/>
              </w:rPr>
            </w:pPr>
          </w:p>
        </w:tc>
      </w:tr>
      <w:tr>
        <w:trPr>
          <w:trHeight w:val="23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11,874,950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11,869,896</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200"/>
          </w:cols>
          <w:pgMar w:left="320" w:top="257" w:right="37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7" w:right="3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2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60" w:type="dxa"/>
            <w:vAlign w:val="bottom"/>
            <w:gridSpan w:val="2"/>
          </w:tcPr>
          <w:p>
            <w:pPr>
              <w:jc w:val="center"/>
              <w:ind w:left="455"/>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6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206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6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9"/>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28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359,131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394,603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1,922,157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1,832,480</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Utility infrastructure services revenues</w:t>
            </w:r>
          </w:p>
        </w:tc>
        <w:tc>
          <w:tcPr>
            <w:tcW w:w="2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774,889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1,920,151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2,233,961</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1,079,184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1,169,492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3,842,308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4,066,441</w:t>
            </w:r>
          </w:p>
        </w:tc>
        <w:tc>
          <w:tcPr>
            <w:tcW w:w="0" w:type="dxa"/>
            <w:vAlign w:val="bottom"/>
          </w:tcPr>
          <w:p>
            <w:pPr>
              <w:spacing w:after="0"/>
              <w:rPr>
                <w:sz w:val="1"/>
                <w:szCs w:val="1"/>
                <w:color w:val="auto"/>
              </w:rPr>
            </w:pPr>
          </w:p>
        </w:tc>
      </w:tr>
      <w:tr>
        <w:trPr>
          <w:trHeight w:val="199"/>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908,646</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404,554</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329,745</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66,981</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Utility infrastructure services expenses</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2,005,084</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Goodwill impairment and loss on sale</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71,230</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1,017,700</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1,109,261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3,539,478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3,786,240</w:t>
            </w:r>
          </w:p>
        </w:tc>
        <w:tc>
          <w:tcPr>
            <w:tcW w:w="0" w:type="dxa"/>
            <w:vAlign w:val="bottom"/>
          </w:tcPr>
          <w:p>
            <w:pPr>
              <w:spacing w:after="0"/>
              <w:rPr>
                <w:sz w:val="1"/>
                <w:szCs w:val="1"/>
                <w:color w:val="auto"/>
              </w:rPr>
            </w:pPr>
          </w:p>
        </w:tc>
      </w:tr>
      <w:tr>
        <w:trPr>
          <w:trHeight w:val="212"/>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61,484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302,830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280,201</w:t>
            </w:r>
          </w:p>
        </w:tc>
        <w:tc>
          <w:tcPr>
            <w:tcW w:w="0" w:type="dxa"/>
            <w:vAlign w:val="bottom"/>
          </w:tcPr>
          <w:p>
            <w:pPr>
              <w:spacing w:after="0"/>
              <w:rPr>
                <w:sz w:val="1"/>
                <w:szCs w:val="1"/>
                <w:color w:val="auto"/>
              </w:rPr>
            </w:pPr>
          </w:p>
        </w:tc>
      </w:tr>
      <w:tr>
        <w:trPr>
          <w:trHeight w:val="193"/>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(218,679)</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2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52,528</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38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income and (expenses)</w:t>
            </w:r>
          </w:p>
        </w:tc>
        <w:tc>
          <w:tcPr>
            <w:tcW w:w="2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(166,151)</w:t>
            </w:r>
          </w:p>
        </w:tc>
        <w:tc>
          <w:tcPr>
            <w:tcW w:w="0" w:type="dxa"/>
            <w:vAlign w:val="bottom"/>
          </w:tcPr>
          <w:p>
            <w:pPr>
              <w:spacing w:after="0"/>
              <w:rPr>
                <w:sz w:val="1"/>
                <w:szCs w:val="1"/>
                <w:color w:val="auto"/>
              </w:rPr>
            </w:pPr>
          </w:p>
        </w:tc>
      </w:tr>
      <w:tr>
        <w:trPr>
          <w:trHeight w:val="207"/>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114,050</w:t>
            </w:r>
          </w:p>
        </w:tc>
        <w:tc>
          <w:tcPr>
            <w:tcW w:w="0" w:type="dxa"/>
            <w:vAlign w:val="bottom"/>
          </w:tcPr>
          <w:p>
            <w:pPr>
              <w:spacing w:after="0"/>
              <w:rPr>
                <w:sz w:val="1"/>
                <w:szCs w:val="1"/>
                <w:color w:val="auto"/>
              </w:rPr>
            </w:pPr>
          </w:p>
        </w:tc>
      </w:tr>
      <w:tr>
        <w:trPr>
          <w:trHeight w:val="219"/>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32,174</w:t>
            </w:r>
          </w:p>
        </w:tc>
        <w:tc>
          <w:tcPr>
            <w:tcW w:w="0" w:type="dxa"/>
            <w:vAlign w:val="bottom"/>
          </w:tcPr>
          <w:p>
            <w:pPr>
              <w:spacing w:after="0"/>
              <w:rPr>
                <w:sz w:val="1"/>
                <w:szCs w:val="1"/>
                <w:color w:val="auto"/>
              </w:rPr>
            </w:pPr>
          </w:p>
        </w:tc>
      </w:tr>
      <w:tr>
        <w:trPr>
          <w:trHeight w:val="207"/>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81,876</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0" w:type="dxa"/>
            <w:vAlign w:val="bottom"/>
          </w:tcPr>
          <w:p>
            <w:pPr>
              <w:spacing w:after="0"/>
              <w:rPr>
                <w:sz w:val="1"/>
                <w:szCs w:val="1"/>
                <w:color w:val="auto"/>
              </w:rPr>
            </w:pPr>
          </w:p>
        </w:tc>
      </w:tr>
      <w:tr>
        <w:trPr>
          <w:trHeight w:val="210"/>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 attributable to Southwest Gas Holdings, Inc.</w:t>
            </w:r>
          </w:p>
        </w:tc>
        <w:tc>
          <w:tcPr>
            <w:tcW w:w="26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78,020</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attributable to Southwest Gas Holdings, Inc.:</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8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Borders>
              <w:bottom w:val="single" w:sz="8" w:color="CCEEFF"/>
            </w:tcBorders>
            <w:shd w:val="clear" w:color="auto" w:fill="CCEEFF"/>
          </w:tcPr>
          <w:p>
            <w:pPr>
              <w:spacing w:after="0"/>
              <w:rPr>
                <w:sz w:val="20"/>
                <w:szCs w:val="20"/>
                <w:color w:val="auto"/>
              </w:rPr>
            </w:pPr>
          </w:p>
        </w:tc>
        <w:tc>
          <w:tcPr>
            <w:tcW w:w="38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6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920" w:type="dxa"/>
            <w:vAlign w:val="bottom"/>
            <w:gridSpan w:val="4"/>
            <w:vMerge w:val="continue"/>
          </w:tcPr>
          <w:p>
            <w:pPr>
              <w:spacing w:after="0"/>
              <w:rPr>
                <w:sz w:val="13"/>
                <w:szCs w:val="13"/>
                <w:color w:val="auto"/>
              </w:rPr>
            </w:pPr>
          </w:p>
        </w:tc>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70,676</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SOUTHWEST GAS CORPORATION</w:t>
            </w:r>
          </w:p>
        </w:tc>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60" w:type="dxa"/>
            <w:vAlign w:val="bottom"/>
            <w:gridSpan w:val="10"/>
          </w:tcPr>
          <w:p>
            <w:pPr>
              <w:jc w:val="center"/>
              <w:ind w:left="217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60" w:type="dxa"/>
            <w:vAlign w:val="bottom"/>
            <w:gridSpan w:val="2"/>
          </w:tcPr>
          <w:p>
            <w:pPr>
              <w:jc w:val="center"/>
              <w:ind w:right="119"/>
              <w:spacing w:after="0"/>
              <w:rPr>
                <w:sz w:val="20"/>
                <w:szCs w:val="20"/>
                <w:color w:val="auto"/>
              </w:rPr>
            </w:pPr>
            <w:r>
              <w:rPr>
                <w:rFonts w:ascii="Times New Roman" w:cs="Times New Roman" w:eastAsia="Times New Roman" w:hAnsi="Times New Roman"/>
                <w:sz w:val="18"/>
                <w:szCs w:val="18"/>
                <w:color w:val="auto"/>
              </w:rPr>
              <w:t>(Thousands of dollars)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160" w:type="dxa"/>
            <w:vAlign w:val="bottom"/>
            <w:gridSpan w:val="2"/>
          </w:tcPr>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40" w:type="dxa"/>
            <w:vAlign w:val="bottom"/>
            <w:gridSpan w:val="4"/>
          </w:tcPr>
          <w:p>
            <w:pPr>
              <w:jc w:val="right"/>
              <w:ind w:right="398"/>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2040" w:type="dxa"/>
            <w:vAlign w:val="bottom"/>
            <w:gridSpan w:val="4"/>
          </w:tcPr>
          <w:p>
            <w:pPr>
              <w:jc w:val="right"/>
              <w:ind w:right="598"/>
              <w:spacing w:after="0"/>
              <w:rPr>
                <w:sz w:val="20"/>
                <w:szCs w:val="20"/>
                <w:color w:val="auto"/>
              </w:rPr>
            </w:pPr>
            <w:r>
              <w:rPr>
                <w:rFonts w:ascii="Times New Roman" w:cs="Times New Roman" w:eastAsia="Times New Roman" w:hAnsi="Times New Roman"/>
                <w:sz w:val="16"/>
                <w:szCs w:val="16"/>
                <w:color w:val="auto"/>
              </w:rPr>
              <w:t>September 30,</w:t>
            </w: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4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110,435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81,876</w:t>
            </w:r>
          </w:p>
        </w:tc>
      </w:tr>
      <w:tr>
        <w:trPr>
          <w:trHeight w:val="193"/>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45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6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13"/>
        </w:trPr>
        <w:tc>
          <w:tcPr>
            <w:tcW w:w="6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Regulatory adjustment</w:t>
            </w:r>
          </w:p>
        </w:tc>
        <w:tc>
          <w:tcPr>
            <w:tcW w:w="1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12"/>
        </w:trPr>
        <w:tc>
          <w:tcPr>
            <w:tcW w:w="6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jc w:val="center"/>
              <w:ind w:right="173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1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07"/>
        </w:trPr>
        <w:tc>
          <w:tcPr>
            <w:tcW w:w="60" w:type="dxa"/>
            <w:vAlign w:val="bottom"/>
            <w:tcBorders>
              <w:bottom w:val="single" w:sz="8" w:color="CCEEFF"/>
            </w:tcBorders>
          </w:tcPr>
          <w:p>
            <w:pPr>
              <w:spacing w:after="0"/>
              <w:rPr>
                <w:sz w:val="17"/>
                <w:szCs w:val="17"/>
                <w:color w:val="auto"/>
              </w:rPr>
            </w:pPr>
          </w:p>
        </w:tc>
        <w:tc>
          <w:tcPr>
            <w:tcW w:w="4580" w:type="dxa"/>
            <w:vAlign w:val="bottom"/>
            <w:tcBorders>
              <w:bottom w:val="single" w:sz="8" w:color="CCEEFF"/>
            </w:tcBorders>
            <w:gridSpan w:val="3"/>
          </w:tcPr>
          <w:p>
            <w:pPr>
              <w:jc w:val="center"/>
              <w:ind w:right="167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9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2"/>
        </w:trPr>
        <w:tc>
          <w:tcPr>
            <w:tcW w:w="4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07"/>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82,595</w:t>
            </w:r>
          </w:p>
        </w:tc>
      </w:tr>
      <w:tr>
        <w:trPr>
          <w:trHeight w:val="219"/>
        </w:trPr>
        <w:tc>
          <w:tcPr>
            <w:tcW w:w="6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19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r>
      <w:tr>
        <w:trPr>
          <w:trHeight w:val="210"/>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Southwest Gas Holdings, Inc.</w:t>
            </w:r>
          </w:p>
        </w:tc>
        <w:tc>
          <w:tcPr>
            <w:tcW w:w="19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105,067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78,739</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7"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866"/>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SOUTHWEST GAS HOLDINGS, INC. AND SUBSIDIARIES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40" w:type="dxa"/>
            <w:vAlign w:val="bottom"/>
            <w:gridSpan w:val="4"/>
          </w:tcPr>
          <w:p>
            <w:pPr>
              <w:jc w:val="right"/>
              <w:ind w:right="9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2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1139"/>
              <w:spacing w:after="0"/>
              <w:rPr>
                <w:sz w:val="20"/>
                <w:szCs w:val="20"/>
                <w:color w:val="auto"/>
              </w:rPr>
            </w:pPr>
            <w:r>
              <w:rPr>
                <w:rFonts w:ascii="Times New Roman" w:cs="Times New Roman" w:eastAsia="Times New Roman" w:hAnsi="Times New Roman"/>
                <w:sz w:val="16"/>
                <w:szCs w:val="16"/>
                <w:color w:val="auto"/>
              </w:rPr>
              <w:t>September 30,</w:t>
            </w:r>
          </w:p>
        </w:tc>
      </w:tr>
      <w:tr>
        <w:trPr>
          <w:trHeight w:val="212"/>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81,876</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329,745</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Impairment of assets and other charges</w:t>
            </w:r>
          </w:p>
        </w:tc>
        <w:tc>
          <w:tcPr>
            <w:tcW w:w="5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71,230</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45,317</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Gains on sale of property and equipment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Equity AFUDC</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(40,232)</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Accrued utility revenue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43,500</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(252,022)</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payable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(360,554)</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Accrued taxes</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12,687</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315,728</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(55,469)</w:t>
            </w: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1,154,336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198,434</w:t>
            </w:r>
          </w:p>
        </w:tc>
      </w:tr>
      <w:tr>
        <w:trPr>
          <w:trHeight w:val="199"/>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(664,590)</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the sale of business, net of cash sold</w:t>
            </w: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1,022,483</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(6,974)</w:t>
            </w: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6,147</w:t>
            </w: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(687,322)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357,066</w:t>
            </w: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249,238</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Redemption of redeemable noncontrolling interest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(39,894)</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 paid</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(130,232)</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1,043,602</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Retirement of long-term debt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(168,127)</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 in short-term portion of credit facility</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(115,000)</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5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(1,822,747)</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Centuri initial public offering, net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(12,642)</w:t>
            </w: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(116,765)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(597,544)</w:t>
            </w: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Effects of currency translation on cash and cash equivalents</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(41,942)</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Cash and cash equivalents included in current assets held for sale at beginning of period</w:t>
            </w:r>
          </w:p>
        </w:tc>
        <w:tc>
          <w:tcPr>
            <w:tcW w:w="5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23,803</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123,078</w:t>
            </w:r>
          </w:p>
        </w:tc>
      </w:tr>
      <w:tr>
        <w:trPr>
          <w:trHeight w:val="207"/>
        </w:trPr>
        <w:tc>
          <w:tcPr>
            <w:tcW w:w="20" w:type="dxa"/>
            <w:vAlign w:val="bottom"/>
          </w:tcPr>
          <w:p>
            <w:pPr>
              <w:spacing w:after="0"/>
              <w:rPr>
                <w:sz w:val="17"/>
                <w:szCs w:val="17"/>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456,643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204,135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taxes paid, net</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180"/>
          </w:cols>
          <w:pgMar w:left="36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0" w:type="dxa"/>
            <w:vAlign w:val="bottom"/>
          </w:tcPr>
          <w:p>
            <w:pPr>
              <w:spacing w:after="0"/>
              <w:rPr>
                <w:sz w:val="1"/>
                <w:szCs w:val="1"/>
                <w:color w:val="auto"/>
              </w:rPr>
            </w:pPr>
          </w:p>
        </w:tc>
      </w:tr>
      <w:tr>
        <w:trPr>
          <w:trHeight w:val="866"/>
        </w:trPr>
        <w:tc>
          <w:tcPr>
            <w:tcW w:w="10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Three Months Ended</w:t>
            </w:r>
          </w:p>
        </w:tc>
        <w:tc>
          <w:tcPr>
            <w:tcW w:w="260" w:type="dxa"/>
            <w:vAlign w:val="bottom"/>
          </w:tcPr>
          <w:p>
            <w:pPr>
              <w:spacing w:after="0"/>
              <w:rPr>
                <w:sz w:val="24"/>
                <w:szCs w:val="24"/>
                <w:color w:val="auto"/>
              </w:rPr>
            </w:pPr>
          </w:p>
        </w:tc>
        <w:tc>
          <w:tcPr>
            <w:tcW w:w="216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w w:val="99"/>
              </w:rPr>
              <w:t>September 30,</w:t>
            </w:r>
          </w:p>
        </w:tc>
        <w:tc>
          <w:tcPr>
            <w:tcW w:w="260" w:type="dxa"/>
            <w:vAlign w:val="bottom"/>
          </w:tcPr>
          <w:p>
            <w:pPr>
              <w:spacing w:after="0"/>
              <w:rPr>
                <w:sz w:val="18"/>
                <w:szCs w:val="18"/>
                <w:color w:val="auto"/>
              </w:rPr>
            </w:pPr>
          </w:p>
        </w:tc>
        <w:tc>
          <w:tcPr>
            <w:tcW w:w="216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71,709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71,740</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71,515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71,740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amount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73,339</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73,103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62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73,370</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73,145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73,370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2,709,674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2,534,223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20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Centuri IPO</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Promissory notes in association with redeemable noncontrolling interest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62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2,714,958</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2,539,759</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2,714,958</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2,539,759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Centuri IPO</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6200" w:type="dxa"/>
            <w:vAlign w:val="bottom"/>
            <w:gridSpan w:val="3"/>
            <w:shd w:val="clear" w:color="auto" w:fill="CCEEFF"/>
          </w:tcPr>
          <w:p>
            <w:pPr>
              <w:ind w:left="98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 unamortized</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benefit plan cost, net of tax</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62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(43,875)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(43,875)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755,367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Dividends declared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62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710,940</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669,364</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710,940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669,364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Southwest Gas Holdings, Inc. equity ending balances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3,455,393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3,238,745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3,455,393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6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20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Centuri IPO</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Net income attributable to noncontrolling interest holders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200" w:type="dxa"/>
            <w:vAlign w:val="bottom"/>
            <w:tcBorders>
              <w:top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176,857</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176,857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equity ending balances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3,632,250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3,238,745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3,632,250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0" w:type="dxa"/>
            <w:vAlign w:val="bottom"/>
          </w:tcPr>
          <w:p>
            <w:pPr>
              <w:spacing w:after="0"/>
              <w:rPr>
                <w:sz w:val="20"/>
                <w:szCs w:val="20"/>
                <w:color w:val="auto"/>
              </w:rPr>
            </w:pPr>
          </w:p>
        </w:tc>
        <w:tc>
          <w:tcPr>
            <w:tcW w:w="6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0" w:type="dxa"/>
            <w:vAlign w:val="bottom"/>
          </w:tcPr>
          <w:p>
            <w:pPr>
              <w:spacing w:after="0"/>
              <w:rPr>
                <w:sz w:val="1"/>
                <w:szCs w:val="1"/>
                <w:color w:val="auto"/>
              </w:rPr>
            </w:pPr>
          </w:p>
        </w:tc>
      </w:tr>
      <w:tr>
        <w:trPr>
          <w:trHeight w:val="866"/>
        </w:trPr>
        <w:tc>
          <w:tcPr>
            <w:tcW w:w="4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gridSpan w:val="5"/>
          </w:tcPr>
          <w:p>
            <w:pPr>
              <w:jc w:val="center"/>
              <w:ind w:right="114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40" w:type="dxa"/>
            <w:vAlign w:val="bottom"/>
            <w:gridSpan w:val="2"/>
          </w:tcPr>
          <w:p>
            <w:pPr>
              <w:jc w:val="center"/>
              <w:ind w:right="739"/>
              <w:spacing w:after="0"/>
              <w:rPr>
                <w:sz w:val="20"/>
                <w:szCs w:val="20"/>
                <w:color w:val="auto"/>
              </w:rPr>
            </w:pPr>
            <w:r>
              <w:rPr>
                <w:rFonts w:ascii="Times New Roman" w:cs="Times New Roman" w:eastAsia="Times New Roman" w:hAnsi="Times New Roman"/>
                <w:sz w:val="18"/>
                <w:szCs w:val="18"/>
                <w:color w:val="auto"/>
              </w:rPr>
              <w:t>(Thousands of dollars)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340" w:type="dxa"/>
            <w:vAlign w:val="bottom"/>
            <w:gridSpan w:val="2"/>
          </w:tcPr>
          <w:p>
            <w:pPr>
              <w:jc w:val="center"/>
              <w:ind w:right="739"/>
              <w:spacing w:after="0"/>
              <w:rPr>
                <w:sz w:val="20"/>
                <w:szCs w:val="20"/>
                <w:color w:val="auto"/>
              </w:rPr>
            </w:pPr>
            <w:r>
              <w:rPr>
                <w:rFonts w:ascii="Times New Roman" w:cs="Times New Roman" w:eastAsia="Times New Roman" w:hAnsi="Times New Roman"/>
                <w:sz w:val="18"/>
                <w:szCs w:val="18"/>
                <w:color w:val="auto"/>
              </w:rPr>
              <w:t>(Unaudited)</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September 30, 2024</w:t>
            </w:r>
          </w:p>
        </w:tc>
        <w:tc>
          <w:tcPr>
            <w:tcW w:w="140" w:type="dxa"/>
            <w:vAlign w:val="bottom"/>
          </w:tcPr>
          <w:p>
            <w:pPr>
              <w:spacing w:after="0"/>
              <w:rPr>
                <w:sz w:val="24"/>
                <w:szCs w:val="24"/>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2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3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10,652,224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3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3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7,958,164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7,518,242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3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159,174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812,474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1,195,774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3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3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411,917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19"/>
                <w:szCs w:val="19"/>
                <w:color w:val="auto"/>
              </w:rPr>
            </w:pPr>
          </w:p>
        </w:tc>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9,341,729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4260" w:type="dxa"/>
            <w:vAlign w:val="bottom"/>
            <w:gridSpan w:val="3"/>
            <w:vMerge w:val="continue"/>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3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2,162,196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3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1,043,648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3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3,215,562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3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3,503,629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3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6,719,191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6,685,158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Payable to parent</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204,254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651,808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797,262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3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708,468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3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1,970,730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1,952,591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19"/>
                <w:szCs w:val="19"/>
                <w:color w:val="auto"/>
              </w:rPr>
            </w:pPr>
          </w:p>
        </w:tc>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3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9,341,729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120"/>
          </w:cols>
          <w:pgMar w:left="380" w:top="257"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rPr>
              <w:t>(Thousands of dollars)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18"/>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2080" w:type="dxa"/>
            <w:vAlign w:val="bottom"/>
            <w:gridSpan w:val="4"/>
          </w:tcPr>
          <w:p>
            <w:pPr>
              <w:jc w:val="right"/>
              <w:ind w:right="618"/>
              <w:spacing w:after="0"/>
              <w:rPr>
                <w:sz w:val="20"/>
                <w:szCs w:val="20"/>
                <w:color w:val="auto"/>
              </w:rPr>
            </w:pPr>
            <w:r>
              <w:rPr>
                <w:rFonts w:ascii="Times New Roman" w:cs="Times New Roman" w:eastAsia="Times New Roman" w:hAnsi="Times New Roman"/>
                <w:sz w:val="16"/>
                <w:szCs w:val="16"/>
                <w:color w:val="auto"/>
              </w:rPr>
              <w:t>September 30,</w:t>
            </w:r>
          </w:p>
        </w:tc>
      </w:tr>
      <w:tr>
        <w:trPr>
          <w:trHeight w:val="212"/>
        </w:trPr>
        <w:tc>
          <w:tcPr>
            <w:tcW w:w="6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2023</w:t>
            </w:r>
          </w:p>
        </w:tc>
      </w:tr>
      <w:tr>
        <w:trPr>
          <w:trHeight w:val="207"/>
        </w:trPr>
        <w:tc>
          <w:tcPr>
            <w:tcW w:w="3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3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359,131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394,603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1,922,157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1,797,348</w:t>
            </w:r>
          </w:p>
        </w:tc>
      </w:tr>
      <w:tr>
        <w:trPr>
          <w:trHeight w:val="19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984,188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902,278</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3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378,189</w:t>
            </w: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218,763</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65,491</w:t>
            </w:r>
          </w:p>
        </w:tc>
      </w:tr>
      <w:tr>
        <w:trPr>
          <w:trHeight w:val="207"/>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337,884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382,741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1,661,494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1,564,721</w:t>
            </w:r>
          </w:p>
        </w:tc>
      </w:tr>
      <w:tr>
        <w:trPr>
          <w:trHeight w:val="212"/>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260,663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232,627</w:t>
            </w:r>
          </w:p>
        </w:tc>
      </w:tr>
      <w:tr>
        <w:trPr>
          <w:trHeight w:val="19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3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(111,498)</w:t>
            </w:r>
          </w:p>
        </w:tc>
      </w:tr>
      <w:tr>
        <w:trPr>
          <w:trHeight w:val="213"/>
        </w:trPr>
        <w:tc>
          <w:tcPr>
            <w:tcW w:w="6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3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48,976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51,722</w:t>
            </w:r>
          </w:p>
        </w:tc>
      </w:tr>
      <w:tr>
        <w:trPr>
          <w:trHeight w:val="212"/>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(expenses)</w:t>
            </w: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(69,619)</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(59,776)</w:t>
            </w:r>
          </w:p>
        </w:tc>
      </w:tr>
      <w:tr>
        <w:trPr>
          <w:trHeight w:val="20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172,851</w:t>
            </w:r>
          </w:p>
        </w:tc>
      </w:tr>
      <w:tr>
        <w:trPr>
          <w:trHeight w:val="21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22,286</w:t>
            </w:r>
          </w:p>
        </w:tc>
      </w:tr>
      <w:tr>
        <w:trPr>
          <w:trHeight w:val="209"/>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3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163,991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150,565</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60" w:type="dxa"/>
            <w:vAlign w:val="bottom"/>
            <w:gridSpan w:val="10"/>
          </w:tcPr>
          <w:p>
            <w:pPr>
              <w:jc w:val="center"/>
              <w:ind w:left="217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(Thousands of dollars)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(Unaudited)</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18"/>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2080" w:type="dxa"/>
            <w:vAlign w:val="bottom"/>
            <w:gridSpan w:val="4"/>
          </w:tcPr>
          <w:p>
            <w:pPr>
              <w:jc w:val="right"/>
              <w:ind w:right="618"/>
              <w:spacing w:after="0"/>
              <w:rPr>
                <w:sz w:val="20"/>
                <w:szCs w:val="20"/>
                <w:color w:val="auto"/>
              </w:rPr>
            </w:pPr>
            <w:r>
              <w:rPr>
                <w:rFonts w:ascii="Times New Roman" w:cs="Times New Roman" w:eastAsia="Times New Roman" w:hAnsi="Times New Roman"/>
                <w:sz w:val="16"/>
                <w:szCs w:val="16"/>
                <w:color w:val="auto"/>
              </w:rPr>
              <w:t>September 30,</w:t>
            </w:r>
          </w:p>
        </w:tc>
      </w:tr>
      <w:tr>
        <w:trPr>
          <w:trHeight w:val="212"/>
        </w:trPr>
        <w:tc>
          <w:tcPr>
            <w:tcW w:w="6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2023</w:t>
            </w:r>
          </w:p>
        </w:tc>
      </w:tr>
      <w:tr>
        <w:trPr>
          <w:trHeight w:val="207"/>
        </w:trPr>
        <w:tc>
          <w:tcPr>
            <w:tcW w:w="31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163,991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150,565</w:t>
            </w:r>
          </w:p>
        </w:tc>
      </w:tr>
      <w:tr>
        <w:trPr>
          <w:trHeight w:val="199"/>
        </w:trPr>
        <w:tc>
          <w:tcPr>
            <w:tcW w:w="3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1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3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60" w:type="dxa"/>
            <w:vAlign w:val="bottom"/>
          </w:tcPr>
          <w:p>
            <w:pPr>
              <w:spacing w:after="0"/>
              <w:rPr>
                <w:sz w:val="18"/>
                <w:szCs w:val="18"/>
                <w:color w:val="auto"/>
              </w:rPr>
            </w:pPr>
          </w:p>
        </w:tc>
        <w:tc>
          <w:tcPr>
            <w:tcW w:w="3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19"/>
        </w:trPr>
        <w:tc>
          <w:tcPr>
            <w:tcW w:w="6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Regulatory adjustment</w:t>
            </w:r>
          </w:p>
        </w:tc>
        <w:tc>
          <w:tcPr>
            <w:tcW w:w="35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07"/>
        </w:trPr>
        <w:tc>
          <w:tcPr>
            <w:tcW w:w="60" w:type="dxa"/>
            <w:vAlign w:val="bottom"/>
            <w:tcBorders>
              <w:bottom w:val="single" w:sz="8" w:color="CCEEFF"/>
            </w:tcBorders>
          </w:tcPr>
          <w:p>
            <w:pPr>
              <w:spacing w:after="0"/>
              <w:rPr>
                <w:sz w:val="17"/>
                <w:szCs w:val="17"/>
                <w:color w:val="auto"/>
              </w:rPr>
            </w:pPr>
          </w:p>
        </w:tc>
        <w:tc>
          <w:tcPr>
            <w:tcW w:w="31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3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2"/>
        </w:trPr>
        <w:tc>
          <w:tcPr>
            <w:tcW w:w="3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3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0"/>
        </w:trPr>
        <w:tc>
          <w:tcPr>
            <w:tcW w:w="31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35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165,145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151,154</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00" w:type="dxa"/>
            <w:vAlign w:val="bottom"/>
            <w:gridSpan w:val="4"/>
          </w:tcPr>
          <w:p>
            <w:pPr>
              <w:jc w:val="right"/>
              <w:ind w:right="958"/>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1158"/>
              <w:spacing w:after="0"/>
              <w:rPr>
                <w:sz w:val="20"/>
                <w:szCs w:val="20"/>
                <w:color w:val="auto"/>
              </w:rPr>
            </w:pPr>
            <w:r>
              <w:rPr>
                <w:rFonts w:ascii="Times New Roman" w:cs="Times New Roman" w:eastAsia="Times New Roman" w:hAnsi="Times New Roman"/>
                <w:sz w:val="16"/>
                <w:szCs w:val="16"/>
                <w:color w:val="auto"/>
              </w:rPr>
              <w:t>September 30,</w:t>
            </w: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rPr>
              <w:t>2023</w:t>
            </w: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150,565</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218,763</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Deferred income taxes</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43,348</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Gain on sale of property</w:t>
            </w:r>
          </w:p>
        </w:tc>
        <w:tc>
          <w:tcPr>
            <w:tcW w:w="5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Equity AFUDC</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66,275</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Accrued utility revenue</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(237,017)</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(346,579)</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Accrued taxes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8,782</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291,863</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(21,750)</w:t>
            </w:r>
          </w:p>
        </w:tc>
      </w:tr>
      <w:tr>
        <w:trPr>
          <w:trHeight w:val="213"/>
        </w:trPr>
        <w:tc>
          <w:tcPr>
            <w:tcW w:w="6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(54,894)</w:t>
            </w:r>
          </w:p>
        </w:tc>
      </w:tr>
      <w:tr>
        <w:trPr>
          <w:trHeight w:val="212"/>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1,094,455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168,115</w:t>
            </w: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(643,720)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(581,190)</w:t>
            </w:r>
          </w:p>
        </w:tc>
      </w:tr>
      <w:tr>
        <w:trPr>
          <w:trHeight w:val="230"/>
        </w:trPr>
        <w:tc>
          <w:tcPr>
            <w:tcW w:w="60" w:type="dxa"/>
            <w:vAlign w:val="bottom"/>
          </w:tcPr>
          <w:p>
            <w:pPr>
              <w:spacing w:after="0"/>
              <w:rPr>
                <w:sz w:val="19"/>
                <w:szCs w:val="19"/>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(6,974)</w:t>
            </w:r>
          </w:p>
        </w:tc>
      </w:tr>
      <w:tr>
        <w:trPr>
          <w:trHeight w:val="213"/>
        </w:trPr>
        <w:tc>
          <w:tcPr>
            <w:tcW w:w="6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2"/>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(626,903)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(587,494)</w:t>
            </w: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Contribution from parent</w:t>
            </w:r>
          </w:p>
        </w:tc>
        <w:tc>
          <w:tcPr>
            <w:tcW w:w="5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530,000</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Dividends paid</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(111,200)</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5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297,759</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5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5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r>
      <w:tr>
        <w:trPr>
          <w:trHeight w:val="230"/>
        </w:trPr>
        <w:tc>
          <w:tcPr>
            <w:tcW w:w="60" w:type="dxa"/>
            <w:vAlign w:val="bottom"/>
          </w:tcPr>
          <w:p>
            <w:pPr>
              <w:spacing w:after="0"/>
              <w:rPr>
                <w:sz w:val="19"/>
                <w:szCs w:val="19"/>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5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(675,000)</w:t>
            </w:r>
          </w:p>
        </w:tc>
      </w:tr>
      <w:tr>
        <w:trPr>
          <w:trHeight w:val="216"/>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r>
      <w:tr>
        <w:trPr>
          <w:trHeight w:val="213"/>
        </w:trPr>
        <w:tc>
          <w:tcPr>
            <w:tcW w:w="6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r>
      <w:tr>
        <w:trPr>
          <w:trHeight w:val="212"/>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(137,053)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438,526</w:t>
            </w:r>
          </w:p>
        </w:tc>
      </w:tr>
      <w:tr>
        <w:trPr>
          <w:trHeight w:val="207"/>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5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19,147</w:t>
            </w:r>
          </w:p>
        </w:tc>
      </w:tr>
      <w:tr>
        <w:trPr>
          <w:trHeight w:val="219"/>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51,823</w:t>
            </w:r>
          </w:p>
        </w:tc>
      </w:tr>
      <w:tr>
        <w:trPr>
          <w:trHeight w:val="207"/>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401,653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70,970</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111,610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99,425</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5"/>
        </w:trPr>
        <w:tc>
          <w:tcPr>
            <w:tcW w:w="6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Income taxes paid, net</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0" w:type="dxa"/>
            <w:vAlign w:val="bottom"/>
          </w:tcPr>
          <w:p>
            <w:pPr>
              <w:spacing w:after="0"/>
              <w:rPr>
                <w:sz w:val="1"/>
                <w:szCs w:val="1"/>
                <w:color w:val="auto"/>
              </w:rPr>
            </w:pPr>
          </w:p>
        </w:tc>
      </w:tr>
      <w:tr>
        <w:trPr>
          <w:trHeight w:val="866"/>
        </w:trPr>
        <w:tc>
          <w:tcPr>
            <w:tcW w:w="4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gridSpan w:val="5"/>
          </w:tcPr>
          <w:p>
            <w:pPr>
              <w:jc w:val="center"/>
              <w:ind w:left="7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24"/>
                <w:szCs w:val="24"/>
                <w:color w:val="auto"/>
              </w:rPr>
            </w:pPr>
          </w:p>
        </w:tc>
        <w:tc>
          <w:tcPr>
            <w:tcW w:w="1960" w:type="dxa"/>
            <w:vAlign w:val="bottom"/>
            <w:gridSpan w:val="4"/>
          </w:tcPr>
          <w:p>
            <w:pPr>
              <w:jc w:val="right"/>
              <w:ind w:right="338"/>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color w:val="auto"/>
              </w:rPr>
              <w:t>September 30,</w:t>
            </w:r>
          </w:p>
        </w:tc>
        <w:tc>
          <w:tcPr>
            <w:tcW w:w="200" w:type="dxa"/>
            <w:vAlign w:val="bottom"/>
          </w:tcPr>
          <w:p>
            <w:pPr>
              <w:spacing w:after="0"/>
              <w:rPr>
                <w:sz w:val="18"/>
                <w:szCs w:val="18"/>
                <w:color w:val="auto"/>
              </w:rPr>
            </w:pPr>
          </w:p>
        </w:tc>
        <w:tc>
          <w:tcPr>
            <w:tcW w:w="1960" w:type="dxa"/>
            <w:vAlign w:val="bottom"/>
            <w:gridSpan w:val="4"/>
          </w:tcPr>
          <w:p>
            <w:pPr>
              <w:jc w:val="right"/>
              <w:ind w:right="538"/>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6"/>
        </w:trPr>
        <w:tc>
          <w:tcPr>
            <w:tcW w:w="6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7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amount</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0" w:type="dxa"/>
            <w:vAlign w:val="bottom"/>
          </w:tcPr>
          <w:p>
            <w:pPr>
              <w:spacing w:after="0"/>
              <w:rPr>
                <w:sz w:val="1"/>
                <w:szCs w:val="1"/>
                <w:color w:val="auto"/>
              </w:rPr>
            </w:pPr>
          </w:p>
        </w:tc>
      </w:tr>
      <w:tr>
        <w:trPr>
          <w:trHeight w:val="199"/>
        </w:trPr>
        <w:tc>
          <w:tcPr>
            <w:tcW w:w="6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1,622,969</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2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Contributions from Southwest Gas Holdings, Inc.</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0" w:type="dxa"/>
            <w:vAlign w:val="bottom"/>
          </w:tcPr>
          <w:p>
            <w:pPr>
              <w:spacing w:after="0"/>
              <w:rPr>
                <w:sz w:val="1"/>
                <w:szCs w:val="1"/>
                <w:color w:val="auto"/>
              </w:rPr>
            </w:pPr>
          </w:p>
        </w:tc>
      </w:tr>
      <w:tr>
        <w:trPr>
          <w:trHeight w:val="212"/>
        </w:trPr>
        <w:tc>
          <w:tcPr>
            <w:tcW w:w="4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2,162,196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2,157,274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2,162,196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2,157,274</w:t>
            </w:r>
          </w:p>
        </w:tc>
        <w:tc>
          <w:tcPr>
            <w:tcW w:w="0" w:type="dxa"/>
            <w:vAlign w:val="bottom"/>
          </w:tcPr>
          <w:p>
            <w:pPr>
              <w:spacing w:after="0"/>
              <w:rPr>
                <w:sz w:val="1"/>
                <w:szCs w:val="1"/>
                <w:color w:val="auto"/>
              </w:rPr>
            </w:pPr>
          </w:p>
        </w:tc>
      </w:tr>
      <w:tr>
        <w:trPr>
          <w:trHeight w:val="193"/>
        </w:trPr>
        <w:tc>
          <w:tcPr>
            <w:tcW w:w="6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720" w:type="dxa"/>
            <w:vAlign w:val="bottom"/>
            <w:gridSpan w:val="3"/>
          </w:tcPr>
          <w:p>
            <w:pPr>
              <w:ind w:left="64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 unamortized benefit plan cost,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net of tax</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(37,672)</w:t>
            </w:r>
          </w:p>
        </w:tc>
        <w:tc>
          <w:tcPr>
            <w:tcW w:w="0" w:type="dxa"/>
            <w:vAlign w:val="bottom"/>
          </w:tcPr>
          <w:p>
            <w:pPr>
              <w:spacing w:after="0"/>
              <w:rPr>
                <w:sz w:val="1"/>
                <w:szCs w:val="1"/>
                <w:color w:val="auto"/>
              </w:rPr>
            </w:pPr>
          </w:p>
        </w:tc>
      </w:tr>
      <w:tr>
        <w:trPr>
          <w:trHeight w:val="193"/>
        </w:trPr>
        <w:tc>
          <w:tcPr>
            <w:tcW w:w="6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1,009,608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935,355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2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150,565</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(118,900)</w:t>
            </w: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1,043,648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966,582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1,043,648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966,582</w:t>
            </w:r>
          </w:p>
        </w:tc>
        <w:tc>
          <w:tcPr>
            <w:tcW w:w="0" w:type="dxa"/>
            <w:vAlign w:val="bottom"/>
          </w:tcPr>
          <w:p>
            <w:pPr>
              <w:spacing w:after="0"/>
              <w:rPr>
                <w:sz w:val="1"/>
                <w:szCs w:val="1"/>
                <w:color w:val="auto"/>
              </w:rPr>
            </w:pPr>
          </w:p>
        </w:tc>
      </w:tr>
      <w:tr>
        <w:trPr>
          <w:trHeight w:val="212"/>
        </w:trPr>
        <w:tc>
          <w:tcPr>
            <w:tcW w:w="6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 Southwest Gas Corporation equity ending balances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3,215,562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3,135,296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3,215,562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3,135,296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r>
        <w:rPr>
          <w:rFonts w:ascii="Times New Roman" w:cs="Times New Roman" w:eastAsia="Times New Roman" w:hAnsi="Times New Roman"/>
          <w:sz w:val="18"/>
          <w:szCs w:val="18"/>
          <w:color w:val="EE272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124460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57" w:right="35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Organization, and Summary of Significant Accounting Policies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Southwest Gas Holdings, Inc. (together with its subsidiaries, the “Company”) is a holding company, owning all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of Southwest Gas Corporation (“Southwest” or the “natural gas distribution” segment), until April 22, 2024, all of the shares of common stock of Centuri Group, Inc. (“utility infrastructure services” segment), and until February 14, 2023, all of the shares of common stock of MountainWest Pipelines Holding Company (“MountainWest” or the “pipeline and storage” segment). References throughout this document to “Centuri” relate to Centuri Group, Inc., for periods prior to April 22, 2024, or subsequently, to Centuri Holdings, Inc.</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the Company announced that its Board of Directors (the “Board”) unanimously determined to take strategic actions to simplify the Company’s portfolio of businesses. These actions included entering into a definitive agreement to sell 100% of MountainWest to Williams Partners Operating LLC for $1.5 billion in total enterprise value, subject to certain adjustments. The sale closed on February 14, 2023.</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Also as part of this simplification strategy, the Company previously communicated that it would pursue a separation of Centuri. In April 2024, the Company and Centuri Holdings, Inc. announced the completion of an initial public offering of Centuri Holdings, Inc. common stock (the “Centuri IPO”). Following the Centuri IPO, the Company owns approximately 81% of Centuri. Through the first quarter of 2024 and leading up to the Centuri IPO, Centuri continued to be wholly owned by Southwest Gas Holdings, Inc. Centuri continues to be consolidated as part of these financial statements, and will continue to be consolidated until such time as the conditions for consolidation are no longer met. Centuri now makes separate filings with the Securities and Exchange Commission (the “SEC”) as a public company. The Company’s common stock continues to trade under the ticker symbol “SWX,” while Centuri’s common stock trades under the ticker symbol “CTRI.” See </w:t>
      </w:r>
      <w:r>
        <w:rPr>
          <w:rFonts w:ascii="Times New Roman" w:cs="Times New Roman" w:eastAsia="Times New Roman" w:hAnsi="Times New Roman"/>
          <w:sz w:val="18"/>
          <w:szCs w:val="18"/>
          <w:b w:val="1"/>
          <w:bCs w:val="1"/>
          <w:color w:val="auto"/>
        </w:rPr>
        <w:t>Note 8 - Centuri Separation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15, 2024, the Company and Carl C. Icahn and the persons and entities listed therein (collectively, the “Icahn Group”) entered into an Amended and Restated Cooperation Agreement (the “Amended Agreement”), which amends, restates, supersedes, and replaces in its entirety the Amended and Restated Cooperation Agreement entered into on November 21, 2023. In accordance with the terms of the Amended Agreement, the Company agreed with the Icahn Group, among other things, to nominate Andrew W. Evans, Henry P. Linginfelter, Ruby Sharma, and Andrew J. Teno (collectively, the “Icahn Designees”) for election at the Company’s 2025 Annual Meeting of Stockholders (the “2025 Annual Meeting”). In addition, the Amended Agreement provides that the standstill restrictions on the Icahn Group will remain in effect until, and the Amended Agreement will terminate upon, the later of (x) the conclusion of the 2025 Annual Meeting and (y) the earlier of (1) immediately following the time at which Mr. Teno (or any replacement designee for Mr. Teno) is no longer serving on the Company’s Board and (2) thirty days prior to the expiration of the advance notice deadline for submission of director nominees in connection with the Company’s 2026 Annual Meeting of Stockholders; provided, however, that the Amended Agreement will terminate automatically on the date on which the Board re-appoints as a director any former director of the Board, without the approval of a majority of the Icahn Designees. The Company further agreed with the Icahn Group to establish the record date for the 2025 Annual Meeting for a time within thirty days of March 4, 2025. Other than the foregoing, the material terms of the prior agreement remain unchanged.</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highlighted by the continuation of a significant cash balance existing as of the end of the third quarter of 2024, reflective of the collection of gas costs under purchased gas cost mechanisms as a component of customer bills. While mechanisms exist in all states in which Southwest operates, which effectively and primarily decouple authorized operating cost recovery and profitability from the volume of natural gas sold, thereby also incentivizing energy conservation, results for the natural gas distribution segment are higher during winter periods due to the seasonality incorporated in its regulatory rate structures.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 operates in the U.S., primarily as NPL, Neuco, Linetec, and Riggs Distler, and in Canada, primarily as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of Southwest Gas Holdings, Inc. and its subsidiaries, and of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(with its subsidiaries) included herein have been prepared pursuant to the rules and</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regulations of the SEC. The year-end 2023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as well as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Centuri and the Company do not always have the same basis of presentation, which could result in differences between the amounts presented in the Company’s financial information related to Centuri, and amounts included in Centuri’s separate publicly filed financial information.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2024, Centuri entered into an agreement for the securitization of accounts receivable, which includes the consolidation of a newly formed special purpose entity, and the derecognition of accounts receivable that are sold, due to the lack of continuing involvement following their sale to a third party. Refer to </w:t>
      </w:r>
      <w:r>
        <w:rPr>
          <w:rFonts w:ascii="Times New Roman" w:cs="Times New Roman" w:eastAsia="Times New Roman" w:hAnsi="Times New Roman"/>
          <w:sz w:val="18"/>
          <w:szCs w:val="18"/>
          <w:b w:val="1"/>
          <w:bCs w:val="1"/>
          <w:color w:val="auto"/>
        </w:rPr>
        <w:t>Note 3 – Revenue</w:t>
      </w:r>
      <w:r>
        <w:rPr>
          <w:rFonts w:ascii="Times New Roman" w:cs="Times New Roman" w:eastAsia="Times New Roman" w:hAnsi="Times New Roman"/>
          <w:sz w:val="18"/>
          <w:szCs w:val="18"/>
          <w:color w:val="auto"/>
        </w:rPr>
        <w:t xml:space="preserve"> for further details.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of Southwest and the Company included in our 2023 Annual Report on Form 10-K for the fiscal year ended December 31,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2023, management identified a misstatement related to its accounting for the cost of gas sold at Southwest, thereby determining that Net cost of gas sold was overstated in 2021 and 2022 by $2.3 million and $5.7 million, respectively. Southwest made an adjustment in the first quarter of 2023 to reduce Net cost of gas sold and to increase its asset balance for Deferred purchased gas costs by $8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in the first quarter of 2023, the Company identified an approximately $21 million misstatement related to its initial estimation of the loss recorded upon reclassifying MountainWest as an asset held for sale during the year ended December 31, 2022. Consequently, the impairment loss for the year ended December 31, 2022 was understated by approximately $21 million, which was corrected in the first quarter of 2023.</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Southwest, with respect to Net cost of gas sold) assessed, both quantitatively and qualitatively, the impact of these items on previously issued financial statements, concluding they were not material to any earlier period or to the period of correction.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Southwest’s and the Company’s Condensed Consolidated Balance Sheets includes: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146,546</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w:t>
            </w:r>
          </w:p>
        </w:tc>
      </w:tr>
      <w:tr>
        <w:trPr>
          <w:trHeight w:val="223"/>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152,658</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Non-regulated property, equipment, and intangibles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1,752,094</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Non-regulated accumulated provision for depreciation and amortization</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(675,632)</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37,220</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1,266,340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Held for sale. </w:t>
      </w:r>
      <w:r>
        <w:rPr>
          <w:rFonts w:ascii="Times New Roman" w:cs="Times New Roman" w:eastAsia="Times New Roman" w:hAnsi="Times New Roman"/>
          <w:sz w:val="18"/>
          <w:szCs w:val="18"/>
          <w:color w:val="auto"/>
        </w:rPr>
        <w:t>In the first quarter of 2023, the Company and Southwest concluded certain assets associated with their previous corporate headquarters met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criteria to be classified as held for sale. As a result, the Company and Southwest reclassified approximately $27 million from Other property and investments to Current assets held for sale on their respective Condensed Consolidated Balance Sheets in the first quarter of 2023. Also in 2023, the Company and Southwest recorded an estimated loss of $5.2 million on the assets based upon an updated fair value less costs to sell. The sale was completed in January 2024.</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of the Company include $173.4 million and $48.9 million of money market fund investments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and December 31, 2023, respectively. Of these amounts, $141.7 million and $38.6 million at September 30, 2024 and December 31, 2023, respectively, were held by Southwest.</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Noncash investing activities include capital expenditures that were not yet paid, thereby remaining in accounts payable, amounts related to which declined by approximately $28.1 million and $17 million for the Company and Southwest,</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respectively, during the nine months ended September 30, 2024; and declined approximately $39.6 million and $35.2 million during the nine months ended September 30, 2023, for the Company and Southwest,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Southwest expanded their presentation in the first quarter 2024 to show the Change in short-term portion of credit facility and Repayment of short-term debt as separate line items within their Condensed Consolidated Statements of Cash Flows. The comparable prior-year period has been updated to reflect this change.</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Prepaid and other current assets. </w:t>
      </w:r>
      <w:r>
        <w:rPr>
          <w:rFonts w:ascii="Times New Roman" w:cs="Times New Roman" w:eastAsia="Times New Roman" w:hAnsi="Times New Roman"/>
          <w:sz w:val="18"/>
          <w:szCs w:val="18"/>
          <w:color w:val="auto"/>
        </w:rPr>
        <w:t>Prepaid and other current assets for the Company and Southwest include, among other things, materials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of $77.5 million at September 30, 2024 and $83.4 million at December 31, 2023 (carried at weighted average cost).</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assessed as of October 1 each year for impairment, or more frequently, if circumstances indicate an impairment to the carrying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goodwill may have occurred. The Company’s reporting units for goodwill are its operating segments, which are also its reportable segments. Since December 31, 2023, management qualitatively assessed whether events during the first nine months of 2024 indicated it was more likely than not that the fair value of our reporting units was less than their carrying value, which if the case, could be an indication of a goodwill impairment. Through management’s assessments, no impairment was deemed to have occurred in the continuing segments of the Company. Goodwill in the Natural Gas Distribution and Utility Infrastructure Services segments is included in the respective Condensed Consolidated Balance Sheets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Total Company</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778,574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789,729</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787,595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Management recognizes in its balance sheets various liabilities that are expected to be settled through future cash payment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the Company include $44.5 million and $44.4 million of dividends declared as of September 30, 2024 and December 31, 2023, respectively. Also included in the balance for the Company and Southwest was $33.5 million and $87.6 million in accrued purchased gas costs as of September 30, 2024 and December 31, 2023, respectively.</w:t>
      </w:r>
    </w:p>
    <w:p>
      <w:pPr>
        <w:spacing w:after="0" w:line="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in Southwest’s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Condensed Consolidated Statements of Income: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8"/>
                <w:szCs w:val="18"/>
                <w:color w:val="auto"/>
              </w:rPr>
            </w:pPr>
          </w:p>
        </w:tc>
        <w:tc>
          <w:tcPr>
            <w:tcW w:w="20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6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31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COLI policies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40,235</w:t>
            </w: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components of net periodic benefit cost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Miscellaneous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 - total other income (deductions)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51,722</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MountainWest, and Southwest Gas Holdings, Inc.:</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earnings (loss) of unconsolidated investments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 total other income (deductions)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52,528</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primarily relates to Southwest’s regulatory asset balances, including its deferred purchased gas cost mechanisms, the combined balance of which ranged from an asset balance of $687 million as of September 30, 2023 to a net</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balance of $180 million as of September 30, 2024. Interest income is earned on asset balances and interest expense is incurred on liability balances.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also to </w:t>
      </w:r>
      <w:r>
        <w:rPr>
          <w:rFonts w:ascii="Times New Roman" w:cs="Times New Roman" w:eastAsia="Times New Roman" w:hAnsi="Times New Roman"/>
          <w:sz w:val="18"/>
          <w:szCs w:val="18"/>
          <w:b w:val="1"/>
          <w:bCs w:val="1"/>
          <w:color w:val="auto"/>
        </w:rPr>
        <w:t>Note 2 – Components of Net Periodic Benefit Cost</w:t>
      </w:r>
      <w:r>
        <w:rPr>
          <w:rFonts w:ascii="Times New Roman" w:cs="Times New Roman" w:eastAsia="Times New Roman" w:hAnsi="Times New Roman"/>
          <w:sz w:val="18"/>
          <w:szCs w:val="18"/>
          <w:color w:val="auto"/>
        </w:rPr>
        <w:t xml:space="preserve"> for details regarding Other components of net periodic benefit cost.</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Noncontrolling Interest</w:t>
      </w:r>
      <w:r>
        <w:rPr>
          <w:rFonts w:ascii="Times New Roman" w:cs="Times New Roman" w:eastAsia="Times New Roman" w:hAnsi="Times New Roman"/>
          <w:sz w:val="18"/>
          <w:szCs w:val="18"/>
          <w:color w:val="auto"/>
        </w:rPr>
        <w:t>. In connection with the Centuri IPO, the Company recorded a noncontrolling interest as part of equity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Balance Sheet (associated with the interests held by the new investors in Centuri), and recognized the excess of the fair value of the Centuri IPO proceeds over the carrying value of the noncontrolling interest, in addition to a portion of Accumulated other comprehensive loss relevant to the proportional interest of the noncontrolling parties in Centuri, within Additional paid-in capital. The Condensed Consolidated Statements of Income include multiple components of comprehensive income attributable to noncontrolling interests following the Centuri IPO. These amounts, including those distinguishable from net income attributed to these parties, are separately presented in the Condensed Consolidated Statements of Equity. Refer also to </w:t>
      </w:r>
      <w:r>
        <w:rPr>
          <w:rFonts w:ascii="Times New Roman" w:cs="Times New Roman" w:eastAsia="Times New Roman" w:hAnsi="Times New Roman"/>
          <w:sz w:val="18"/>
          <w:szCs w:val="18"/>
          <w:b w:val="1"/>
          <w:bCs w:val="1"/>
          <w:color w:val="auto"/>
        </w:rPr>
        <w:t>Note 8 - Centuri Separation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Redeemable Noncontrolling Interests</w:t>
      </w:r>
      <w:r>
        <w:rPr>
          <w:rFonts w:ascii="Times New Roman" w:cs="Times New Roman" w:eastAsia="Times New Roman" w:hAnsi="Times New Roman"/>
          <w:sz w:val="18"/>
          <w:szCs w:val="18"/>
          <w:color w:val="auto"/>
        </w:rPr>
        <w:t>. Separate from the noncontrolling ownership interests in Centuri, in connection with the earlier acquisition of Linetec,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Centuri, in November 2018, the previous Linetec owner initially retained a 20% equity interest in that entity, with redemption of that interest being subject to certain rights based on the passage of time or upon the occurrence of certain triggering events. Effective in 2022, the Company, through Centuri, had the right, but not the obligation, to purchase at fair value (subject to a floor) a portion of the interest held by the previous Linetec owner, and in incremental amounts each year thereafter. In March 2022, the parties agreed to a partial redemption, reducing the noncontrolling interest to 15%, and in March 2023, agreed to a partial 5% redemption (of the 15% then remaining). In April 2023, Centuri paid $39.9 million to the previous Linetec owner, thereby reducing the balance continuing to be redeemable at that time to 10% under the terms of the original agreement. In March 2024, the parties entered into an agreement to redeem the remaining 10% equity interest for $92 million, which resulted in Centuri owning all of the equity interest in Linetec as of March 31, 2024. Centuri paid the total amount payable under the terms of the redemption agreement in April 2024.</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Separately, certain members of Riggs Distler management hold a 1.41% interest in Drum Parent, Inc. (“Drum”), the parent of Riggs Distler, which is redeemable, subject to certain rights based on the passage of time or upon the occurrence of certain triggering events. A portion of the redeemable noncontrolling interest was funded through promissory notes made to noncontrolling interest holders bearing interest at the prime rate plus 2%.</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Centuri forgave all outstanding promissory notes and unpaid interest owed from the Riggs Distler noncontrolling interest holders and in exchange, obtained a 0.47% portion of the equity interest in Drum that had been funded through these notes. This comprises most of the change noted below as redemption of Drum interests during the first nine months of 2024. Additionally, during the first quarter of 2024, Centuri reached an agreement to purchase 0.13% of the noncontrolling interest in Drum for $0.8 million, the majority of which was accrued in March 2024 and ultimately paid in April 2024. The remaining noncontrolling interest in Drum outstanding as of September 30, 2024 was 0.81%, with Centuri owning over 99% of Drum following these events.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changes in the value of the redeemable noncontrolling interests,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Valuation adjustments also impact retained earnings, as reflected in the Company’s Condensed Consolidated Statement of Equity, but do not impact net income. The following depicts changes to the balances of the redeemable noncontrolling interests: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Linetec</w:t>
            </w: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Drum</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104,667</w:t>
            </w:r>
          </w:p>
        </w:tc>
      </w:tr>
      <w:tr>
        <w:trPr>
          <w:trHeight w:val="230"/>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adjustments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6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Redemption of redeemable noncontrolling interest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(97,025)</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Basic earnings per share (“EPS”) in each period of this report were calculated by dividing net income attributable to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by the weighted-average number of shares during those periods. Diluted EPS includes additional weighted-average common stock equivalents (performance share units and restricted stock units). Unless</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otherwise noted, the term “Earnings Per Share” refers to Basic EPS. A reconciliation of the denominator used in Basic and Diluted EPS calculations is shown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4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3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6480" w:type="dxa"/>
            <w:vAlign w:val="bottom"/>
          </w:tcPr>
          <w:p>
            <w:pPr>
              <w:spacing w:after="0"/>
              <w:rPr>
                <w:sz w:val="20"/>
                <w:szCs w:val="20"/>
                <w:color w:val="auto"/>
              </w:rPr>
            </w:pPr>
          </w:p>
        </w:tc>
        <w:tc>
          <w:tcPr>
            <w:tcW w:w="24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30,</w:t>
            </w:r>
          </w:p>
        </w:tc>
        <w:tc>
          <w:tcPr>
            <w:tcW w:w="23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70,488</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 (1)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72,086</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71,851</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71,994</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70,676</w:t>
            </w:r>
          </w:p>
        </w:tc>
      </w:tr>
      <w:tr>
        <w:trPr>
          <w:trHeight w:val="20"/>
        </w:trPr>
        <w:tc>
          <w:tcPr>
            <w:tcW w:w="6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180" w:hanging="10"/>
        <w:spacing w:after="0" w:line="263" w:lineRule="auto"/>
        <w:tabs>
          <w:tab w:leader="none" w:pos="4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included 165,000 and 189,000 performance share units during the three months ended September 30, 2024 and September 30, 2023, the total of which was derived by assuming that target performance will be achieved during the relevant performance period. During the nine months ended September 30, 2024 and September 30, 2023, respectively, the number of securities included 148,000 and 160,000 performance share units, the total of which was derived by assuming that target performance will be achieved during the relevant performance period.</w:t>
      </w:r>
    </w:p>
    <w:p>
      <w:pPr>
        <w:spacing w:after="0" w:line="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effective tax rate was (421.1)% for the three months ended September 30, 2024, compared to (47.1)% for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 in 2023, primarily due to pre-tax income differences, the amortization of excess deferred income taxes, and corporate-owned life insurance (“COLI”). The Company’s effective tax was 14.8% for the nine months ended September 30, 2024, compared to 28.2% for the corresponding period in 2023, primarily due to amortization of excess deferred income taxes, nondeductible costs associated with the Centuri IPO, and the MountainWest sale in 2023, which included the impact of book versus tax basis differences related to that transaction. The tax impacts of further separation of Centuri will depend on the ultimate separation path (See </w:t>
      </w:r>
      <w:r>
        <w:rPr>
          <w:rFonts w:ascii="Times New Roman" w:cs="Times New Roman" w:eastAsia="Times New Roman" w:hAnsi="Times New Roman"/>
          <w:sz w:val="18"/>
          <w:szCs w:val="18"/>
          <w:b w:val="1"/>
          <w:bCs w:val="1"/>
          <w:color w:val="auto"/>
        </w:rPr>
        <w:t>Note 8 - Centuri Separation</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Southwest’s effective tax rate was 113.0% for the three months ended September 30, 2024, compared to 65.3% for the corresponding period in 2023 primarily due to pre-tax income differences, the amortization of excess deferred income taxes, and the impacts of COLI. Southwest’s effective tax rate was 14.2% for the nine months ended September 30, 2024, compared to 12.9% in the corresponding period in 2023 primarily due to the amortization of excess accumulated deferred income taxes and COLI.</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the Internal Revenue Service issued Revenue Procedure 2023-15, which provides a safe harbor method of accounting that taxpayers may use to determine whether expenditures to repair, maintain, replace, or improve natural gas transmission and distribution property must be capitalized for tax purposes. The Company intends to adopt this change in tax accounting method with its 2024 U.S. federal income tax return filing in 2025, and it expects the safe harbor method to increase tax repair deductions. The effects of the change in method are not expected to be material to the financial statements overall, as this change will result in an increase in a deferred tax liability offset by a net operating loss position deferred tax asset.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 that will be effective in 2024 and later periods: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ASU 2023-07 “Segment Reporting (Topic 280): Improvements to Reportable Segment Disclosures.” The update, among other amendments, requires disclosure of significant segment expenses that are regularly provided to the chief operating decision maker (“CODM”) and included within each reported measure of segment profit or loss, as well as an amount and description of the composition of other segment items to reconcile to segment profit or loss. The update also requires the title and position of the entity’s CODM to be disclosed, and extends certain annual disclosures to interim periods. The provisions of the update are effective for fiscal years beginning after December 15, 2023 and interim periods within the fiscal years beginning after December 15, 2024. Early adoption is permitted. The Company and Southwest expect that the adoption of this guidance will only impact disclosures, with no impact on results of operations, cash flows, or financial condition.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 that will be effective after 2024:</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update, among other amendments, provides for enhanced income tax information primarily through changes in the rate reconciliation and income taxes paid. The update is effective for annual periods beginning after December 15, 2024; early adoption is permitted. The Company and Southwest expect that the adoption of this guidance will only impact disclosures, with no impact on results of operations, cash flows, or financial condition.</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Components of Net Periodic Benefit Cost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components of Southwest's net periodic benefit cost for its pension plan, supplemental retirement plan ("SERP"), and postretirement benefits other than pensions ("PBOP") for the three and nine months ended September 30, 2024 and 2023 are presented in the following tables.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Qualified Retirement Plan</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w:t>
            </w:r>
          </w:p>
        </w:tc>
        <w:tc>
          <w:tcPr>
            <w:tcW w:w="3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44,373</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0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SERP</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w:t>
            </w:r>
          </w:p>
        </w:tc>
        <w:tc>
          <w:tcPr>
            <w:tcW w:w="3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0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7"/>
              </w:rPr>
              <w:t>PBOP</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w:t>
            </w:r>
          </w:p>
        </w:tc>
        <w:tc>
          <w:tcPr>
            <w:tcW w:w="3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0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40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9A9A9A"/>
            </w:tcBorders>
          </w:tcPr>
          <w:p>
            <w:pPr>
              <w:spacing w:after="0"/>
              <w:rPr>
                <w:sz w:val="17"/>
                <w:szCs w:val="17"/>
                <w:color w:val="auto"/>
              </w:rPr>
            </w:pPr>
          </w:p>
        </w:tc>
        <w:tc>
          <w:tcPr>
            <w:tcW w:w="20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information about the Company’s revenues is presented by segment. Southwest encompasses the natural gas distribution segment and Centuri encompasses the utility infrastructure services segment.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Southwest’s operating revenues included on the Condensed Consolidated Statements of Income of both the Company and Southwest include revenue from contracts with customers, which is shown below, disaggregated by customer type, in addition to other categories of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7"/>
                <w:szCs w:val="17"/>
                <w:color w:val="auto"/>
              </w:rPr>
            </w:pPr>
          </w:p>
        </w:tc>
        <w:tc>
          <w:tcPr>
            <w:tcW w:w="22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6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2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1,277,363</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commercial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366,667</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commercial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84,021</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52,165</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77,558</w:t>
            </w:r>
          </w:p>
        </w:tc>
      </w:tr>
      <w:tr>
        <w:trPr>
          <w:trHeight w:val="22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1,892,245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1,857,774</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 revenues (deferrals)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(72,251)</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 (1)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w:t>
            </w: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Regulated operations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1,797,348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0" w:hanging="230"/>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late fees and other miscellaneous revenues, and may also include the impact of certain regulatory mechanisms.</w:t>
      </w:r>
    </w:p>
    <w:p>
      <w:pPr>
        <w:spacing w:after="0" w:line="1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Utility Infrastructure Services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utility infrastructure services segment management, in connection with Centuri’s planned separation, changed its service type revenue classification to align with changes in its organizational structure, and as a result, prior year “other” revenue has been recast into gas infrastructure services or electric power infrastructure services to reflect these changes, with no impact to revenue overall. 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8"/>
                <w:szCs w:val="18"/>
                <w:color w:val="auto"/>
              </w:rPr>
            </w:pPr>
          </w:p>
        </w:tc>
        <w:tc>
          <w:tcPr>
            <w:tcW w:w="22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6"/>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2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Types: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infrastructure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1,188,941</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power infrastructure services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1,008,911</w:t>
            </w:r>
          </w:p>
        </w:tc>
      </w:tr>
      <w:tr>
        <w:trPr>
          <w:trHeight w:val="23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36,109</w:t>
            </w:r>
          </w:p>
        </w:tc>
      </w:tr>
      <w:tr>
        <w:trPr>
          <w:trHeight w:val="248"/>
        </w:trPr>
        <w:tc>
          <w:tcPr>
            <w:tcW w:w="6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2,233,961</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*The three months ended September 30, 2023 were previously presented as: Gas infrastructure services of $443,083, Electric power infrastructure services of $200,547, and Other of $131,259. The nine months ended September 30, 2023 were previously presented as: Gas infrastructure services of $1,173,960, Electric power infrastructure services of $668,681, and Other of $391,320.</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871"/>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4"/>
                <w:szCs w:val="24"/>
                <w:color w:val="auto"/>
              </w:rPr>
            </w:pPr>
          </w:p>
        </w:tc>
        <w:tc>
          <w:tcPr>
            <w:tcW w:w="22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2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9"/>
        </w:trPr>
        <w:tc>
          <w:tcPr>
            <w:tcW w:w="61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Types: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6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Master services agreement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631,913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1,571,701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1,830,242</w:t>
            </w:r>
          </w:p>
        </w:tc>
      </w:tr>
      <w:tr>
        <w:trPr>
          <w:trHeight w:val="229"/>
        </w:trPr>
        <w:tc>
          <w:tcPr>
            <w:tcW w:w="6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Bid contract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403,719</w:t>
            </w:r>
          </w:p>
        </w:tc>
      </w:tr>
      <w:tr>
        <w:trPr>
          <w:trHeight w:val="223"/>
        </w:trPr>
        <w:tc>
          <w:tcPr>
            <w:tcW w:w="60" w:type="dxa"/>
            <w:vAlign w:val="bottom"/>
          </w:tcPr>
          <w:p>
            <w:pPr>
              <w:spacing w:after="0"/>
              <w:rPr>
                <w:sz w:val="19"/>
                <w:szCs w:val="19"/>
                <w:color w:val="auto"/>
              </w:rPr>
            </w:pPr>
          </w:p>
        </w:tc>
        <w:tc>
          <w:tcPr>
            <w:tcW w:w="6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774,889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1,920,151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2,233,961</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6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Unit price contracts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412,871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440,787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1,119,161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1,191,889</w:t>
            </w:r>
          </w:p>
        </w:tc>
      </w:tr>
      <w:tr>
        <w:trPr>
          <w:trHeight w:val="229"/>
        </w:trPr>
        <w:tc>
          <w:tcPr>
            <w:tcW w:w="6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 contracts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521,722</w:t>
            </w:r>
          </w:p>
        </w:tc>
      </w:tr>
      <w:tr>
        <w:trPr>
          <w:trHeight w:val="229"/>
        </w:trPr>
        <w:tc>
          <w:tcPr>
            <w:tcW w:w="61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Time and materials contracts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520,350</w:t>
            </w: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2,233,961</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contracts receivable and revenue earned on contracts in progress in excess of billings (contract assets), both of which are included within Accounts receivable, net of allowances, as well as amounts billed in excess of revenue earned on contracts (contract liabilities) at Centuri, which are included in Other current liabilities as of September 30, 2024 and December 31, 2023 on the Company’s 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receivable,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347,454</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on contracts in progress in excess of billings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269,808</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billed in excess of revenue earned on contracts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w:t>
            </w: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earned on contracts in progress in excess of billings (contract assets) that are not expected to be invoiced and collected within a year from the financial statement date are not included in the table above, and were $24.1 million as of September 30, 2024, and $0.2 million as of December 31, 2023. These non-current balances were included in Deferred charges and other assets on the Company’s Condensed Consolidated Balance Sheets.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contract assets primarily relate to Centuri’s rights to consideration for work completed, but not billed and/or approved for billing at the reporting date, and are transferred to contracts receivable when the rights become unconditional. The amounts billed in excess of revenue earned primarily relate to the advance consideration received from customers for which work has not yet been completed. The decrease in the contract liability balance from December 31, 2023 to September 30, 2024 of $21.8 million was due to revenue recognized during the period, net of new payments received in advance of work performed.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contracts that have an original duration of one year or less, Centuri uses the practical expedient applicable to such contracts and does not consider/compute an interest component based on the time value of money. Furthermore, because of the short duration of these contracts, Centuri has not disclosed the transaction price for the remaining performance obligations as of the end of each reporting period or when the Company expects to recognize the revenue.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Centuri had 42 fixed price contracts with an original duration of more than one year. The aggregate amount of the transaction price allocated to the unsatisfied performance obligations of these contracts as of September 30, 2024 was $249.1 million. Centuri expects to recognize the remaining performance obligations over approximately the next two years; however, the timing of that recognition is largely within the control of the customer, including when the necessary materials required to complete the work are provided by the customer.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Utility infrastructure services contracts receivable consists of the following:</w:t>
            </w: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6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4"/>
                <w:szCs w:val="24"/>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30, 2024</w:t>
            </w:r>
          </w:p>
        </w:tc>
        <w:tc>
          <w:tcPr>
            <w:tcW w:w="300" w:type="dxa"/>
            <w:vAlign w:val="bottom"/>
          </w:tcPr>
          <w:p>
            <w:pPr>
              <w:spacing w:after="0"/>
              <w:rPr>
                <w:sz w:val="24"/>
                <w:szCs w:val="24"/>
                <w:color w:val="auto"/>
              </w:rPr>
            </w:pPr>
          </w:p>
        </w:tc>
        <w:tc>
          <w:tcPr>
            <w:tcW w:w="2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on completed contracts and contracts in progress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253,809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348,021</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gross</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349,966</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48"/>
        </w:trPr>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Centuri Group, Inc. and certain other subsidiaries of Centuri Holdings, Inc. entered into a three-year Accounts Receivable Securitization Facility (“the Facility”) for an aggregate amount of up to $125 million with PNC Bank, National Association (“PNC”), to enhance Centuri’s financial flexibility by providing additional liquidity.</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Facility, certain designated subsidiaries of Centuri have sold and/or contributed, and will continue to sell and/or contribute, their trade accounts receivable and contract assets generated in the ordinary course of business to an indirect wholly owned bankruptcy-remote Special Purpose Entity (“SPE”) of Centuri created specifically for this purpose. The SPE is a variable interest entity, and Centuri is the primary beneficiary and therefore consolidates the SPE. The SPE transfers ownership and control of accounts receivable (but not contract assets) to PNC for payments as set forth in the receivables purchase agreement. Centuri and its related subsidiaries have no continuing involvement in the transferred accounts receivable, other than collection and administrative responsibilities, and, once sold, the accounts receivable are no longer available to satisfy Centuri’s creditors or those of its related subsidiaries. Centuri has not recorded any servicing asset or liability related to this continuing involvement as Centuri has determined it is compensated adequately for its servicing role. Centuri accounts for accounts receivable sold to PNC as a sale of financial assets and has derecognized the accounts receivable from its consolidated balance sheet for the current period.</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Centuri has agreed to guarantee the performance of the indirect wholly-owned subsidiaries and Centuri Group, Inc. as the servicer, of their respective obligations under the documentation for the Facility. Centuri is not guaranteeing the collectibility of the receivables or the creditworthiness of the related obligors. The Facility is subject to yield charges based upon a rate as specified in the receivables purchase agreement. Centuri may incur a recourse obligation in limited circumstances, but has determined this liability is not material.</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outstanding balance of accounts receivable that have been sold and derecognized is $125 million as of September 30, 2024. Additionally, the SPE owned unsold accounts receivable and contract assets of $60.6 million and $115.5 million, respectively, as of September 30, 2024, which are pledged as collateral to PNC. These balances are primarily included in Accounts receivable, net of allowances in the Company’s Condensed Consolidated Balance Sheet, with certain non-current balances included in Deferred charges and other assets. For the nine months ended September 30, 2024, Centuri received $125 million in cash proceeds from the Facility, which are included in cash from operating activities in the Condensed Consolidated Statement of Cash Flows and had no repayments to the Facility. As of September 30, 2024, Centuri had no available capacity under the Facility.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6, 2024, the Company entered into an Equity Distribution Agreement with J.P. Morgan Securities LLC and Wells Fargo Securities, LLC for the offer and sale of up to $340,000,000 of common stock from time to time in an “at-the-market” offering program (the “ATM Program”). The offering amount was carried forward from the Company’s previous at-the-market equity offering program. The shares are issuable pursuant to the Company’s automatic shelf registration statement on Form S-3 (File No. 333-275774). No issuances have occurred under the ATM Program as of September 30, 2024.</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issued approximately 78,000 shares of common stock through the Omnibus Incentive Plan.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during the nine months ended September 30, 2024, the Company issued 98,000 shares of common stock through the Dividend Reinvestment and Direct Stock Purchase Plan, raising approximately $6.9 million.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Long-term debt is recognized in the Company’s and Southwest’s Condensed Consolidated Balance Sheets generally at the carrying value of the obligations outstanding. Details surrounding the fair value and individual carrying values of instruments are provided in the table that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Pr>
          <w:p>
            <w:pPr>
              <w:spacing w:after="0"/>
              <w:rPr>
                <w:sz w:val="20"/>
                <w:szCs w:val="20"/>
                <w:color w:val="auto"/>
              </w:rPr>
            </w:pPr>
          </w:p>
        </w:tc>
        <w:tc>
          <w:tcPr>
            <w:tcW w:w="2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9"/>
        </w:trPr>
        <w:tc>
          <w:tcPr>
            <w:tcW w:w="5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4"/>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 Series, due 2026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79,502</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Medium-term notes, 7.92% series, due 2027</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6.76% series, due 2027</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5.8%, due 2027</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309,180</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3.7%, due 2028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285,300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5.45%, due 2028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307,170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2.2%, due 2030</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382,635</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4.05%, due 2032</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563,940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6.1%, due 2041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126,238</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4.875%, due 2043</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214,050</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3.8%, due 2046</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225,240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4.15%, due 2049</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236,370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3.18%, due 2051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197,760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3,305,227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3,302,906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and commercial paper</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Tax-exempt Series A, due 2028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2003 Series A, due 2038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2008 Series A, due 2038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2009 Series A, due 2039</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Southwest Gas Corporation total long-term debt, less current maturities</w:t>
            </w: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3,503,629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3,501,543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secured term loan facility</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996,723</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secured revolving credit facility</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77,205</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obligations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92,209</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total long-term debt, less current maturities</w:t>
            </w: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4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has a $400 million credit facility that was otherwise scheduled to expire in April 2025. However, in August 2024, Southwest entered into a new agreement to replace its existing credit facility. The agreement extends the maturity date to August 2029 and makes other miscellaneous changes, while the operation, designations, and key business terms are comparable to the prior facility. In regard to the facility in place as of September 2024, Southwest has designated $150 million of associated capacity as long-term debt and the remaining $250 million for working capital purposes. At September 30, 2024, the applicable margin is 1.125% for loans bearing interest with reference to the Secured Overnight Financing Rate (“SOFR”) and 0.125% for loans bearing interest with reference to the alternative base rate. At September 30, 2024, no borrowings were outstanding on the long-term portion (including under the commercial paper program), nor under the short-term portion of the facility.</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Amounts can be borrowed in either Canadian or U.S. dollars. The revolving credit facility matures on August 27, 2026 and the term loan facility matures on August 27, 2028. On May 13, 2024, Centuri amended its revolving credit facility to transition from Canadian Dollar Offered Rate benchmarks to Canadian Overnight Repo Rate Average (“CORRA”). The applicable margin for the revolving credit facility ranges from 1.0% to 2.5% for SOFR and CORRA loans and from 0.0% to 1.5% for “base rate” loans, depending on Centuri’s total net leverage ratio. The applicable margin for the term loan facility is 1.50% for base rate loans and 2.50% for SOFR loans. The capacity of the line of credit portion of the facility is $400 million; related amounts borrowed and repaid are available to be re-borrowed. The term loan portion of the facility has a limit of $1.145 billion. Centuri’s assets securing the facility at September 30, 2024 totaled $2.4 billion. At September 30, 2024, $847.8 million in borrowings were outstanding under Centuri’s combined secured revolving credit and term loan facility.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22, 2024, Centuri amended the financial covenants of its revolving credit facility and was required to maintain certain net leverage ratios. However, the amendment also provided that, in the event that a “Qualified IPO” (as defined in the amendment) is consummated prior to March 31, 2025, the maximum net leverage ratio would be reduced based on the amount of net proceeds received from such Qualified IPO. Pursuant to these terms, the completion of the Centuri IPO (which constituted a “Qualified IPO” for purposes of the amendment) resulted in a change to the maximum net leverage ratio. Based on the amount of proceeds received, Centuri was required to maintain a net leverage ratio of less than a maximum of 5.25 to 1.00 from April 18, 2024 through June 30, 2024, 5.00 to 1.00 from July 1, 2024 through September 29, 2024, 4.25 to 1.00 from September 30, 2024 through December 29, 2024, and 4.00 to 1.00 on December 30, 2024 and thereafter. The terms of the Centuri credit facility otherwise remain unchanged. Following the Centuri IPO and private placement, Centuri used approximately $316 million of proceeds to pay down $156 million of debt under the existing line of credit and $160 million of debt under the term loan portion of the facility, with the remainder of the IPO proceeds used for general corporate purposes.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Southwest Gas Holdings, Inc. has a $300 million credit facility that is scheduled to expire in December 2026 and is primarily used for short-term financing needs. There was $113 million outstanding under this credit facility as of September 30,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Southwest Gas Holdings, Inc. entered into a $550 million Term Loan Credit Agreement (the “Term Loan”) that was set to mature in October 2024. Southwest Gas Holdings, Inc. utilized a majority of the proceeds to make an equity contribution to Southwest. In August 2024, the Company amended its Term Loan agreement, which extended the maturity date to July 31, 2025 and changed the interest with reference to SOFR from an applicable margin of 1.300% to 1.125%, among other miscellaneous changes.</w:t>
      </w:r>
    </w:p>
    <w:p>
      <w:pPr>
        <w:spacing w:after="0" w:line="72" w:lineRule="exact"/>
        <w:rPr>
          <w:sz w:val="20"/>
          <w:szCs w:val="20"/>
          <w:color w:val="auto"/>
        </w:rPr>
      </w:pPr>
    </w:p>
    <w:p>
      <w:pPr>
        <w:ind w:right="1340"/>
        <w:spacing w:after="0" w:line="375" w:lineRule="auto"/>
        <w:rPr>
          <w:sz w:val="20"/>
          <w:szCs w:val="20"/>
          <w:color w:val="auto"/>
        </w:rPr>
      </w:pPr>
      <w:r>
        <w:rPr>
          <w:rFonts w:ascii="Times New Roman" w:cs="Times New Roman" w:eastAsia="Times New Roman" w:hAnsi="Times New Roman"/>
          <w:sz w:val="18"/>
          <w:szCs w:val="18"/>
          <w:color w:val="auto"/>
        </w:rPr>
        <w:t xml:space="preserve">As indicated above, under Southwest’s $400 million credit facility, no short-term borrowings were outstanding as of September 30, 2024. </w:t>
      </w:r>
      <w:r>
        <w:rPr>
          <w:rFonts w:ascii="Times New Roman" w:cs="Times New Roman" w:eastAsia="Times New Roman" w:hAnsi="Times New Roman"/>
          <w:sz w:val="18"/>
          <w:szCs w:val="18"/>
          <w:b w:val="1"/>
          <w:bCs w:val="1"/>
          <w:color w:val="auto"/>
        </w:rPr>
        <w:t>Note 6 – Other Comprehensive Income and Accumulated Other Comprehensive Income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presents the Company’s Other comprehensive income (loss), both before and after-tax impacts, within the Condensed Consolidated Statements of Comprehensive Income, which also impacts Accumulated other comprehensive income (“AOCI”) in the Condensed Consolidated Balance Sheets and the Condensed Consolidated Statements of Equity.</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Tax Effects Allocated to Each Component of Other Comprehensive Income (Loss):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September 30, 2024</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September 30, 2023</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0" w:type="dxa"/>
            <w:vAlign w:val="bottom"/>
          </w:tcPr>
          <w:p>
            <w:pPr>
              <w:spacing w:after="0"/>
              <w:rPr>
                <w:sz w:val="1"/>
                <w:szCs w:val="1"/>
                <w:color w:val="auto"/>
              </w:rPr>
            </w:pPr>
          </w:p>
        </w:tc>
      </w:tr>
      <w:tr>
        <w:trPr>
          <w:trHeight w:val="13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70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0" w:type="dxa"/>
            <w:vAlign w:val="bottom"/>
          </w:tcPr>
          <w:p>
            <w:pPr>
              <w:spacing w:after="0"/>
              <w:rPr>
                <w:sz w:val="1"/>
                <w:szCs w:val="1"/>
                <w:color w:val="auto"/>
              </w:rPr>
            </w:pPr>
          </w:p>
        </w:tc>
      </w:tr>
      <w:tr>
        <w:trPr>
          <w:trHeight w:val="196"/>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other comprehensive income (loss) - noncontrolling interest (2)</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Holdings,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Nine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Nine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September 30, 2024</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September 30, 2023</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0" w:type="dxa"/>
            <w:vAlign w:val="bottom"/>
          </w:tcPr>
          <w:p>
            <w:pPr>
              <w:spacing w:after="0"/>
              <w:rPr>
                <w:sz w:val="1"/>
                <w:szCs w:val="1"/>
                <w:color w:val="auto"/>
              </w:rPr>
            </w:pPr>
          </w:p>
        </w:tc>
      </w:tr>
      <w:tr>
        <w:trPr>
          <w:trHeight w:val="13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70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96"/>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other comprehensive (income) loss - noncontrolling interest (2)</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Holdings,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hanging="10"/>
        <w:spacing w:after="0" w:line="258" w:lineRule="auto"/>
        <w:tabs>
          <w:tab w:leader="none" w:pos="66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ind w:left="660" w:hanging="490"/>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portion of the foreign currency translation adjustment attributable to the noncontrolling interest in Centuri following the Centuri IPO.</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rollforward of AOCI, presented on the Company’s Condensed Consolidated Balance Sheets and its Condensed Consolidated Statements of Equity: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color w:val="auto"/>
              </w:rPr>
              <w:t>Defined Benefit Plans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color w:val="auto"/>
              </w:rPr>
              <w:t>Foreign Currency Items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Before-Tax</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After-Tax</w:t>
            </w:r>
          </w:p>
        </w:tc>
        <w:tc>
          <w:tcPr>
            <w:tcW w:w="10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Before-Tax</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After-Tax</w:t>
            </w:r>
          </w:p>
        </w:tc>
        <w:tc>
          <w:tcPr>
            <w:tcW w:w="16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AOCI</w:t>
            </w:r>
          </w:p>
        </w:tc>
        <w:tc>
          <w:tcPr>
            <w:tcW w:w="0" w:type="dxa"/>
            <w:vAlign w:val="bottom"/>
          </w:tcPr>
          <w:p>
            <w:pPr>
              <w:spacing w:after="0"/>
              <w:rPr>
                <w:sz w:val="1"/>
                <w:szCs w:val="1"/>
                <w:color w:val="auto"/>
              </w:rPr>
            </w:pPr>
          </w:p>
        </w:tc>
      </w:tr>
      <w:tr>
        <w:trPr>
          <w:trHeight w:val="193"/>
        </w:trPr>
        <w:tc>
          <w:tcPr>
            <w:tcW w:w="4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Benefit (3)</w:t>
            </w: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(43,787)</w:t>
            </w: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9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adjustment (2)</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0" w:type="dxa"/>
            <w:vAlign w:val="bottom"/>
          </w:tcPr>
          <w:p>
            <w:pPr>
              <w:spacing w:after="0"/>
              <w:rPr>
                <w:sz w:val="1"/>
                <w:szCs w:val="1"/>
                <w:color w:val="auto"/>
              </w:rPr>
            </w:pPr>
          </w:p>
        </w:tc>
      </w:tr>
      <w:tr>
        <w:trPr>
          <w:trHeight w:val="18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0" w:type="dxa"/>
            <w:vAlign w:val="bottom"/>
          </w:tcPr>
          <w:p>
            <w:pPr>
              <w:spacing w:after="0"/>
              <w:rPr>
                <w:sz w:val="1"/>
                <w:szCs w:val="1"/>
                <w:color w:val="auto"/>
              </w:rPr>
            </w:pPr>
          </w:p>
        </w:tc>
      </w:tr>
      <w:tr>
        <w:trPr>
          <w:trHeight w:val="23"/>
        </w:trPr>
        <w:tc>
          <w:tcPr>
            <w:tcW w:w="46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6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Less current period other comprehensive (income) loss attributable to</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 (4)</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Centuri IPO (5)</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0" w:type="dxa"/>
            <w:vAlign w:val="bottom"/>
          </w:tcPr>
          <w:p>
            <w:pPr>
              <w:spacing w:after="0"/>
              <w:rPr>
                <w:sz w:val="1"/>
                <w:szCs w:val="1"/>
                <w:color w:val="auto"/>
              </w:rPr>
            </w:pPr>
          </w:p>
        </w:tc>
      </w:tr>
      <w:tr>
        <w:trPr>
          <w:trHeight w:val="23"/>
        </w:trPr>
        <w:tc>
          <w:tcPr>
            <w:tcW w:w="46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6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Net current period other comprehensive income (loss) attributable to</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Southwest Gas Holdings, Inc.</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AOCI September 30,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(51,833)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(39,394)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(43,875)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80" w:right="20" w:hanging="10"/>
        <w:spacing w:after="0" w:line="283" w:lineRule="auto"/>
        <w:tabs>
          <w:tab w:leader="none" w:pos="66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2 – Components of Net Periodic Benefit Cost</w:t>
      </w:r>
      <w:r>
        <w:rPr>
          <w:rFonts w:ascii="Times New Roman" w:cs="Times New Roman" w:eastAsia="Times New Roman" w:hAnsi="Times New Roman"/>
          <w:sz w:val="16"/>
          <w:szCs w:val="16"/>
          <w:color w:val="auto"/>
        </w:rPr>
        <w:t xml:space="preserve"> for additional details).</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right="20" w:hanging="10"/>
        <w:spacing w:after="0" w:line="260" w:lineRule="auto"/>
        <w:tabs>
          <w:tab w:leader="none" w:pos="66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the Company’s and Southwest’s Condensed Consolidated Balance Sheets).</w:t>
      </w: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15" w:lineRule="exact"/>
        <w:rPr>
          <w:rFonts w:ascii="Times New Roman" w:cs="Times New Roman" w:eastAsia="Times New Roman" w:hAnsi="Times New Roman"/>
          <w:sz w:val="16"/>
          <w:szCs w:val="16"/>
          <w:color w:val="auto"/>
        </w:rPr>
      </w:pP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foreign currency translation adjustment attributable to the noncontrolling interest in Centuri following the Centuri IPO.</w:t>
      </w:r>
    </w:p>
    <w:p>
      <w:pPr>
        <w:spacing w:after="0" w:line="8" w:lineRule="exact"/>
        <w:rPr>
          <w:rFonts w:ascii="Times New Roman" w:cs="Times New Roman" w:eastAsia="Times New Roman" w:hAnsi="Times New Roman"/>
          <w:sz w:val="16"/>
          <w:szCs w:val="16"/>
          <w:color w:val="auto"/>
        </w:rPr>
      </w:pPr>
    </w:p>
    <w:p>
      <w:pPr>
        <w:ind w:left="180" w:hanging="10"/>
        <w:spacing w:after="0" w:line="270" w:lineRule="auto"/>
        <w:tabs>
          <w:tab w:leader="none" w:pos="66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attributed proportion of the AOCI balance associated with the ownership interests in Centuri held by the new investors as of the Centuri IPO date, amounts for which were reclassified from AOCI to Additional paid-in capital on the Company’s Condensed Consolidated Balance Sheet.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AOCI, presented on Southwest’s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Defined Benefit Plans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Tax</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60" w:type="dxa"/>
            <w:vAlign w:val="bottom"/>
          </w:tcPr>
          <w:p>
            <w:pPr>
              <w:spacing w:after="0"/>
              <w:rPr>
                <w:sz w:val="12"/>
                <w:szCs w:val="12"/>
                <w:color w:val="auto"/>
              </w:rPr>
            </w:pPr>
          </w:p>
        </w:tc>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Before-Tax</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(Expense)</w:t>
            </w:r>
          </w:p>
        </w:tc>
        <w:tc>
          <w:tcPr>
            <w:tcW w:w="200" w:type="dxa"/>
            <w:vAlign w:val="bottom"/>
          </w:tcPr>
          <w:p>
            <w:pPr>
              <w:spacing w:after="0"/>
              <w:rPr>
                <w:sz w:val="12"/>
                <w:szCs w:val="12"/>
                <w:color w:val="auto"/>
              </w:rPr>
            </w:pPr>
          </w:p>
        </w:tc>
        <w:tc>
          <w:tcPr>
            <w:tcW w:w="9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After-Tax</w:t>
            </w:r>
          </w:p>
        </w:tc>
        <w:tc>
          <w:tcPr>
            <w:tcW w:w="0" w:type="dxa"/>
            <w:vAlign w:val="bottom"/>
          </w:tcPr>
          <w:p>
            <w:pPr>
              <w:spacing w:after="0"/>
              <w:rPr>
                <w:sz w:val="1"/>
                <w:szCs w:val="1"/>
                <w:color w:val="auto"/>
              </w:rPr>
            </w:pPr>
          </w:p>
        </w:tc>
      </w:tr>
      <w:tr>
        <w:trPr>
          <w:trHeight w:val="196"/>
        </w:trPr>
        <w:tc>
          <w:tcPr>
            <w:tcW w:w="7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Benefit (8)</w:t>
            </w:r>
          </w:p>
        </w:tc>
        <w:tc>
          <w:tcPr>
            <w:tcW w:w="2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2023</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12,804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0" w:type="dxa"/>
            <w:vAlign w:val="bottom"/>
          </w:tcPr>
          <w:p>
            <w:pPr>
              <w:spacing w:after="0"/>
              <w:rPr>
                <w:sz w:val="1"/>
                <w:szCs w:val="1"/>
                <w:color w:val="auto"/>
              </w:rPr>
            </w:pPr>
          </w:p>
        </w:tc>
      </w:tr>
      <w:tr>
        <w:trPr>
          <w:trHeight w:val="195"/>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(6)</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Regulatory adjustment (7)</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attributable to Southwest Gas Corporation</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0" w:type="dxa"/>
            <w:vAlign w:val="bottom"/>
          </w:tcPr>
          <w:p>
            <w:pPr>
              <w:spacing w:after="0"/>
              <w:rPr>
                <w:sz w:val="1"/>
                <w:szCs w:val="1"/>
                <w:color w:val="auto"/>
              </w:rPr>
            </w:pPr>
          </w:p>
        </w:tc>
      </w:tr>
      <w:tr>
        <w:trPr>
          <w:trHeight w:val="196"/>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AOCI September 30, 2024</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(51,833)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12,439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(39,394)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80" w:right="20" w:hanging="10"/>
        <w:spacing w:after="0" w:line="259" w:lineRule="auto"/>
        <w:tabs>
          <w:tab w:leader="none" w:pos="6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2 – Components of Net Periodic Benefit Cost</w:t>
      </w:r>
      <w:r>
        <w:rPr>
          <w:rFonts w:ascii="Times New Roman" w:cs="Times New Roman" w:eastAsia="Times New Roman" w:hAnsi="Times New Roman"/>
          <w:sz w:val="16"/>
          <w:szCs w:val="16"/>
          <w:color w:val="auto"/>
        </w:rPr>
        <w:t xml:space="preserve"> for additional details).</w:t>
      </w:r>
    </w:p>
    <w:p>
      <w:pPr>
        <w:ind w:left="180" w:right="20" w:hanging="10"/>
        <w:spacing w:after="0" w:line="255" w:lineRule="auto"/>
        <w:tabs>
          <w:tab w:leader="none" w:pos="6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amounts (before income tax impacts) included in AOCI (in the tables above), that have not yet been recognized in net periodic benefit cost: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(361,968)</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recognized in regulatory assets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309,794</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in AOCI</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(53,352)</w:t>
            </w:r>
          </w:p>
        </w:tc>
      </w:tr>
      <w:tr>
        <w:trPr>
          <w:trHeight w:val="21"/>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two reportable segments. Southwest comprises the natural gas distribution segment and Centuri comprises the utility infrastructure services segment. As a result of the MountainWest sale in February 2023 (previously comprising the pipeline and storage segment), the information for the nine months ended September 30, 2023 presented below for MountainWest reflects activity from January 1, 2023 through February 13, 2023 (the last full day of its ownership by the Company).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Centuri accounts for services provided to Southwest at contractual prices. Accounts receivable for these services, which are not eliminated during consolidation, are presented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accounts receivable for services provided to Southwest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order to reconcile the table below to net income (loss) as disclosed in the Condensed Consolidated Statements of Income, an Other column is included associated with impacts of corporate and administrative activities related to</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Southwest Gas Holdings, Inc. The financial information pertaining to the natural gas distribution, utility infrastructure services, and pipeline and storage segments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180" w:type="dxa"/>
            <w:vAlign w:val="bottom"/>
          </w:tcPr>
          <w:p>
            <w:pPr>
              <w:spacing w:after="0"/>
              <w:rPr>
                <w:sz w:val="17"/>
                <w:szCs w:val="17"/>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8"/>
              </w:rPr>
              <w:t>Pipeline and</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Storage</w:t>
            </w:r>
          </w:p>
        </w:tc>
        <w:tc>
          <w:tcPr>
            <w:tcW w:w="280" w:type="dxa"/>
            <w:vAlign w:val="bottom"/>
          </w:tcPr>
          <w:p>
            <w:pPr>
              <w:spacing w:after="0"/>
              <w:rPr>
                <w:sz w:val="21"/>
                <w:szCs w:val="21"/>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692,822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1,051,953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27,231</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359,131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720,053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1,079,184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394,603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745,639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1,140,242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394,603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774,889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1,169,492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16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180" w:type="dxa"/>
            <w:vAlign w:val="bottom"/>
          </w:tcPr>
          <w:p>
            <w:pPr>
              <w:spacing w:after="0"/>
              <w:rPr>
                <w:sz w:val="24"/>
                <w:szCs w:val="24"/>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8"/>
              </w:rPr>
              <w:t>Pipeline and</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5"/>
                <w:szCs w:val="15"/>
                <w:color w:val="auto"/>
              </w:rPr>
            </w:pPr>
          </w:p>
        </w:tc>
        <w:tc>
          <w:tcPr>
            <w:tcW w:w="10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4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Storage</w:t>
            </w:r>
          </w:p>
        </w:tc>
        <w:tc>
          <w:tcPr>
            <w:tcW w:w="2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1,922,157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1,840,961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3,763,118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79,190</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1,922,157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1,920,151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3,842,308</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(36,412)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1,797,348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2,145,601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3,978,081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88,360</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1,797,348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2,233,961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4,066,441</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150,565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(81,159)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and administrative activities for Southwest Gas Holdings, Inc. in the three months ending September 30, 2024 include approximately $11.5 million of interest expense, including amounts incurred under the $550 million Term Loan entered into in April 2023, along with the types of costs customarily incurred at the corporate/holding company level, offset by tax benefits experienced during the quarter.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Centuri Separation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the Company and Centuri Holdings, Inc. announced the completion of the Centuri IPO of 12,400,000 shares of Centuri’s common stock at a price of $21.00 per share. Centuri granted the underwriters a 30-day option to purchase up to an additional 1,860,000 shares of its common stock, which was exercised. In addition, Centuri announced the concurrent private placement of an additional 2,591,929 shares at a price equal to the Centuri IPO price, with Icahn Partners LP and Icahn Partners Master Fund LP, investment entities associated with Carl C. Icahn. Centuri’s common stock is listed on the New York Stock Exchange under the symbol “CTRI” and began trading on April 18, 2024. The net proceeds to Centuri from the Centuri IPO and the concurrent private placement, after deducting underwriting discounts and commissions of $18 million and offering expenses, were approximately $328 million. Centuri used the proceeds to repay a portion (approximately $316 million) of outstanding indebtedness under its revolving credit and term loan facility, with the remainder for general corporate purposes.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completion of the Centuri IPO, the Company owns approximately 81% of all ownership interests in Centuri, and continues to consolidate the financial results of Centuri. As of the IPO date, management determined the carrying value of the noncontrolling interest based on the relationship that the ownership interest of the new investors bears to the carrying value (net</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assets) of Centuri (as reflected in the Company’s consolidated financial information). The difference between the fair value of proceeds from the Centuri IPO and the carrying value of the noncontrolling interest is reflected as an increase in Additional paid-in capital of the Company. As of September 30, 2024, $176.9 million is reflected as equity attributable to noncontrolling interest in the Company’s Condensed Consolidated Balance Sheet. Net income attributable to noncontrolling interests for the three- and nine- months ended September 30, 2024 were $2.3 million and $4.2 million, respectively, which reflect from the time of the closing of the Centuri IPO on April 22, 2024 through the period ended September 30, 2024. Refer to the Company’s Condensed Consolidated Statement of Income and the Condensed Consolidated Statement of Equity for impacts associated with the noncontrolling interest in Centuri.</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reflects the effects of changes in the Company’s ownership interest in Centuri on the Company’s equity:</w:t>
            </w: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11"/>
        </w:trPr>
        <w:tc>
          <w:tcPr>
            <w:tcW w:w="8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8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106,359</w:t>
            </w: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additional paid-in capital as a result of Centuri IPO</w:t>
            </w: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154,287</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from net income attributable to Southwest Gas Holdings, Inc. and transfers from noncontrolling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260,646</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intends to further reduce its ownership in future periods by means of: sales of its remaining Centuri shares into the market, a distribution of Centuri shares to Company stockholders, an exchange of Centuri shares for Southwest Gas Holdings, Inc. shares, or a combination thereof. The Company entered into several agreements with Centuri Holdings, Inc. in connection with the Centuri IPO and the planned separation of Centuri, providing a framework for the relationship between the Company and Centuri after the Centuri IPO, including a Separation Agreement, a Tax Matters Agreement, and a Registration Rights Agreement. Centuri’s new Board of Directors includes certain overlapping board members with the Company, including Andrew W. Evans, Anne L. Mariucci, and Karen S. Haller (the Company’s Chief Executive Officer).</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Holdings, Inc. is a holding company that owns all of the shares of common stock of Southwest Gas Corporation (“Southwest” or the “natural gas distribution” segment), until April 22, 2024, all of the shares of common stock of Centuri Group, Inc. (the “utility infrastructure services” segment), and until February 14, 2023, all of the shares of common stock of MountainWest Pipelines Holding Company (“MountainWest”). Southwest Gas Holdings, Inc. and its subsidiaries are collectively referred to as the “Company.” References to “Centuri” relate to Centuri Group, Inc., for periods prior to April 22, 2024, or subsequently, to Centuri Holdings, Inc.</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Company announced that its Board of Directors (the “Board”) unanimously determined to take strategic actions to simplify the Company’s portfolio of businesses. These actions included entering into a definitive agreement to sell 100% of MountainWest in an all-cash transaction that closed on February 14, 2023. Additionally, the Company determined it would pursue a separation of Centuri, including forming a new independent publicly traded utility infrastructure services company.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the Company and Centuri Holdings, Inc. announced the completion of an initial public offering (“IPO”) of Centuri’s common stock, with the issuance of 14,260,000 shares ($0.01 par value) at a price of $21.00 per share, along with a concurrent private placement of 2,591,929 shares, at a price equal to the IPO price, with Icahn Partners LP and Icahn Partners Master Fund LP, investment entities associated with Carl C. Icahn. The Company owns approximately 81% of Centuri following these events. Through the first quarter of 2024 and leading up to the IPO, Centuri was a wholly owned subsidiary of Southwest Gas Holdings, Inc. The net proceeds to Centuri from the IPO and the concurrent private placement totaled approximately $328 million, including optional purchase of IPO shares from underwriters. The Company intends to further reduce its ownership interest in future periods by means of: sales of its remaining Centuri shares into the market, a distribution of Centuri shares to Company stockholders, an exchange of Centuri shares for Southwest Gas Holdings, Inc. shares, or a combination thereof.</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includes Southwest, which is engaged in the business of purchasing, distributing, and transporting natural gas for customers in portions of Arizona, Nevada, and California. Southwest is the largest regulated distributor of natural gas in Arizona and Nevada, and also distributes and transports natural gas for customers in portions of California. Additionally, through its subsidiaries, Southwest operates two regulated interstate pipelines serving portions of Nevada and California. Southwest makes investments in infrastructure to support customer demand associated with population growth and economic development activity and the safe and reliable operation of its system through adherence to integrity management programs.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September 30, 2024, Southwest had 2,248,000 residential, commercial, industrial, and other natural gas customers, of which 1,205,000 customers were located in Arizona, 837,000 in Nevada, and 206,000 in California. </w:t>
      </w:r>
      <w:r>
        <w:rPr>
          <w:rFonts w:ascii="Times New Roman" w:cs="Times New Roman" w:eastAsia="Times New Roman" w:hAnsi="Times New Roman"/>
          <w:sz w:val="18"/>
          <w:szCs w:val="18"/>
          <w:color w:val="212529"/>
        </w:rPr>
        <w:t>Over the past twelve months, first-time meter sets were approximately 41,000,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comparable to the number of new meter sets during the twelve months ended September 30, 2023. </w:t>
      </w:r>
      <w:r>
        <w:rPr>
          <w:rFonts w:ascii="Times New Roman" w:cs="Times New Roman" w:eastAsia="Times New Roman" w:hAnsi="Times New Roman"/>
          <w:sz w:val="18"/>
          <w:szCs w:val="18"/>
          <w:color w:val="000000"/>
        </w:rPr>
        <w:t>Residential and small commercial customers represented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over 99% of the total customer base. During the twelve months ended September 30, 2024, 53% of operating margin (Regulated operations revenues less the net cost of gas sold) was earned in Arizona, 35% in Nevada, and 12% in California. During this same period, Southwest earned 86% of its operating margin from residential and small commercial customers, 4% from other sales customers, and 10% from transportation customers. These patterns are expected to remain materially consistent for the foreseeable future.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Southwest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accounting principles generally accepted in the United States (“U.S. GAAP”). Thus, operating margin is considered a non-GAAP measure. Management uses this financial measure because Regulated operations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relief may impact our earnings. Refer to the Summary Operating Results table below for a reconciliation of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Management’s Discussion and Analysis, for details of various rate proceedings.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variability and conservation on operating margin, allowing Southwest to pursue energy efficiency initiatives. Nearly all of our customers, and resulting revenue and margin, are included as part of mechanisms that reduce the impact of weather and volume variability on our earnings.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is a strategic infrastructure services company that partners with regulated utilities to build and maintain the energy network that fuels millions of homes and businesses across the United States (“U.S.”) and Canada. With a commitment to serve as long-term partners to customers and communities, Centuri’s employees enable regulated utilities to safely and reliably deliver natural gas and electricity, as well as achieve their goals for environmental sustainability. Centuri operates in 88 primary locations across 45 states and provinces in the U.S. and Canada. It operates in the U.S., primarily as NPL, Neuco, Linetec, and Riggs Distler, and in Canada, primarily as NPL Canada.</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activity can be impacted by changes in infrastructure replacement programs and capital budgets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Likewise, there has been similar attention placed on electric grid modernization through national infrastructure legislation and related initiatives.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All of our businesses may be impacted by economic conditions that impact businesses generally, such as inflationary impacts on goods and services consumed in the business, rising or sustained high interest rates, labor markets and costs (including in regard to contracted or professional services), and the availability of those resources. Certain of these impacts may be more predominant in certain of our operations, such as with regard to fuel costs for work equipment and skilled/trade labor costs at Centuri.</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Company’s Annual Report on Form 10-K for the fiscal year ended December 31, 2023, in addition to the Risk Factors included in these documents as may be updated from time to time.</w:t>
      </w: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and Southwest’s operations and are covered in greater detail in later sections of MD&amp;A.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Period Ended September 30,</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Three Months</w:t>
            </w:r>
          </w:p>
        </w:tc>
        <w:tc>
          <w:tcPr>
            <w:tcW w:w="28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w:t>
            </w:r>
          </w:p>
        </w:tc>
        <w:tc>
          <w:tcPr>
            <w:tcW w:w="780" w:type="dxa"/>
            <w:vAlign w:val="bottom"/>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Contribution to net income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Natural gas distribution</w:t>
            </w:r>
          </w:p>
        </w:tc>
        <w:tc>
          <w:tcPr>
            <w:tcW w:w="4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163,991</w:t>
            </w: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150,565</w:t>
            </w:r>
          </w:p>
        </w:tc>
      </w:tr>
      <w:tr>
        <w:trPr>
          <w:trHeight w:val="229"/>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Utility infrastructure services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24,902</w:t>
            </w:r>
          </w:p>
        </w:tc>
      </w:tr>
      <w:tr>
        <w:trPr>
          <w:trHeight w:val="229"/>
        </w:trPr>
        <w:tc>
          <w:tcPr>
            <w:tcW w:w="20" w:type="dxa"/>
            <w:vAlign w:val="bottom"/>
          </w:tcPr>
          <w:p>
            <w:pPr>
              <w:spacing w:after="0"/>
              <w:rPr>
                <w:sz w:val="19"/>
                <w:szCs w:val="19"/>
                <w:color w:val="auto"/>
              </w:rPr>
            </w:pPr>
          </w:p>
        </w:tc>
        <w:tc>
          <w:tcPr>
            <w:tcW w:w="61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Pipeline and storage</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w:t>
            </w: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(81,159)</w:t>
            </w:r>
          </w:p>
        </w:tc>
      </w:tr>
      <w:tr>
        <w:trPr>
          <w:trHeight w:val="223"/>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29"/>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71,626</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Basic earnings per share</w:t>
            </w:r>
          </w:p>
        </w:tc>
        <w:tc>
          <w:tcPr>
            <w:tcW w:w="4340" w:type="dxa"/>
            <w:vAlign w:val="bottom"/>
            <w:tcBorders>
              <w:bottom w:val="single" w:sz="8" w:color="CCEEFF"/>
            </w:tcBorders>
            <w:gridSpan w:val="3"/>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Natural Gas Distribution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Gross Margin to Operating Margin (Non-GAAP measure)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471,235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443,005</w:t>
            </w: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233,302</w:t>
            </w: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218,763</w:t>
            </w:r>
          </w:p>
        </w:tc>
      </w:tr>
      <w:tr>
        <w:trPr>
          <w:trHeight w:val="223"/>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247,419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224,547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895,070</w:t>
            </w:r>
          </w:p>
        </w:tc>
      </w:tr>
      <w:tr>
        <w:trPr>
          <w:trHeight w:val="21"/>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3rd Quarter 2024 overview and other recent developments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Holdings highlights include the following:</w:t>
      </w:r>
    </w:p>
    <w:p>
      <w:pPr>
        <w:spacing w:after="0" w:line="27" w:lineRule="exact"/>
        <w:rPr>
          <w:sz w:val="20"/>
          <w:szCs w:val="20"/>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third quarter of 2024 with more than $450 million of cash on a consolidated basis; the Company no longer expects to issue equity in 2024, and continues to expect limited capital market needs through the end of 2025 (depending on the post-IPO Centuri separation execution form)</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$550 million term loan credit agreement in the third quarter of 2024, which now matures on July 31, 2025, with a 17.5 basis point reduction in the applicable spread</w:t>
      </w: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administrative results at the parent holding company reflect lower expense levels and an improvement overall compared to the same period in 2023</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Natural gas distribution highlights include the following:</w:t>
      </w:r>
    </w:p>
    <w:p>
      <w:pPr>
        <w:spacing w:after="0" w:line="27" w:lineRule="exact"/>
        <w:rPr>
          <w:sz w:val="20"/>
          <w:szCs w:val="20"/>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earlier refreshed Nevada rates in April 2024, Great Basin rates were effective September 2024 (subject to refund), and the California rate case was filed in the third quarter of 2024; advanced Arizona rate case</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record twelve-month operating margin of $1.3 billion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41,000 first-time meters sets occurred over the past 12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quarter with over $400 million in cash (given collection of previously deferred purchased gas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$400 million revolving credit facility in the third quarter of 2024, which now expires in August 2029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$644 million capital investment year-to-date</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Utility infrastructure services highlights include the following:</w:t>
      </w:r>
    </w:p>
    <w:p>
      <w:pPr>
        <w:spacing w:after="0" w:line="27" w:lineRule="exact"/>
        <w:rPr>
          <w:sz w:val="20"/>
          <w:szCs w:val="20"/>
          <w:color w:val="auto"/>
        </w:rPr>
      </w:pP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$720 million in the third quarter of 2024 reflect a decrease of $54.8 million, or 7%, compared to the third quarter of 2023 (which included favorable weather and more offshore wind and storm restoration work)</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$41.9 million in the third quarter of 2024, a decrease of $11 million, compared to the third quarter 2023 operating income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accounts receivable securitization facility, resulting in incremental cash as of September 30,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allocation discipline and efficient asset utilization resulted in reductions in depreciation expense</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Natural Gas Distribution</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1"/>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1100" w:type="dxa"/>
            <w:vAlign w:val="bottom"/>
            <w:tcBorders>
              <w:bottom w:val="single" w:sz="8" w:color="auto"/>
            </w:tcBorders>
          </w:tcPr>
          <w:p>
            <w:pPr>
              <w:spacing w:after="0"/>
              <w:rPr>
                <w:sz w:val="20"/>
                <w:szCs w:val="20"/>
                <w:color w:val="auto"/>
              </w:rPr>
            </w:pP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394,603</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111,712</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170,056</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247,419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224,547</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122,270</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69,268</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21,147</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14,537</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35,772</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1"/>
        </w:trPr>
        <w:tc>
          <w:tcPr>
            <w:tcW w:w="1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from natural gas distribution operations improved $3.8 million between the third quarters of 2024 and 2023. The improvement was primarily due to an increase in Operating margin and Other income, offset by an increase in Operations and maintenance expense, Depreciation and amortization, and net interest deductions.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margin increased $22.9 million quarter over quarter. Combined rate relief in Nevada and California added approximately $16 million of incremental margin, and an additional $2 million was attributable to customer growth, including approximately 41,000 first-time meter sets during the last twelve months. The combined impacts of increases in recovery/return associated with regulatory account balances ($1 million), and the variable interest expense adjustment mechanism in Nevada ($2 million) (for which amortization is recognized in interest expense), also resulted in incremental margin between comparable periods. The remaining variance primarily relates to changes in other miscellaneous revenue and revenue from customers outside of the decoupling mechanisms.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Operations and maintenance expense increased $7.5 million or 6% between quarters. General cost increases (net of amounts capitalized in Gas plant, where relevant, to support construction efforts) were experienced in a variety of areas, including $3.2 million (combined) of incremental labor-related and benefit costs, including incentive compensation costs, $1.6 million (combined) of incremental leak survey and line locating costs, $1.1 million of higher insurance costs, and $1.2 million of increased reserves for customer accounts deemed uncollectible. These increases, and others, were partially offset by a reduction in certain external contractor and professional services expenses.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$4.9 million, or 7%, between quarters, primarily due to a $755 million, or 8% increase in average gas plant in service since the corresponding third quarter of 2023, in addition to $1 million of increased amortization related to regulatory account balances. The increase in plant was attributable to pipeline capacity reinforcement work, franchise requirements, scheduled pipe replacement activities, and new infrastructure.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(which is net of other deductions) increased $2.1 million between quarters. The increase was primarily driven by a $4.7 million increase in values associated with company-owned life insurance (“COLI”) policies and a $1.9 million increase in the equity portion of the allowance for funds used during construction. Offsetting these increases was a $1 million increase in non-service-related costs associated with employee pension and other postretirement benefits and a $4.5 million decrease in interest income primarily reflecting a reduction in carrying charges associated with regulatory account balances, notably, deferred purchased gas cost balances, which, on a combined basis, decreased from an asset balance of $687 million as of September 30, 2023 to a net liability balance of $180 million as of September 30, 2024. Interest is earned when balances are assets and interest expense is incurred when balances are liabilities.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deductions increased approximately $6.5 million in the third quarter of 2024, as compared to the prior-year quarter, primarily due to the regulatory treatment associated with Southwest’s industrial development revenue bonds (the variable interest expense mechanism noted above), which incorporates the impacts of deferrals and return/recoveries. Surcharges/surcredits associated with the mechanism are included in revenue/operating margin when included in customer rates; however, related regulatory account amortization is reflected in interest expense. Additionally contributing to the increase was interest</w:t>
      </w: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31" w:name="page32"/>
    <w:bookmarkEnd w:id="3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incurred on the over-collected balance of the PGA, and a lower level of debt-related allowance for funds used during construction (“AFUDC”). By its nature, debt-related AFUDC is recognized as a reduction/offset to interest expense; however, such offsetting amounts were lower in the third quarter of 2024 (more pronounced in the third quarter of 2023), thereby increasing interest expense between comparative periods.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Natural Gas Distribution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Nine-Month Analysis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18"/>
        </w:trPr>
        <w:tc>
          <w:tcPr>
            <w:tcW w:w="1580" w:type="dxa"/>
            <w:vAlign w:val="bottom"/>
            <w:tcBorders>
              <w:top w:val="single" w:sz="8" w:color="auto"/>
            </w:tcBorders>
          </w:tcPr>
          <w:p>
            <w:pPr>
              <w:spacing w:after="0"/>
              <w:rPr>
                <w:sz w:val="24"/>
                <w:szCs w:val="24"/>
                <w:color w:val="auto"/>
              </w:rPr>
            </w:pPr>
          </w:p>
        </w:tc>
        <w:tc>
          <w:tcPr>
            <w:tcW w:w="5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120" w:type="dxa"/>
            <w:vAlign w:val="bottom"/>
          </w:tcPr>
          <w:p>
            <w:pPr>
              <w:spacing w:after="0"/>
              <w:rPr>
                <w:sz w:val="24"/>
                <w:szCs w:val="24"/>
                <w:color w:val="auto"/>
              </w:rPr>
            </w:pPr>
          </w:p>
        </w:tc>
      </w:tr>
      <w:tr>
        <w:trPr>
          <w:trHeight w:val="237"/>
        </w:trPr>
        <w:tc>
          <w:tcPr>
            <w:tcW w:w="158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tcBorders>
              <w:bottom w:val="single" w:sz="8" w:color="auto"/>
            </w:tcBorders>
          </w:tcPr>
          <w:p>
            <w:pPr>
              <w:spacing w:after="0"/>
              <w:rPr>
                <w:sz w:val="20"/>
                <w:szCs w:val="20"/>
                <w:color w:val="auto"/>
              </w:rPr>
            </w:pPr>
          </w:p>
        </w:tc>
      </w:tr>
      <w:tr>
        <w:trPr>
          <w:trHeight w:val="23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1,922,157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1,797,348</w:t>
            </w:r>
          </w:p>
        </w:tc>
      </w:tr>
      <w:tr>
        <w:trPr>
          <w:trHeight w:val="23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984,188</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902,278</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937,969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895,070</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390,229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378,189</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220,663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218,763</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66,414</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65,491</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232,627</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51,722</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118,595</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111,498</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172,851</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27,053</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22,286</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163,991</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150,565</w:t>
            </w:r>
          </w:p>
        </w:tc>
      </w:tr>
      <w:tr>
        <w:trPr>
          <w:trHeight w:val="21"/>
        </w:trPr>
        <w:tc>
          <w:tcPr>
            <w:tcW w:w="15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Results from natural gas distribution operations improved approximately $13 million between the first nine months of 2024 and 2023. The improvement was primarily due to an increase in Operating margin, offset by an increase in Operations and maintenance expense and Net interest deductions.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margin increased $43 million period over period. Approximately $9 million of incremental margin was attributable to customer growth, including approximately 41,000 first-time meter sets during the last twelve months. Combined rate relief across all our service territories added approximately $44 million of incremental margin. Favorable impacts ($6.4 million, combined) were also realized in connection with certain rate components of infrastructure trackers and the Nevada variable interest expense mechanism. Furthermore, late fee assessments on customer account balances provided approximately $3 million in incremental margin. Offsetting these increases was a decrease in recoveries associated with other regulatory programs, totaling $8.6 million, for which an associated comparable decrease is also reflected in amortization expense (discussed below). In addition, an $8 million out-of-period favorable gas cost adjustment in the prior-year period did not recur in 2024. Customary gas used in operations (the effects of which are offset in Operations and maintenance expense) also reduced operating margin ($3.8 million) in the current period. Changes in miscellaneous revenue and customers outside of the decoupling mechanisms comprise the remaining variance.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Operations and maintenance expense increased $12 million, or 3%, between periods. General cost increases (net of amounts capitalized in Gas plant, where relevant, to support construction efforts), were experienced in a variety of areas, including $7.6 million of (combined) incremental employee labor-related and benefit costs, including incentive compensation costs, $5.3 million (combined) of incremental leak survey and line locating costs, and $2 million in higher insurance costs. These increases, along with others, were partially offset by impacts from the cost of fuel used in operations as noted above and a reduction in other contractor and professional services.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increased approximately $1.9 million, or 1%, between periods, due primarily to an increase in depreciation on gas plant, reflective of a $710 million, or 7%, increase in average gas plant in service since the corresponding period of 2023. The increase in plant was attributable to pipeline capacity reinforcement work, franchise requirements, scheduled pipe replacement activities, and new infrastructure. This increase was largely offset by a decrease of $8.6 million in amortization associated with the recovery of regulatory program balances (noted earlier), including a sizeable difference in the amount of the California Climate Credit between periods.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(which is net of other deductions) decreased approximately $2.7 million. Interest income declined $12.6 million between periods primarily reflecting a reduction to carrying charges associated with regulatory account balances, notably, deferred purchased gas cost balances, which decreased from an asset balance of $687 million as of September 30, 2023 to a net</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liability balance of $180 million as of September 30, 2024. Additionally, non-service-related costs associated with employee pension and other postretirement benefits increased by $3 million. Offsetting these was a $5.5 million increase in the equity portion of the allowance for funds used during construction, a $3 million increase in values associated with COLI policies (the comparative prior-year period also included net death benefits), and $3.8 million related to nonrecoverable software write-offs and market adjustments on other property in the prior year period that did not recur in 2024.</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deductions increased $7.1 million in the first nine months of 2024, as compared to the prior-year period, including the impacts of the regulatory treatment associated with Southwest’s industrial development revenue bonds, and due to a lower level of debt-related AFUDC, which had the impact of increasing interest expense on a relative basis in 2024. Offsetting these impacts was a decrease in interest related to the payoff in April 2023 of a $450 million term loan.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1100" w:type="dxa"/>
            <w:vAlign w:val="bottom"/>
            <w:tcBorders>
              <w:bottom w:val="single" w:sz="8" w:color="auto"/>
            </w:tcBorders>
          </w:tcPr>
          <w:p>
            <w:pPr>
              <w:spacing w:after="0"/>
              <w:rPr>
                <w:sz w:val="20"/>
                <w:szCs w:val="20"/>
                <w:color w:val="auto"/>
              </w:rPr>
            </w:pP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720,053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774,889</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644,928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685,687</w:t>
            </w:r>
          </w:p>
        </w:tc>
      </w:tr>
      <w:tr>
        <w:trPr>
          <w:trHeight w:val="229"/>
        </w:trPr>
        <w:tc>
          <w:tcPr>
            <w:tcW w:w="7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36,252</w:t>
            </w:r>
          </w:p>
        </w:tc>
      </w:tr>
      <w:tr>
        <w:trPr>
          <w:trHeight w:val="223"/>
        </w:trPr>
        <w:tc>
          <w:tcPr>
            <w:tcW w:w="7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52,950</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26,131</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26,927</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17,956</w:t>
            </w:r>
          </w:p>
        </w:tc>
      </w:tr>
      <w:tr>
        <w:trPr>
          <w:trHeight w:val="20"/>
        </w:trPr>
        <w:tc>
          <w:tcPr>
            <w:tcW w:w="1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Utility infrastructure services revenues decreased $54.8 million, or 7%, in the third quarter of 2024 when compared to the prior-year quarter, driven primarily by decreased gas utility infrastructure services (“Gas”) revenues of $33.9 million and decreased electric utility infrastructure services (“Electric”) revenues of $14.3 million. The decrease in Gas revenues was primarily due to a reduction in net volumes under existing master services agreements (“MSAs”). The decrease in Electric revenues was primarily due to a decrease in offshore wind revenues of $38 million compared to the prior-year period, partially offset by an increase in emergency restoration services revenue of approximately $22.5 million.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expenses decreased $40.8 million, or 6%, in the third quarter of 2024 when compared to the prior-year quarter due primarily to a lower volume of infrastructure services provided. Subcontractor costs, a significant component of these expenses, decreased during the third quarter of 2024 compared to the prior-year quarter primarily due to decreased work under offshore wind projects and changes in the mix of work. Profit margin in the third quarter of 2024 also decreased on a relative basis, primarily due to lower margins on bid work (as the prior year quarter benefited from a highly profitable project bid that did not recur in the current quarter), decreased volumes on MSAs leading to underutilization of fixed costs, and unfavorable changes in the mix of work. Included in total Utility infrastructure services expenses were general and administrative costs, which increased approximately $0.6 million between quarters. Gains on sale of equipment in the third quarter of 2024 and 2023 (reflected as an offset to Utility infrastructure services expenses) were approximately $0.7 million and $1.1 million, respectively.</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decreased $3 million between periods, primarily due to a number of small tools within Electric operations becoming fully depreciated in 2023 and not requiring replacement based on project needs. Additionally, more efficient utilization of existing fixed assets in recent periods has slowed the growth of the depreciable asset base, with capital expenditures of $106.6 million in 2023 compared to capital expenditures of $130.2 million in 2022, which impacted depreciation on a relative basis in the periods following.</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interest deductions of $2.2 million between quarters was primarily due to a reduction in the average debt balance, as Centuri paid down $156 million of debt under its revolving credit facility and $160 million of debt under its term loan facility with proceeds from its April 2024 IPO and private placement.</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Income tax expense decreased $2.4 million between quarters, primarily due to a decrease in pre-tax income in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580" w:type="dxa"/>
            <w:vAlign w:val="bottom"/>
            <w:tcBorders>
              <w:top w:val="single" w:sz="8" w:color="auto"/>
            </w:tcBorders>
          </w:tcPr>
          <w:p>
            <w:pPr>
              <w:spacing w:after="0"/>
              <w:rPr>
                <w:sz w:val="24"/>
                <w:szCs w:val="24"/>
                <w:color w:val="auto"/>
              </w:rPr>
            </w:pPr>
          </w:p>
        </w:tc>
        <w:tc>
          <w:tcPr>
            <w:tcW w:w="5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120" w:type="dxa"/>
            <w:vAlign w:val="bottom"/>
          </w:tcPr>
          <w:p>
            <w:pPr>
              <w:spacing w:after="0"/>
              <w:rPr>
                <w:sz w:val="24"/>
                <w:szCs w:val="24"/>
                <w:color w:val="auto"/>
              </w:rPr>
            </w:pPr>
          </w:p>
        </w:tc>
      </w:tr>
      <w:tr>
        <w:trPr>
          <w:trHeight w:val="236"/>
        </w:trPr>
        <w:tc>
          <w:tcPr>
            <w:tcW w:w="158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tcBorders>
              <w:bottom w:val="single" w:sz="8" w:color="auto"/>
            </w:tcBorders>
          </w:tcPr>
          <w:p>
            <w:pPr>
              <w:spacing w:after="0"/>
              <w:rPr>
                <w:sz w:val="20"/>
                <w:szCs w:val="20"/>
                <w:color w:val="auto"/>
              </w:rPr>
            </w:pPr>
          </w:p>
        </w:tc>
      </w:tr>
      <w:tr>
        <w:trPr>
          <w:trHeight w:val="23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1,920,151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2,233,961</w:t>
            </w: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1,765,116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2,005,084</w:t>
            </w:r>
          </w:p>
        </w:tc>
      </w:tr>
      <w:tr>
        <w:trPr>
          <w:trHeight w:val="229"/>
        </w:trPr>
        <w:tc>
          <w:tcPr>
            <w:tcW w:w="7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101,912</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110,982</w:t>
            </w:r>
          </w:p>
        </w:tc>
      </w:tr>
      <w:tr>
        <w:trPr>
          <w:trHeight w:val="223"/>
        </w:trPr>
        <w:tc>
          <w:tcPr>
            <w:tcW w:w="7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117,895</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70,653</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73,032</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45,174</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28,758</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2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(21,220)</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24,902</w:t>
            </w:r>
          </w:p>
        </w:tc>
      </w:tr>
      <w:tr>
        <w:trPr>
          <w:trHeight w:val="21"/>
        </w:trPr>
        <w:tc>
          <w:tcPr>
            <w:tcW w:w="15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Utility infrastructure services revenues decreased $313.8 million, or 14%, in the first nine months of 2024 when compared to the corresponding period in the prior year driven primarily by decreases in Electric revenues of $163.2 million, and $129.6 million in Gas revenues. The decline in Electric revenues was primarily due to a net reduction in volumes under MSAs, as well as a decrease in offshore wind revenues of $71.4 million compared to the prior-year period. Included in Electric revenue was $87 million from emergency restoration services following storm damage to customers’ above-ground utility infrastructure throughout the U.S. during 2024, compared to $83.4 million in emergency restoration services in the prior year. The decrease in Gas revenues was primarily due to a reduction in net volumes under existing customer MSAs and timing of bid projects, as the prior year benefited from the commencement of a large project that has since been completed.</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expenses decreased $240 million, or 12%, between periods. The decrease was primarily due to lower volume of infrastructure services provided overall. Subcontractor costs, a significant component of these expenses, decreased during the first nine months of 2024 compared to the comparable prior-year period, primarily due to decreased work under offshore wind projects and changes in mix of work. Profit margin also decreased on a relative basis in the current period as compared to the prior period, due to lower margins on bid work, decreased volumes leading to underutilization of fixed costs, and unfavorable changes in the mix of work. General and administrative costs included in total utility infrastructure services expenses decreased approximately $3.9 million between comparative periods, primarily due to lower incentive compensation and lower corporate salary and benefit costs during the current period, partially offset by an increase in one-time severance cost. Gains on sale of equipment (reflected as an offset to Utility infrastructure services expenses) were approximately $2.7 million and $3 million for the nine months ended September 30, 2024 and 2023, respectively.</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decreased $9.1 million between the current and prior-year nine-month periods, primarily due to a number of small tools within Electric operations becoming fully depreciated in 2023 and not requiring replacement based on project needs. Additionally, more efficient utilization of existing fixed assets in recent periods has slowed the growth of the depreciable asset base, with capital expenditures of $106.6 million in 2023 compared to capital expenditures of $130.2 million in 2022.</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interest deductions of $2.4 million between the current and prior-year nine-month periods was primarily due to a reduction in the average debt balance, as Centuri paid down $156 million of debt under its revolving credit facility and $160 million of debt under its term loan facility with proceeds from its April 2024 IPO and private placement.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decreased by $15.9 million between periods, primarily due to reduced pre-tax income during the nine-months ended September 30, 2024.</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Rates and Regulatory Proceedings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is subject to the regulation of the Arizona Corporation Commission (“ACC”), the Public Utilities Commission of Nevada (the “PUCN”), and the California Public Utilities Commission (the “CPUC”), and two of Southwest’s subsidiaries are subject to regulation by the Federal Energy Regulatory Commission (the “FERC”).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Southwest filed its 2024 Arizona rate case application in early February 2024, proposing an increase in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$126 million to reflect the continued significant capital investments in the state and to update rates to more closely align with Southwest’s current level of operations and maintenance expense. The request included a return on common equity of 10.15% and a 0.81% fair value increment, relative to a 50% target equity ratio and a proposed twelve-month post-test year adjustment for non-revenue producing plant. In addition to proposing the continuation of full revenue decoupling under the Delivery Charge Adjustment (“DCA”) mechanism, Southwest proposed the establishment of a System Improvement Benefit (“SIB”) mechanism, a capital tracker designed to support required code and regulatory-related infrastructure replacements. Southwest also proposed to set the carrying cost for the interest component of the DCA and Gas Cost Balancing Account (“GCBA”) rate adjustment mechanisms to equal the Commission-authorized Weighted Average Cost of Capital, and to establish an Unrecovered Gas Cost Expense Provision (“UGCE”), which represents the gas cost-related portion of net write-offs of uncollectible customer accounts. The UGCE would allow Southwest to more timely recover commodity and related components of such accounts. While testimony has been filed by the Utilities Division Staff of the ACC and intervenors in the case, management can provide no assurances as to the ultimate outcome. Additional testimony dates and hearings are scheduled for late November 2024. A decision is expected in the first quarter of 2025, with new rates anticipated to become effective in the second quarter of 2025. Southwest’s existing general rates became effective February 1, 2023 following the conclusion of the previous general rate case.</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Delivery Charge Adjustment. </w:t>
      </w:r>
      <w:r>
        <w:rPr>
          <w:rFonts w:ascii="Times New Roman" w:cs="Times New Roman" w:eastAsia="Times New Roman" w:hAnsi="Times New Roman"/>
          <w:sz w:val="18"/>
          <w:szCs w:val="18"/>
          <w:color w:val="auto"/>
        </w:rPr>
        <w:t>The DCA, or Arizona decoupling mechanism, as described above, includes a filing each April, which along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requirements, contemplates a rate to return/recover the over- or under-collected margin balance. The existing rate to return the over-collected balance of $17.5 million existing as of March 31, 2024 was approved and became effective August 1, 2024.</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Reform. </w:t>
      </w:r>
      <w:r>
        <w:rPr>
          <w:rFonts w:ascii="Times New Roman" w:cs="Times New Roman" w:eastAsia="Times New Roman" w:hAnsi="Times New Roman"/>
          <w:sz w:val="18"/>
          <w:szCs w:val="18"/>
          <w:color w:val="auto"/>
        </w:rPr>
        <w:t>A Tax Expense Adjustor Mechanism (“TEAM”) was approved in Southwest’s 2019 general rate case to timely recognize tax rate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federal or state tax legislation following the TEAM implementation. In addition, the TEAM tracks and returns/recovers the revenue requirement impact of changes in the amortization of excess accumulated deferred income taxes (“EADIT”), including that which resulted from 2017 U.S. federal tax reform, compared to the amount authorized in the most recently concluded rate case. Following the inaugural surcredit rate establishment under the TEAM mechanism in December 2022, Southwest has filed subsequent TEAM rate applications, including a recent filing, which proposed to update the TEAM surcredit to refund $5 million of additional estimated EADIT. The adjusted rate became effective June 1, 2024.</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Customer-Owned Yard Line (“COYL”) Program</w:t>
      </w:r>
      <w:r>
        <w:rPr>
          <w:rFonts w:ascii="Times New Roman" w:cs="Times New Roman" w:eastAsia="Times New Roman" w:hAnsi="Times New Roman"/>
          <w:sz w:val="18"/>
          <w:szCs w:val="18"/>
          <w:color w:val="auto"/>
        </w:rPr>
        <w:t>. Southwest originally received approval, in connection with its 2010 Arizona general rate case,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 a program to conduct leak surveys, and if leaks were present, to replace and relocate service lines and meters for Arizona customers whose meters were placed away from the customer’s home, representing a non-traditional configuration. The COYL program has been subject to proceedings to recover investments since that time. In February 2024, Southwest requested approval to recover the outstanding revenue requirement of approximately $1.8 million associated with 2023 COYL investments. The adjusted rate became effective June 15, 2024.</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PGA Modification</w:t>
      </w:r>
      <w:r>
        <w:rPr>
          <w:rFonts w:ascii="Times New Roman" w:cs="Times New Roman" w:eastAsia="Times New Roman" w:hAnsi="Times New Roman"/>
          <w:sz w:val="18"/>
          <w:szCs w:val="18"/>
          <w:color w:val="auto"/>
        </w:rPr>
        <w:t>. On March 1, 2023, Southwest filed a request to adjust the interest rate applicable to the outstanding Purchased Gas Adjustment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(“PGA”) balance to more closely match the interest expense incurred to finance the balance. In the alternative, the filing requested an expansion of the current GCBA adjustment to clear the balance then existing. In July 2023, the ACC approved an increase to the GCBA rate (over a two-year period) effective August 1, 2023, to support the timely recovery of the approximately $358 million balance as of May 31, 2023. The increased GCBA was authorized to remain in place for up to two years or until the balance dropped below $10 million. The GCBA rate was later set to $0.00 per therm, effective October 1, 2024, where it will remain until the under- or over-collected balance exceeds $10 million. The ongoing deferred energy rates, separate from the GCBA rates, continue to be updated monthly.</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Nevada General Rate Case</w:t>
      </w:r>
      <w:r>
        <w:rPr>
          <w:rFonts w:ascii="Times New Roman" w:cs="Times New Roman" w:eastAsia="Times New Roman" w:hAnsi="Times New Roman"/>
          <w:sz w:val="18"/>
          <w:szCs w:val="18"/>
          <w:color w:val="auto"/>
        </w:rPr>
        <w:t>. Southwest filed its most recent general rate case in September 2023 based on the test year ended May 2023. The initial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updated with a certification filing primarily for plant placed in service and incremental annual leak survey costs through November 2023. Those updates resulted in an updated overall request of $74 million, an increase over the initial request of $69.8 million. A stipulation was reached with Regulatory Operations Staff and the Bureau of Consumer Protection, settling certain issues, and agreeing to a black box settlement with a statewide increase of $65.6 million, before any adjustments for the cost of capital. Following a hearing on cost of capital issues, the PUCN issued a decision approving an annual increase in revenues of $59 million, approving the proposed settlement, and authorizing a return on common equity of 9.5%, including the use of a hypothetical capital structure of 50% debt and 50% equity. Included in the settled items were: a continuation of full revenue decoupling; authority to continue tracking incremental annual leak survey costs in a regulatory asset (discussed further below); and refreshed depreciation rates that are somewhat lower than proposed. New rates became effective in April 2024.</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Revenues Adjustment. </w:t>
      </w:r>
      <w:r>
        <w:rPr>
          <w:rFonts w:ascii="Times New Roman" w:cs="Times New Roman" w:eastAsia="Times New Roman" w:hAnsi="Times New Roman"/>
          <w:sz w:val="18"/>
          <w:szCs w:val="18"/>
          <w:color w:val="auto"/>
        </w:rPr>
        <w:t>The General Revenues Adjustment (“GRA”), or Nevada decoupling mechanism, was affirmed as part of Southwest’s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concluded general rate case and adjustments are included in the Annual Rate Adjustment (“ARA”) filings intended to update rates to recover/return amounts associated with various regulatory mechanisms, including the GRA. Southwest made its most recent ARA filing in November 2023 related to the approximate $8.7 million over-collected GRA balance as of September 30, 2023. Recovery of rates and adjustments thereto as part of the ARA primarily impact cash flows, but not net income overall. Updated rates for the GRA and other regulatory mechanisms included in the ARA filing became effective May 1, 2024, earlier than the typical July 1, 2024 effective date. The next ARA filing will be made in November 2024, considering balances as of September 30, 2024. Updated rates are anticipated July 1, 2025.</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Nevada Leak Survey. </w:t>
      </w:r>
      <w:r>
        <w:rPr>
          <w:rFonts w:ascii="Times New Roman" w:cs="Times New Roman" w:eastAsia="Times New Roman" w:hAnsi="Times New Roman"/>
          <w:sz w:val="18"/>
          <w:szCs w:val="18"/>
          <w:color w:val="auto"/>
        </w:rPr>
        <w:t>In 2019, the PUCN opened an Investigation and Rulemaking action to consider certain amendments to the Nevada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requiring annual leak surveys of distribution pipelines transporting natural gas or liquid petroleum. The increased survey activity was to focus on business districts and to be conducted generally on an annual basis (not exceeding 15-month survey intervals). The proposed regulations were permanently adopted effective January 1, 2023. Regulatory asset treatment was approved for the purpose of tracking incremental costs associated with implementing the increased leak surveys. Continuation of the program, along with recovery of earlier incurred amounts over a two-year period, was approved in conjunction with Southwest’s recently completed general rate case.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California General Rate Case. </w:t>
      </w:r>
      <w:r>
        <w:rPr>
          <w:rFonts w:ascii="Times New Roman" w:cs="Times New Roman" w:eastAsia="Times New Roman" w:hAnsi="Times New Roman"/>
          <w:sz w:val="18"/>
          <w:szCs w:val="18"/>
          <w:color w:val="auto"/>
        </w:rPr>
        <w:t>Southwest filed its most recent general rate case in September 2024 related to a future test year (2026), proposing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statewide revenue increase of approximately $49 million, consisting of a revenue increase of $38.5 million for the southern California rate jurisdiction, an increase of $63,000 for the northern California rate jurisdiction, and an increase of $10.2 million for the South Lake Tahoe rate jurisdiction. The request is based on a capital structure consisting of 50% long-term debt and 50% common equity with a requested return on common equity of 11.35%, a modest increase to the 11.16% currently authorized. A continuation of Southwest’s Post Test Year (“PTY”) margin attrition adjustment for attrition years 2027 – 2030 is included, as well as continued use of the Automatic Trigger Mechanism in lieu of annual cost of capital filings. Southwest’s filing also includes a risk-based decision-making framework proposing the continuation of the Targeted Pipe Replacement Program, the Meter Protection Program, and COYL Program, along with the addition of a new Annual Leak Survey Program, collectively under the Infrastructure Reliability and Replacement Adjustment Mechanism umbrella. Authority to establish a Damage Prevention Cost Balancing Account to record and recover (or return) certain costs associated with damage prevention expenses, specifically those related to line locating activities, was also requested. Consolidation of Southwest’s northern California and South Lake Tahoe rate jurisdictions into a single rate-making jurisdiction is also proposed. The rate case will be processed during 2025 with a final decision expected in the fourth quarter of 2025, and new rates are expected to be effective in January 2026.</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Attrition Filing. </w:t>
      </w:r>
      <w:r>
        <w:rPr>
          <w:rFonts w:ascii="Times New Roman" w:cs="Times New Roman" w:eastAsia="Times New Roman" w:hAnsi="Times New Roman"/>
          <w:sz w:val="18"/>
          <w:szCs w:val="18"/>
          <w:color w:val="auto"/>
        </w:rPr>
        <w:t>Following the 2021 implementation of rates approved as part of the previous general rate case, the continuation of annual PTY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attrition increases of 2.75% began in January 2022. The most recent increase included the attrition component, along with adjustments related to the amortization of EADIT, the impact of the Automatic Trigger Mechanism on authorized rate base, and margin associated with the North Lake Tahoe Lateral replacement project. The Automatic Trigger Mechanism adjusts the rate of return up or down (in this case, up) as a result of changes in the average utility bond yield that exceed 100 basis points. The cumulative impact resulted in an annual increase of $11.6 million effective January 2024 for Southwest’s combined southern California, northern California, and South Lake Tahoe rate jurisdictions. The PTY increase of $4.7 million associated with the North Lake Tahoe Lateral revenue requirement became effective February 1, 2024.</w:t>
      </w:r>
    </w:p>
    <w:p>
      <w:pPr>
        <w:spacing w:after="0" w:line="7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 Area Extension. </w:t>
      </w:r>
      <w:r>
        <w:rPr>
          <w:rFonts w:ascii="Times New Roman" w:cs="Times New Roman" w:eastAsia="Times New Roman" w:hAnsi="Times New Roman"/>
          <w:sz w:val="18"/>
          <w:szCs w:val="18"/>
          <w:color w:val="auto"/>
        </w:rPr>
        <w:t>Southwest filed a request to expand its southern California certificated service area, a Certificate of Public Convenience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Necessity (“CPCN”), to include the Army’s National Training Center at Fort Irwin, located northeast</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of Barstow, California. The CPCN was approved by the CPUC in April 2024 and authorizes Southwest to construct approximately 21 miles of distribution main pipeline to deliver natural gas service to the newly certificated area of Fort Irwin, which at the time of filing was estimated to cost approximately $38.7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General Rate Case. </w:t>
      </w:r>
      <w:r>
        <w:rPr>
          <w:rFonts w:ascii="Times New Roman" w:cs="Times New Roman" w:eastAsia="Times New Roman" w:hAnsi="Times New Roman"/>
          <w:sz w:val="18"/>
          <w:szCs w:val="18"/>
          <w:color w:val="auto"/>
        </w:rPr>
        <w:t>Great Basin Gas Transmission Company (“Great Basin”), a wholly owned subsidiary of Southwest, filed notice of a change in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applicable regulations) on March 6, 2024, requesting that rates for natural gas service subject to the filing be made effective April 6, 2024. The</w:t>
      </w:r>
    </w:p>
    <w:p>
      <w:pPr>
        <w:jc w:val="both"/>
        <w:spacing w:after="0" w:line="255" w:lineRule="auto"/>
        <w:rPr>
          <w:sz w:val="20"/>
          <w:szCs w:val="20"/>
          <w:color w:val="auto"/>
        </w:rPr>
      </w:pPr>
      <w:r>
        <w:rPr>
          <w:rFonts w:ascii="Times New Roman" w:cs="Times New Roman" w:eastAsia="Times New Roman" w:hAnsi="Times New Roman"/>
          <w:sz w:val="18"/>
          <w:szCs w:val="18"/>
          <w:color w:val="auto"/>
        </w:rPr>
        <w:t>FERC, however, suspended the case for a five-month period, which allowed rates to go into effect, subject to refund, on September 6, 2024. The filing included a request to continue a term-differentiated rate structure which was adopted as part of Great Basin’s previous general rate case, provide an overall annual revenue increase of approximately $16 million, and a return on equity of 14.05% and 13.05% applicable to each category of shippers, as applicable, and a capital structure of 44% long-term debt and 56% common equity. A primary driver of the proposed increase was approximately $99 million of capital investments, much of which was placed in service by the end of the August 31, 2024 test year. Motion rates, subject to refund, became effective in September 2024, with an initial decision expected during the second quarter of 2025. A portion of the rates implemented subject to refund will be appropriately reserved pending the final outcome in the case.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September 30, 2024, under-collections in California resulted in an asset of approximately $9.3 million and over-collections in Arizona and southern and northern Nevada resulted in a liability of approximately $189 million on the Company’s and Southwest’s Condensed Consolidated Balance Sheets. The substantial reduction in balances between periods in the table below reflects a combination of specific recovery rates in place to collect the build-up of earlier balances as a result of the cost paid for gas in those earlier periods, and recent conditions whereby base rates under the mechanisms have exceeded the cost of recent gas supply purchases by Southwest.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Southwest’s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30, 2024</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301,321</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Nevada</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56,975</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Nevada</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294,624</w:t>
            </w: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34,217</w:t>
            </w:r>
          </w:p>
        </w:tc>
      </w:tr>
      <w:tr>
        <w:trPr>
          <w:trHeight w:val="248"/>
        </w:trPr>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687,137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In addition, certain national events, including several major storms in recent years affecting central portions of the U.S., contributed to the periodic run-up in gas supply costs, before commodity costs significantly dropped in more recent periods. This collective activity necessitated the issuance of both debt and equity securities to supplement cash flows from operations, before cash reserves built up at the utility in more recent periods, including from collections under the PGA mechanisms. Southwest Gas Holdings, Inc. and Southwest’s capitalization strategy is to maintain an</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appropriate balance of equity and debt to preserve investment-grade credit ratings, which help minimize interest costs. Investment-grade credit ratings have been maintained by Southwest Gas Holdings, Inc. and Southwest.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consolidated operating activities increased $956 million in the first nine months of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2023. The increase was primarily driven by the collection of previously deferred purchased gas costs for Southwest. As noted above, in earlier periods rates billed to customers for gas supply costs were lower than actual expenditures. These differences were deferred and have since been collected, providing a significant source of available funds in the current period. The improvement in cash flows also reflects the impacts of changes in other components of working capital overall, including the timing and amount of accounts receivable/payable and other current asset and liability balances.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flows from investing activities decreased $1.04 billion in the first nine months of 2024 as compared to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overall decrease was driven by $1.05 billion in proceeds received in connection with the MountainWest sale (net of cash sold) in 2023, partially offset by proceeds from the sale of other property in 2024. Outflows for construction expenditures and property additions were also higher in the first nine months of 2024.</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flows from consolidated financing activities increased $481 million in the first nine months of 2024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2023. The overall increase was primarily due to activity in 2023, including the first quarter 2023 repayment ($1.1 billion) of the then remaining balance of the term loan entered into by Southwest Gas Holdings, Inc. in connection with the 2021 acquisition of MountainWest, offset by Southwest’s issuance of $300 million in 5.45% senior notes in March 2023 that will mature in 2028, as well as the Southwest Gas Holdings, Inc. proceeds received in April 2023 from a $550 million term loan now maturing in July 2025, in addition to various other borrowing and repayment activity. Net financing activities in 2024 include net proceeds received from Centuri’s April 2024 IPO and private placement ($328 million), with the majority of the proceeds used by Centuri to pay down portions of its revolving credit and term loan facility. Financing cash flows also include Centuri’s redemption of the previously remaining redeemable noncontrolling interest in Linetec for $92 million in 2024 (compared to $40 million of partial redemption in the comparable period in the prior year), in addition to utilization of its credit facility for this and other purposes. The prior year period also included proceeds received from the issuance of common stock in an underwritten public offering in March 2023, with no comparable issuance in the current year. Those proceeds were used at that time to pay down Company indebtedness. Other financing cash flows include borrowings and repayments under the companies’ credit facilities, and an increase in dividends paid between periods.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administrative expenses/outflows for Southwest Gas Holdings, Inc. in the first nine months of 2024 overall primarily include interest paid on outstanding borrowings and costs associated with the Centuri separation. Combined borrowing costs and other corporate and administrative expenses of the holding company were substantially higher in 2023, primarily related to the strategic process and sale of MountainWest in that year.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requirements and resources of the Company generally are determined independently for the individual business segments. Each business segment is generally responsible for securing its own debt financing sources. However, the holding company may raise funds through stock issuances or other external financing sources in support of each business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increased approximately $926 million in the first nine months of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2023. The improvement in operating cash flows was primarily attributable to the collection of deferred purchased gas costs (as discussed above), as well as cash flows from other working capital changes overall.</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increased $39 million in the first nine months of 2024 as compared to the same period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While outflows for capital expenditures increased by $63 million between periods, the current period also reflects inflows from the sale of property, as well as reduced outflows related to customer advances for construction. See also </w:t>
      </w:r>
      <w:r>
        <w:rPr>
          <w:rFonts w:ascii="Times New Roman" w:cs="Times New Roman" w:eastAsia="Times New Roman" w:hAnsi="Times New Roman"/>
          <w:sz w:val="18"/>
          <w:szCs w:val="18"/>
          <w:i w:val="1"/>
          <w:iCs w:val="1"/>
          <w:color w:val="auto"/>
        </w:rPr>
        <w:t>Natural Gas Distribution Segment Construction Expenditures, Debt Maturities,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Financing </w:t>
      </w:r>
      <w:r>
        <w:rPr>
          <w:rFonts w:ascii="Times New Roman" w:cs="Times New Roman" w:eastAsia="Times New Roman" w:hAnsi="Times New Roman"/>
          <w:sz w:val="18"/>
          <w:szCs w:val="18"/>
          <w:color w:val="auto"/>
        </w:rPr>
        <w:t>below.</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from financing activities decreased $576 million in the first nine months of 2024 as compared to the same period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decline was primarily due to activity in 2023, including proceeds from $300 million of 5.45% senior notes issued that year. Separately, parent contributions and term loan proceeds in 2023 exceeded short-term debt repayments (including of the term loan) that same year, with no similar comparable financing inflows in 2024. Outflows for dividend payments increased in the current period. Other impacts primarily relate to activity under Southwest’s credit facility in 2023. See </w:t>
      </w:r>
      <w:r>
        <w:rPr>
          <w:rFonts w:ascii="Times New Roman" w:cs="Times New Roman" w:eastAsia="Times New Roman" w:hAnsi="Times New Roman"/>
          <w:sz w:val="18"/>
          <w:szCs w:val="18"/>
          <w:b w:val="1"/>
          <w:bCs w:val="1"/>
          <w:color w:val="auto"/>
        </w:rPr>
        <w:t>Note 5 – Debt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 Construction Expenditures, Debt Maturities, and Financing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nine-month period ended September 30, 2024, construction expenditures for the natural gas distribution segment were $644 million. The majority of these expenditures, approximately 55%, were associated with the replacement of existing transmission and distribution pipeline facilities to fortify system integrity and reliability, as well as other general plant expenditures, with the remainder related to new construction.</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Management estimates natural gas segment construction expenditures during the three-year period ending December 31, 2026 will be approximately $2.4 billion. Of this amount, approximately $830 million is expected to be incurred during calendar year 2024.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See also </w:t>
      </w:r>
      <w:r>
        <w:rPr>
          <w:rFonts w:ascii="Times New Roman" w:cs="Times New Roman" w:eastAsia="Times New Roman" w:hAnsi="Times New Roman"/>
          <w:sz w:val="18"/>
          <w:szCs w:val="18"/>
          <w:b w:val="1"/>
          <w:bCs w:val="1"/>
          <w:color w:val="auto"/>
        </w:rPr>
        <w:t>Rates and Regulatory Proceedings</w:t>
      </w:r>
      <w:r>
        <w:rPr>
          <w:rFonts w:ascii="Times New Roman" w:cs="Times New Roman" w:eastAsia="Times New Roman" w:hAnsi="Times New Roman"/>
          <w:sz w:val="18"/>
          <w:szCs w:val="18"/>
          <w:color w:val="auto"/>
        </w:rPr>
        <w:t>. In August 2024, Southwest entered into a new credit facility to replace the existing credit facility that was otherwise set to expire in 2025; the new agreement includes similar terms to the existing facility, but the new agreement extends the maturity date to 2029. Otherwise, Southwest has $75 million of long-term debt maturing in 2026, but no debt maturities in either 2024 or 2025. Also during that same three-year period, cash flows from operating activities of Southwest are expected to provide approximately 78% of the funding for gas operations of Southwest and total construction expenditures and dividend requirements. Any additional cash requirements, including construction-related, and any paydown or refinancing of debt, are expected to be provided by existing credit facilities, parent equity contributions,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regulatory mechanisms and programs, as well as growth levels in Southwest’s service areas and earnings. External financings may include the issuance of debt securities, bank and other short-term borrowings, and other forms of financing.</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expected external funding needs, our payout ratio, and our ability to maintain investment-grade credit ratings and liquidity. The Company has paid dividends on its common stock since 1956. In February 2024, the Board determined to maintain the quarterly dividend at $0.62 per share, effective with the June 2024 payment. Although no assurances can be provided on our future dividend payments, the Board currently intends to reevaluate the dividend upon the completion of the Centuri separation, and it is anticipated that we will pay a dividend at a level consistent with industry peers.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the future include: variability of natural gas prices, changes in ratemaking policies of regulatory commissions, regulatory lag, customer growth in the natural gas distribution segment, the ability to access and obtain capital from external sources, interest rates, income tax laws and changes thereto, pension funding requirements, inflation, and the level of earnings. Natural gas prices and related gas cost recovery rates, as well as plant investment, have historically had the most significant impact on liquidity.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September 30, 2024, the balance in the PGA accounts included an under-collection of approximately $9.3 million pertaining to the California jurisdiction and an over-collection of $189 million pertaining to Arizona and Nevada. The substantial reduction in the PGA balance as of this date compared to balances existing in recently concluded and comparable earlier periods is also highlighted by the substantial cash balance of $402 million existing as of September 30, 2024. See </w:t>
      </w:r>
      <w:r>
        <w:rPr>
          <w:rFonts w:ascii="Times New Roman" w:cs="Times New Roman" w:eastAsia="Times New Roman" w:hAnsi="Times New Roman"/>
          <w:sz w:val="18"/>
          <w:szCs w:val="18"/>
          <w:b w:val="1"/>
          <w:bCs w:val="1"/>
          <w:color w:val="auto"/>
        </w:rPr>
        <w:t>PGA Filings</w:t>
      </w:r>
      <w:r>
        <w:rPr>
          <w:rFonts w:ascii="Times New Roman" w:cs="Times New Roman" w:eastAsia="Times New Roman" w:hAnsi="Times New Roman"/>
          <w:sz w:val="18"/>
          <w:szCs w:val="18"/>
          <w:color w:val="auto"/>
        </w:rPr>
        <w:t xml:space="preserve"> for more information.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Southwest Gas Holdings, Inc. has a credit facility with a borrowing capacity of $300 million that expires in December 2026. This facility is intended for short-term financing needs. At September 30, 2024, $113 million was outstanding under this facility.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above, in April 2023, Southwest Gas Holdings, Inc. entered into a $550 million Term Loan Credit Agreement (the “Term Loan”) that was set to mature in October 2024. Southwest Gas Holdings, Inc. utilized a majority of the proceeds to make an equity contribution to Southwest. In August 2024, the Company amended its Term Loan agreement, which extended the maturity date to July 31, 2025 and changed the interest with reference to SOFR from an applicable margin of 1.300% to 1.125%, among other miscellaneous changes.</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Southwest has a credit facility with a borrowing capacity of $400 million, which was set to expire in April 2025, before it was replaced in August 2024, extending the maturity date to 2029. The operations, designations, and key business terms are comparable to the prior facility. Southwest designates $150 million of capacity under the facility for long-term borrowing needs and the remaining $250 million for working capital purposes. There was no activity on either the long-term or short-term portions of the existing facility during the nine-month period ending September 30, 2024. Additionally, at September 30, 2024, no borrowings were outstanding on either the long-term or short-term portions of the existing facility. The credit facility can be used as necessary to meet liquidity requirements, including temporarily financing under-collected PGA balances, or meeting the refund needs of over-collected balances. The credit facility in place has generally been adequate for Southwest’s working capital needs outside of funds raised through operations and other types of external financing. Any additional cash requirements would include utilization of the credit facility, equity contributions from the Company, and/or other external financing sources.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has a $50 million commercial paper program. Any issuance under the commercial paper program is supported by Southwest’s revolving credit facility and, therefore, does not represent additional borrowing capacity. Any borrowing under the commercial paper program is designated as long-term debt. Interest rates for the commercial paper program are calculated at the current commercial paper rate during the borrowing term. At September 30, 2024, there were no borrowings outstanding under this program.</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The capacity of the line of credit is $400 million, with related amounts borrowed and repaid being generally available to be re-borrowed; the term loan facility has a limit of $1.145 billion. The term loan facility expires on August 27, 2028 and the revolving credit facility expires on August 27, 2026. This multi-currency facility allows the borrower to request loan advances in either Canadian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September 30, 2024 totaled $2.4 billion. The maximum amount outstanding on the combined facility during the first nine months of 2024 was $1.1 billion. As of September 30, 2024, $116 million was outstanding on the revolving credit facility, in addition to $731 million that was outstanding on the term loan portion of the facility. Also at September 30, 2024, there was approximately $218 million, net of letters of credit, available for borrowing under the line of credit.</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Centuri successfully completed an IPO of 14,260,000 shares of Centuri common stock at a price of $21.00 per share, in addition to a concurrent private placement of 2,591,929 shares at a price equal to the IPO price. The collective net proceeds to Centuri approximated $328 million. Centuri used $316 million of the proceeds to repay amounts outstanding under its revolving credit and term loan facility, with the remainder intended for general corporate purposes. Following the IPO, the Company owns approximately 81% of the outstanding shares of Centuri common stock. The Company intends to further reduce its ownership in Centuri in future periods through: sales of its remaining Centuri shares into the market, a distribution of Centuri shares to Company stockholders, through an exchange of Centuri shares for Southwest Gas Holdings, Inc. shares, or a combination thereof.</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there have been no significant changes with regard to the critical accounting policies and estimates disclosed in the MD&amp;A in the Companies’ Annual Report on Form 10-K for the year ended December 31,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contains statements which constitute “forward-looking statements” within the meaning of the Private Securities Litigation Reform Act of 1995 (“Reform Act”), Section 27A of the Securities Act of 1933, as amended, and Section 21E of the Securities Exchange Act of 1934, as amended.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“pursue,” and similar words and expressions are generally used and intended to identify forward-looking statements. For example, statements regarding plans to refinance near-term debt maturities, those regarding separating from Centuri following the completed IPO, by means of sales into the market, a distribution to Company stockholders, or through an exchange of Centuri shares for Southwest Gas Holdings, Inc. shares, or a combination thereof, and any references as to the timing of any separation of Centuri, those regarding operating margin patterns, customer growth, the composition of our customer base, price volatility, utility optimization initiatives, the level of expense or cost containment, seasonal patterns, the ability to pay debt, the Company’s COLI strategy, the magnitude of future acquisition or divestiture purchase price true-ups or post-closing payments and related impairments or losses related thereto, replacement market and new construction market, impacts from pandemics, including on</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0" w:name="page41"/>
    <w:bookmarkEnd w:id="40"/>
    <w:p>
      <w:pPr>
        <w:jc w:val="both"/>
        <w:spacing w:after="0" w:line="252" w:lineRule="auto"/>
        <w:rPr>
          <w:sz w:val="20"/>
          <w:szCs w:val="20"/>
          <w:color w:val="auto"/>
        </w:rPr>
      </w:pPr>
      <w:r>
        <w:rPr>
          <w:rFonts w:ascii="Times New Roman" w:cs="Times New Roman" w:eastAsia="Times New Roman" w:hAnsi="Times New Roman"/>
          <w:sz w:val="18"/>
          <w:szCs w:val="18"/>
          <w:color w:val="auto"/>
        </w:rPr>
        <w:t>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the impacts of U.S. tax reform including disposition in any regulatory proceeding and bonus depreciation tax deductions, plans and expectations regarding the tax treatment of a separation of Centuri, the impact of any Pipeline and Hazardous Materials Safety Administration rulemaking, the amounts and timing for completion of estimated future construction expenditures, plans to pursue infrastructure programs or programs under SB 151 legislation in Nevada, forecasted operating cash flows and results of operations, net earnings impacts or recovery of costs from gas infrastructure replacement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a planned at-the-market equity program or otherwise, future dividends or increases and the Board’s current payout strategy, pension and postretirement benefits, certain impacts of tax acts and provisions, including but not limited to those resulting from Revenue Procedure 2023-15,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statements regarding pending approvals, including proposed regulatory mechanisms, or references to impacts believed to be timing-related, are forward-looking statements. All forward-looking statements are intended to be subject to the safe harbor protection provided by the Reform Act.</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impacts of pandemics including that which may result from a restriction by government officials or otherwise, including impacts on employment in our territories, the health impacts to our customers and employees, the ability to collect on customer accounts due to the earlier suspension or lifted moratorium on late fees or service disconnection or otherwise in any or all jurisdictions, the ability to obtain regulatory recovery of related costs, the ability of the infrastructure services business to conduct work and the impact of a delay or termination of work, and decisions of Centuri customers (including Southwest) as to whether to pursue capital projects due to economic impacts resulting from a pandemic or otherwise, the ability to recover or requirement to return, as applicable, and timing thereof related to costs associated with the PGA mechanisms or other regulatory assets or programs, the effects of regulation/deregulation, governmental or regulatory policy regarding pipeline safety, greenhouse gas emissions, natural gas generally, including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including industry-specific tax regulations, variability in volume of gas or transportation service sold to customers, changes in gas procurement practices, changes in capital requirements and funding, the impact of credit rating actions and conditions in the capital markets on financing costs, changes in construction expenditures and financing, resources/efforts dedicated to construction activities and all other business activities, levels of or changes in operations and maintenance expenses, or other costs, including fuel costs and other costs impacted by inflation or otherwise, benefit plan actuarial estimates, other estimates, and changes thereto, the results of any cost containment efforts,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delays, or customer budgetary plans on Centuri’s operations, projections about acquired businesses’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or related to significant projects, the mix of work awarded, the amount of work awarded to Centuri following the lifting of work stoppages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or reduction, the result of productivity inefficiencies from regulatory requirements or efficiencies in performing storm-related or other types of work, the frequency or amount of work associated with storms, customer supply chain challenges, or otherwise, delays or challenges in commissioning individual projects, acquisitions and management’s plans related thereto, the ability of management to successfully finance, close, and assimilate any acquired businesses, the timing and ability of management to successfully consummate the Centuri separation following the completed IPO, the proportional ownership interest in Centuri (and changes thereto) and the related impact on Company earnings,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other intangible assets, and utility optimization initiatives.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Item 7A. 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About Market Risk </w:t>
      </w:r>
      <w:r>
        <w:rPr>
          <w:rFonts w:ascii="Times New Roman" w:cs="Times New Roman" w:eastAsia="Times New Roman" w:hAnsi="Times New Roman"/>
          <w:sz w:val="18"/>
          <w:szCs w:val="18"/>
          <w:color w:val="auto"/>
        </w:rPr>
        <w:t>in the Annual Report on Form 10-K for the year ended December 31, 2023.</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Times New Roman" w:cs="Times New Roman" w:eastAsia="Times New Roman" w:hAnsi="Times New Roman"/>
          <w:sz w:val="18"/>
          <w:szCs w:val="18"/>
          <w:b w:val="1"/>
          <w:bCs w:val="1"/>
          <w:color w:val="auto"/>
        </w:rPr>
        <w:t>We caution you not to unduly rely on any forward-looking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2023 Annual Report on Form 10-K filed with the SEC. No material changes have occurred related to the disclosures about market risk since December 31, 2023.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most recent evaluation, as of September 30, 2024, management of Southwest Gas Holdings, Inc. and Southwest Gas Corporation, including the Chief Executive Officer and Chief Financial Officer, believes the Company’s and Southwest’s disclosure controls and procedures are effective at attaining the level of reasonable assurance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or Southwest’s internal control over financial reporting (as defined in Rules 13a-15(f) and 15d-15(f) of the Exchange Act) during the third quarter of 2024 that have materially affected, or are likely to materially affect the Company’s internal control over financial reporting.</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Southwest are named as defendants in various legal proceedings. The ultimate dispositions of these proceedings are not presently determinable; however, it is the opinion of management that none of these legal proceedings individually or in the aggregate will have a material adverse impact on the Company’s or Southwest’s financial position or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color w:val="auto"/>
        </w:rPr>
        <w:t>As of September 30, 2024, there have been no material changes to the risk factors previously disclosed in response to “Part I - Item1A.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in our Annual Report on Form 10-K for the year ended December 31, 2023.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through 3.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MINE SAFETY DISCLOSURES </w:t>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2024, none of our directors or Section 16 officers adopted or terminated a “Rule 10b5-1 trading arrangement” or “non-Rule 10b5-1 trading arrangement,” as those terms are defined in Regulation S-K, Item 408.</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or furnished, as applicable, as part of this report on Form 10-Q:</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380" w:type="dxa"/>
            <w:vAlign w:val="bottom"/>
          </w:tcPr>
          <w:p>
            <w:pPr>
              <w:spacing w:after="0"/>
              <w:rPr>
                <w:sz w:val="17"/>
                <w:szCs w:val="17"/>
                <w:color w:val="auto"/>
              </w:rPr>
            </w:pPr>
          </w:p>
        </w:tc>
        <w:tc>
          <w:tcPr>
            <w:tcW w:w="8400" w:type="dxa"/>
            <w:vAlign w:val="bottom"/>
            <w:gridSpan w:val="19"/>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and Restated Term Loan Credit Agreement, dated as of August 1, 2024, by and among Southwest Gas</w:t>
              </w:r>
            </w:hyperlink>
          </w:p>
        </w:tc>
      </w:tr>
      <w:tr>
        <w:trPr>
          <w:trHeight w:val="155"/>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Holdings, Inc., the lenders party thereto, JPMorgan Chase Bank, N.A., as Administrative Agent, Bank of</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300" w:type="dxa"/>
            <w:vAlign w:val="bottom"/>
            <w:gridSpan w:val="14"/>
          </w:tcPr>
          <w:p>
            <w:pPr>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America, N.A. as Syndication Agent, JPMorgan Chase Bank, N.A., BofA Securities, Inc., Wells Fargo Bank,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N.A. and U.S. Bank, National Association as Joint Lead Arrangers and Joint Bookrunners, and Wells Fargo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Bank, N.A. and U.S. Bank, National Association as Co-Documentation Agents.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3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to Exhibit 10.1 to Form 8-K dated August 1, 2024. File Nos. 001-37976 and 001-07850.</w:t>
              </w:r>
            </w:hyperlink>
          </w:p>
        </w:tc>
        <w:tc>
          <w:tcPr>
            <w:tcW w:w="1820" w:type="dxa"/>
            <w:vAlign w:val="bottom"/>
            <w:tcBorders>
              <w:top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10.2</w:t>
            </w:r>
          </w:p>
        </w:tc>
        <w:tc>
          <w:tcPr>
            <w:tcW w:w="380" w:type="dxa"/>
            <w:vAlign w:val="bottom"/>
          </w:tcPr>
          <w:p>
            <w:pPr>
              <w:spacing w:after="0"/>
              <w:rPr>
                <w:sz w:val="22"/>
                <w:szCs w:val="22"/>
                <w:color w:val="auto"/>
              </w:rPr>
            </w:pPr>
          </w:p>
        </w:tc>
        <w:tc>
          <w:tcPr>
            <w:tcW w:w="8400" w:type="dxa"/>
            <w:vAlign w:val="bottom"/>
            <w:gridSpan w:val="19"/>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Revolving Credit Agreement, dated as of August 1, 2024, by and among Southwest Gas Corporation, the lenders</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party thereto, Bank of America, N.A., as Administrative Agent, JPMorgan Chase Bank, N.A. and Wells Fargo</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80" w:type="dxa"/>
            <w:vAlign w:val="bottom"/>
            <w:gridSpan w:val="13"/>
          </w:tcPr>
          <w:p>
            <w:pPr>
              <w:spacing w:after="0" w:line="16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Bank, National Association as Co-Syndication Agents, U.S. Bank National Association, MUFG Bank, Ltd., TD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Bank, N.A., Keybank National Association and Mizuho Bank, Ltd. as Co-Documentation Agents, and BofA</w:t>
              </w:r>
            </w:hyperlink>
          </w:p>
        </w:tc>
        <w:tc>
          <w:tcPr>
            <w:tcW w:w="80" w:type="dxa"/>
            <w:vAlign w:val="bottom"/>
            <w:tcBorders>
              <w:bottom w:val="single" w:sz="8" w:color="0000FF"/>
            </w:tcBorders>
            <w:gridSpan w:val="4"/>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340" w:type="dxa"/>
            <w:vAlign w:val="bottom"/>
            <w:gridSpan w:val="16"/>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Securities, Inc., JPMorgan Chase Bank, N.A. and Wells Fargo Securities, LLC as Joint Lead Arrangers and Joint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Bookrunners. Incorporated herein by reference to Exhibit 10.2 to Form 8-K dated August 1, 2024. File Nos. 001-</w:t>
              </w:r>
            </w:hyperlink>
          </w:p>
        </w:tc>
        <w:tc>
          <w:tcPr>
            <w:tcW w:w="100" w:type="dxa"/>
            <w:vAlign w:val="bottom"/>
            <w:tcBorders>
              <w:bottom w:val="single" w:sz="8" w:color="0000FF"/>
            </w:tcBorders>
            <w:gridSpan w:val="5"/>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37976 and 001-07850.</w:t>
              </w:r>
            </w:hyperlink>
          </w:p>
        </w:tc>
        <w:tc>
          <w:tcPr>
            <w:tcW w:w="672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10.3</w:t>
            </w:r>
          </w:p>
        </w:tc>
        <w:tc>
          <w:tcPr>
            <w:tcW w:w="380" w:type="dxa"/>
            <w:vAlign w:val="bottom"/>
          </w:tcPr>
          <w:p>
            <w:pPr>
              <w:spacing w:after="0"/>
              <w:rPr>
                <w:sz w:val="22"/>
                <w:szCs w:val="22"/>
                <w:color w:val="auto"/>
              </w:rPr>
            </w:pPr>
          </w:p>
        </w:tc>
        <w:tc>
          <w:tcPr>
            <w:tcW w:w="8400" w:type="dxa"/>
            <w:vAlign w:val="bottom"/>
            <w:gridSpan w:val="19"/>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Amended and Restated Cooperation Agreement, dated as of October 15, 2024, by and among the Icahn Group</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and Southwest Gas Holdings, Inc. Incorporated herein by reference to Exhibit 10.1 to Form 8-K dated October</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380" w:type="dxa"/>
            <w:vAlign w:val="bottom"/>
            <w:gridSpan w:val="18"/>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15, 2024. File No. 001-37976.</w:t>
              </w:r>
            </w:hyperlink>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gridSpan w:val="15"/>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31.01#</w:t>
            </w:r>
          </w:p>
        </w:tc>
        <w:tc>
          <w:tcPr>
            <w:tcW w:w="8780" w:type="dxa"/>
            <w:vAlign w:val="bottom"/>
            <w:gridSpan w:val="20"/>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302 Certifications–Southwest Gas Holdings, Inc.</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80" w:type="dxa"/>
            <w:vAlign w:val="bottom"/>
            <w:gridSpan w:val="15"/>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31.02#</w:t>
            </w:r>
          </w:p>
        </w:tc>
        <w:tc>
          <w:tcPr>
            <w:tcW w:w="8780" w:type="dxa"/>
            <w:vAlign w:val="bottom"/>
            <w:gridSpan w:val="20"/>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302 Certifications–Southwest Gas Corporation</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4440" w:type="dxa"/>
            <w:vAlign w:val="bottom"/>
            <w:tcBorders>
              <w:left w:val="single" w:sz="8" w:color="0000FF"/>
            </w:tcBorders>
            <w:gridSpan w:val="16"/>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32.01#</w:t>
            </w:r>
          </w:p>
        </w:tc>
        <w:tc>
          <w:tcPr>
            <w:tcW w:w="8780" w:type="dxa"/>
            <w:vAlign w:val="bottom"/>
            <w:gridSpan w:val="20"/>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906 Certifications–Southwest Gas Holdings, Inc.</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80" w:type="dxa"/>
            <w:vAlign w:val="bottom"/>
            <w:gridSpan w:val="15"/>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32.02#</w:t>
            </w:r>
          </w:p>
        </w:tc>
        <w:tc>
          <w:tcPr>
            <w:tcW w:w="8780" w:type="dxa"/>
            <w:vAlign w:val="bottom"/>
            <w:gridSpan w:val="20"/>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906 Certifications–Southwest Gas Corporation</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4440" w:type="dxa"/>
            <w:vAlign w:val="bottom"/>
            <w:gridSpan w:val="16"/>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780" w:type="dxa"/>
            <w:vAlign w:val="bottom"/>
            <w:gridSpan w:val="20"/>
          </w:tcPr>
          <w:p>
            <w:pPr>
              <w:ind w:left="180"/>
              <w:spacing w:after="0"/>
              <w:rPr>
                <w:sz w:val="20"/>
                <w:szCs w:val="20"/>
                <w:color w:val="auto"/>
              </w:rPr>
            </w:pPr>
            <w:r>
              <w:rPr>
                <w:rFonts w:ascii="Times New Roman" w:cs="Times New Roman" w:eastAsia="Times New Roman" w:hAnsi="Times New Roman"/>
                <w:sz w:val="18"/>
                <w:szCs w:val="18"/>
                <w:color w:val="auto"/>
              </w:rPr>
              <w:t>-  The following materials from the Quarterly Report on Form 10-Q of Southwest Gas Holdings, Inc. and</w:t>
            </w:r>
          </w:p>
        </w:tc>
      </w:tr>
      <w:tr>
        <w:trPr>
          <w:trHeight w:val="184"/>
        </w:trPr>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0" w:type="dxa"/>
            <w:vAlign w:val="bottom"/>
            <w:gridSpan w:val="19"/>
          </w:tcPr>
          <w:p>
            <w:pPr>
              <w:spacing w:after="0" w:line="184" w:lineRule="exact"/>
              <w:rPr>
                <w:sz w:val="20"/>
                <w:szCs w:val="20"/>
                <w:color w:val="auto"/>
              </w:rPr>
            </w:pPr>
            <w:r>
              <w:rPr>
                <w:rFonts w:ascii="Times New Roman" w:cs="Times New Roman" w:eastAsia="Times New Roman" w:hAnsi="Times New Roman"/>
                <w:sz w:val="18"/>
                <w:szCs w:val="18"/>
                <w:color w:val="auto"/>
              </w:rPr>
              <w:t>Southwest Gas Corporation for the quarter ended September 30, 2024, were formatted in Inline XBRL</w:t>
            </w:r>
          </w:p>
        </w:tc>
      </w:tr>
      <w:tr>
        <w:trPr>
          <w:trHeight w:val="180"/>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(Extensible Business Reporting Language): (1) Southwest Gas Holdings, Inc. and Subsidiaries Condensed</w:t>
            </w:r>
          </w:p>
        </w:tc>
      </w:tr>
      <w:tr>
        <w:trPr>
          <w:trHeight w:val="175"/>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auto"/>
              </w:rPr>
              <w:t>Consolidated Balance Sheets, (ii) Southwest Gas Holdings, Inc. and Subsidiaries Condensed Consolidated</w:t>
            </w:r>
          </w:p>
        </w:tc>
      </w:tr>
      <w:tr>
        <w:trPr>
          <w:trHeight w:val="184"/>
        </w:trPr>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0" w:type="dxa"/>
            <w:vAlign w:val="bottom"/>
            <w:gridSpan w:val="19"/>
          </w:tcPr>
          <w:p>
            <w:pPr>
              <w:spacing w:after="0" w:line="184" w:lineRule="exact"/>
              <w:rPr>
                <w:sz w:val="20"/>
                <w:szCs w:val="20"/>
                <w:color w:val="auto"/>
              </w:rPr>
            </w:pPr>
            <w:r>
              <w:rPr>
                <w:rFonts w:ascii="Times New Roman" w:cs="Times New Roman" w:eastAsia="Times New Roman" w:hAnsi="Times New Roman"/>
                <w:sz w:val="18"/>
                <w:szCs w:val="18"/>
                <w:color w:val="auto"/>
              </w:rPr>
              <w:t>Statements of Income, (iii) Southwest Gas Holdings, Inc. and Subsidiaries Condensed Consolidated Statements</w:t>
            </w:r>
          </w:p>
        </w:tc>
      </w:tr>
      <w:tr>
        <w:trPr>
          <w:trHeight w:val="180"/>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of Comprehensive Income, (iv) Southwest Gas Holdings, Inc. and Subsidiaries Condensed Consolidated</w:t>
            </w:r>
          </w:p>
        </w:tc>
      </w:tr>
      <w:tr>
        <w:trPr>
          <w:trHeight w:val="175"/>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auto"/>
              </w:rPr>
              <w:t>Statements of Cash Flows, (v) Southwest Gas Holdings, Inc. and Subsidiaries Condensed Consolidated</w:t>
            </w:r>
          </w:p>
        </w:tc>
      </w:tr>
      <w:tr>
        <w:trPr>
          <w:trHeight w:val="204"/>
        </w:trPr>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auto"/>
              </w:rPr>
              <w:t>Statements of Equity, (vi) Southwest Gas Corporation and Subsidiaries Condensed Consolidated Balance Sheets,</w:t>
            </w:r>
          </w:p>
        </w:tc>
      </w:tr>
    </w:tbl>
    <w:p>
      <w:pPr>
        <w:jc w:val="both"/>
        <w:ind w:left="1640" w:right="359" w:firstLine="6"/>
        <w:spacing w:after="0" w:line="203" w:lineRule="auto"/>
        <w:tabs>
          <w:tab w:leader="none" w:pos="20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Corporation and Subsidiaries Condensed Consolidated Statements of Income, (viii) Southwest Gas Corporation and Subsidiaries Condensed Consolidated Statements of Comprehensive Income,</w:t>
      </w:r>
    </w:p>
    <w:p>
      <w:pPr>
        <w:jc w:val="both"/>
        <w:ind w:left="1640" w:right="339" w:firstLine="6"/>
        <w:spacing w:after="0" w:line="218" w:lineRule="auto"/>
        <w:tabs>
          <w:tab w:leader="none" w:pos="19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Corporation and Subsidiaries Condensed Consolidated Statements of Cash Flows, (x) Southwest Gas Corporation and Subsidiaries Condensed Consolidated Statements of Equity. The instance document does not appear in the Interactive Data File because its XBRL tags are embedded within the Inline XBRL document.</w:t>
      </w:r>
    </w:p>
    <w:p>
      <w:pPr>
        <w:spacing w:after="0" w:line="65"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9"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5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September 30, 2024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September 30, 2024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September 30, 2024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September 30, 2024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2"/>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7"/>
    </w:lvl>
  </w:abstractNum>
  <w:abstractNum w:abstractNumId="12">
    <w:nsid w:val="25E45D32"/>
    <w:multiLevelType w:val="hybridMultilevel"/>
    <w:lvl w:ilvl="0">
      <w:lvlJc w:val="left"/>
      <w:lvlText w:val="(%1)"/>
      <w:numFmt w:val="lowerRoman"/>
      <w:start w:val="9"/>
    </w:lvl>
  </w:abstractNum>
  <w:abstractNum w:abstractNumId="13">
    <w:nsid w:val="519B500D"/>
    <w:multiLevelType w:val="hybridMultilevel"/>
    <w:lvl w:ilvl="0">
      <w:lvlJc w:val="left"/>
      <w:lvlText w:val="%1."/>
      <w:numFmt w:val="decimal"/>
      <w:start w:val="1"/>
    </w:lvl>
    <w:lvl w:ilvl="1">
      <w:lvlJc w:val="left"/>
      <w:lvlText w:val="(%2)"/>
      <w:numFmt w:val="lowerLetter"/>
      <w:start w:val="1"/>
    </w:lvl>
  </w:abstractNum>
  <w:abstractNum w:abstractNumId="14">
    <w:nsid w:val="431BD7B7"/>
    <w:multiLevelType w:val="hybridMultilevel"/>
    <w:lvl w:ilvl="0">
      <w:lvlJc w:val="left"/>
      <w:lvlText w:val="%1."/>
      <w:numFmt w:val="decimal"/>
      <w:start w:val="1"/>
    </w:lvl>
    <w:lvl w:ilvl="1">
      <w:lvlJc w:val="left"/>
      <w:lvlText w:val="(%2)"/>
      <w:numFmt w:val="low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53" Type="http://schemas.openxmlformats.org/officeDocument/2006/relationships/hyperlink" Target="https://www.sec.gov/Archives/edgar/data/92416/000119312524193888/d890343dex101.htm" TargetMode="External"/><Relationship Id="rId54" Type="http://schemas.openxmlformats.org/officeDocument/2006/relationships/hyperlink" Target="https://www.sec.gov/Archives/edgar/data/92416/000119312524193888/d890343dex102.htm" TargetMode="External"/><Relationship Id="rId55" Type="http://schemas.openxmlformats.org/officeDocument/2006/relationships/hyperlink" Target="https://www.sec.gov/Archives/edgar/data/1692115/000119312524237589/d82039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2024-11-06T07:30:27Z</dcterms:created>
  <dcterms:modified xsi:type="dcterms:W3CDTF">2024-11-06T07:30:27Z</dcterms:modified>
</cp:coreProperties>
</file>