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46" w:lineRule="exact"/>
        <w:rPr>
          <w:sz w:val="24"/>
          <w:szCs w:val="24"/>
          <w:color w:val="auto"/>
        </w:rPr>
      </w:pPr>
    </w:p>
    <w:p>
      <w:pPr>
        <w:ind w:left="640" w:hanging="41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6" w:lineRule="exact"/>
        <w:rPr>
          <w:sz w:val="24"/>
          <w:szCs w:val="24"/>
          <w:color w:val="auto"/>
        </w:rPr>
      </w:pPr>
    </w:p>
    <w:p>
      <w:pPr>
        <w:ind w:left="640" w:hanging="4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i w:val="1"/>
                <w:iCs w:val="1"/>
                <w:color w:val="auto"/>
              </w:rPr>
              <w:t>Commission</w:t>
            </w:r>
          </w:p>
        </w:tc>
        <w:tc>
          <w:tcPr>
            <w:tcW w:w="3780" w:type="dxa"/>
            <w:vAlign w:val="bottom"/>
            <w:gridSpan w:val="2"/>
          </w:tcPr>
          <w:p>
            <w:pPr>
              <w:ind w:left="22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64"/>
              <w:spacing w:after="0"/>
              <w:rPr>
                <w:sz w:val="20"/>
                <w:szCs w:val="20"/>
                <w:color w:val="auto"/>
              </w:rPr>
            </w:pPr>
            <w:r>
              <w:rPr>
                <w:rFonts w:ascii="Arial" w:cs="Arial" w:eastAsia="Arial" w:hAnsi="Arial"/>
                <w:sz w:val="14"/>
                <w:szCs w:val="14"/>
                <w:i w:val="1"/>
                <w:iCs w:val="1"/>
                <w:color w:val="auto"/>
                <w:w w:val="86"/>
              </w:rPr>
              <w:t>State of</w:t>
            </w:r>
          </w:p>
        </w:tc>
        <w:tc>
          <w:tcPr>
            <w:tcW w:w="2960" w:type="dxa"/>
            <w:vAlign w:val="bottom"/>
            <w:gridSpan w:val="2"/>
          </w:tcPr>
          <w:p>
            <w:pPr>
              <w:jc w:val="center"/>
              <w:ind w:left="463"/>
              <w:spacing w:after="0"/>
              <w:rPr>
                <w:sz w:val="20"/>
                <w:szCs w:val="20"/>
                <w:color w:val="auto"/>
              </w:rPr>
            </w:pPr>
            <w:r>
              <w:rPr>
                <w:rFonts w:ascii="Arial" w:cs="Arial" w:eastAsia="Arial" w:hAnsi="Arial"/>
                <w:sz w:val="14"/>
                <w:szCs w:val="14"/>
                <w:i w:val="1"/>
                <w:iCs w:val="1"/>
                <w:color w:val="auto"/>
                <w:w w:val="85"/>
              </w:rPr>
              <w:t>I.R.S.</w:t>
            </w:r>
          </w:p>
        </w:tc>
      </w:tr>
      <w:tr>
        <w:trPr>
          <w:trHeight w:val="186"/>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i w:val="1"/>
                <w:iCs w:val="1"/>
                <w:color w:val="auto"/>
              </w:rPr>
              <w:t>File Number</w:t>
            </w:r>
          </w:p>
        </w:tc>
        <w:tc>
          <w:tcPr>
            <w:tcW w:w="37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44"/>
              <w:spacing w:after="0"/>
              <w:rPr>
                <w:sz w:val="20"/>
                <w:szCs w:val="20"/>
                <w:color w:val="auto"/>
              </w:rPr>
            </w:pPr>
            <w:r>
              <w:rPr>
                <w:rFonts w:ascii="Arial" w:cs="Arial" w:eastAsia="Arial" w:hAnsi="Arial"/>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20"/>
        </w:trPr>
        <w:tc>
          <w:tcPr>
            <w:tcW w:w="1180" w:type="dxa"/>
            <w:vAlign w:val="bottom"/>
            <w:gridSpan w:val="2"/>
          </w:tcPr>
          <w:p>
            <w:pPr>
              <w:jc w:val="right"/>
              <w:ind w:right="165"/>
              <w:spacing w:after="0"/>
              <w:rPr>
                <w:sz w:val="20"/>
                <w:szCs w:val="20"/>
                <w:color w:val="auto"/>
              </w:rPr>
            </w:pPr>
            <w:r>
              <w:rPr>
                <w:rFonts w:ascii="Arial" w:cs="Arial" w:eastAsia="Arial" w:hAnsi="Arial"/>
                <w:sz w:val="16"/>
                <w:szCs w:val="16"/>
                <w:color w:val="auto"/>
              </w:rPr>
              <w:t>001-37976</w:t>
            </w:r>
          </w:p>
        </w:tc>
        <w:tc>
          <w:tcPr>
            <w:tcW w:w="2300" w:type="dxa"/>
            <w:vAlign w:val="bottom"/>
          </w:tcPr>
          <w:p>
            <w:pPr>
              <w:ind w:left="220"/>
              <w:spacing w:after="0"/>
              <w:rPr>
                <w:sz w:val="20"/>
                <w:szCs w:val="20"/>
                <w:color w:val="auto"/>
              </w:rPr>
            </w:pPr>
            <w:r>
              <w:rPr>
                <w:rFonts w:ascii="Arial" w:cs="Arial" w:eastAsia="Arial" w:hAnsi="Arial"/>
                <w:sz w:val="16"/>
                <w:szCs w:val="16"/>
                <w:color w:val="auto"/>
                <w:w w:val="98"/>
              </w:rPr>
              <w:t>Southwest Gas Holdings, Inc.</w:t>
            </w: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4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5241 Spring Mountain Road</w:t>
            </w: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Nevada</w:t>
            </w:r>
          </w:p>
        </w:tc>
        <w:tc>
          <w:tcPr>
            <w:tcW w:w="2260" w:type="dxa"/>
            <w:vAlign w:val="bottom"/>
            <w:gridSpan w:val="3"/>
          </w:tcPr>
          <w:p>
            <w:pPr>
              <w:jc w:val="right"/>
              <w:ind w:right="125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color w:val="auto"/>
                <w:w w:val="91"/>
              </w:rPr>
              <w:t>(702) 876-7237</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9"/>
        </w:trPr>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7"/>
        </w:trPr>
        <w:tc>
          <w:tcPr>
            <w:tcW w:w="1180" w:type="dxa"/>
            <w:vAlign w:val="bottom"/>
            <w:gridSpan w:val="2"/>
          </w:tcPr>
          <w:p>
            <w:pPr>
              <w:jc w:val="right"/>
              <w:ind w:right="285"/>
              <w:spacing w:after="0"/>
              <w:rPr>
                <w:sz w:val="20"/>
                <w:szCs w:val="20"/>
                <w:color w:val="auto"/>
              </w:rPr>
            </w:pPr>
            <w:r>
              <w:rPr>
                <w:rFonts w:ascii="Arial" w:cs="Arial" w:eastAsia="Arial" w:hAnsi="Arial"/>
                <w:sz w:val="16"/>
                <w:szCs w:val="16"/>
                <w:color w:val="auto"/>
              </w:rPr>
              <w:t>1-7850</w:t>
            </w:r>
          </w:p>
        </w:tc>
        <w:tc>
          <w:tcPr>
            <w:tcW w:w="2300" w:type="dxa"/>
            <w:vAlign w:val="bottom"/>
          </w:tcPr>
          <w:p>
            <w:pPr>
              <w:ind w:left="220"/>
              <w:spacing w:after="0"/>
              <w:rPr>
                <w:sz w:val="20"/>
                <w:szCs w:val="20"/>
                <w:color w:val="auto"/>
              </w:rPr>
            </w:pPr>
            <w:r>
              <w:rPr>
                <w:rFonts w:ascii="Arial" w:cs="Arial" w:eastAsia="Arial" w:hAnsi="Arial"/>
                <w:sz w:val="16"/>
                <w:szCs w:val="16"/>
                <w:color w:val="auto"/>
              </w:rPr>
              <w:t>Southwest Gas Corporation</w:t>
            </w:r>
          </w:p>
        </w:tc>
        <w:tc>
          <w:tcPr>
            <w:tcW w:w="1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4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5241 Spring Mountain Road</w:t>
            </w: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519"/>
              <w:spacing w:after="0"/>
              <w:rPr>
                <w:sz w:val="20"/>
                <w:szCs w:val="20"/>
                <w:color w:val="auto"/>
              </w:rPr>
            </w:pPr>
            <w:r>
              <w:rPr>
                <w:rFonts w:ascii="Arial" w:cs="Arial" w:eastAsia="Arial" w:hAnsi="Arial"/>
                <w:sz w:val="16"/>
                <w:szCs w:val="16"/>
                <w:color w:val="auto"/>
              </w:rPr>
              <w:t>Nevada</w:t>
            </w:r>
          </w:p>
        </w:tc>
        <w:tc>
          <w:tcPr>
            <w:tcW w:w="2260" w:type="dxa"/>
            <w:vAlign w:val="bottom"/>
            <w:gridSpan w:val="3"/>
          </w:tcPr>
          <w:p>
            <w:pPr>
              <w:jc w:val="right"/>
              <w:ind w:right="125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color w:val="auto"/>
                <w:w w:val="91"/>
              </w:rPr>
              <w:t>(702) 876-7237</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gridSpan w:val="7"/>
          </w:tcPr>
          <w:p>
            <w:pPr>
              <w:ind w:left="1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300" w:type="dxa"/>
            <w:vAlign w:val="bottom"/>
          </w:tcPr>
          <w:p>
            <w:pPr>
              <w:ind w:left="1080"/>
              <w:spacing w:after="0"/>
              <w:rPr>
                <w:sz w:val="20"/>
                <w:szCs w:val="20"/>
                <w:color w:val="auto"/>
              </w:rPr>
            </w:pPr>
            <w:r>
              <w:rPr>
                <w:rFonts w:ascii="Arial" w:cs="Arial" w:eastAsia="Arial" w:hAnsi="Arial"/>
                <w:sz w:val="16"/>
                <w:szCs w:val="16"/>
                <w:b w:val="1"/>
                <w:bCs w:val="1"/>
                <w:color w:val="auto"/>
                <w:w w:val="87"/>
              </w:rPr>
              <w:t>Title of each class</w:t>
            </w: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20" w:type="dxa"/>
            <w:vAlign w:val="bottom"/>
          </w:tcPr>
          <w:p>
            <w:pPr>
              <w:spacing w:after="0"/>
              <w:rPr>
                <w:sz w:val="2"/>
                <w:szCs w:val="2"/>
                <w:color w:val="auto"/>
              </w:rPr>
            </w:pPr>
          </w:p>
        </w:tc>
        <w:tc>
          <w:tcPr>
            <w:tcW w:w="49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4940" w:type="dxa"/>
            <w:vAlign w:val="bottom"/>
            <w:gridSpan w:val="3"/>
          </w:tcPr>
          <w:p>
            <w:pPr>
              <w:jc w:val="right"/>
              <w:ind w:right="59"/>
              <w:spacing w:after="0"/>
              <w:rPr>
                <w:sz w:val="20"/>
                <w:szCs w:val="20"/>
                <w:color w:val="auto"/>
              </w:rPr>
            </w:pPr>
            <w:r>
              <w:rPr>
                <w:rFonts w:ascii="Arial" w:cs="Arial" w:eastAsia="Arial" w:hAnsi="Arial"/>
                <w:sz w:val="16"/>
                <w:szCs w:val="16"/>
                <w:color w:val="auto"/>
              </w:rPr>
              <w:t>Southwest Gas Holdings, Inc. Common Stock, $1 Par Value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SWX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31"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77"/>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64"/>
        </w:trPr>
        <w:tc>
          <w:tcPr>
            <w:tcW w:w="238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38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38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92"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Southwest Gas Holdings, Inc. Common Stock, $1 Par Value, 55,914,516 shares as of July 31, 2020.</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July 31, 2020.</w:t>
      </w:r>
    </w:p>
    <w:p>
      <w:pPr>
        <w:sectPr>
          <w:pgSz w:w="11900" w:h="16838" w:orient="portrait"/>
          <w:cols w:equalWidth="0" w:num="1">
            <w:col w:w="11240"/>
          </w:cols>
          <w:pgMar w:left="320" w:top="710" w:right="339" w:bottom="1440" w:gutter="0" w:footer="0" w:header="0"/>
        </w:sectPr>
      </w:pP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0"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color w:val="auto"/>
              </w:rPr>
              <w:t>June 30, 2020</w:t>
            </w:r>
          </w:p>
        </w:tc>
        <w:tc>
          <w:tcPr>
            <w:tcW w:w="160" w:type="dxa"/>
            <w:vAlign w:val="bottom"/>
          </w:tcPr>
          <w:p>
            <w:pPr>
              <w:spacing w:after="0"/>
              <w:rPr>
                <w:sz w:val="16"/>
                <w:szCs w:val="16"/>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w w:val="97"/>
              </w:rPr>
              <w:t>December 31, 2019</w:t>
            </w:r>
          </w:p>
        </w:tc>
        <w:tc>
          <w:tcPr>
            <w:tcW w:w="0" w:type="dxa"/>
            <w:vAlign w:val="bottom"/>
          </w:tcPr>
          <w:p>
            <w:pPr>
              <w:spacing w:after="0"/>
              <w:rPr>
                <w:sz w:val="1"/>
                <w:szCs w:val="1"/>
                <w:color w:val="auto"/>
              </w:rPr>
            </w:pPr>
          </w:p>
        </w:tc>
      </w:tr>
      <w:tr>
        <w:trPr>
          <w:trHeight w:val="188"/>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840" w:type="dxa"/>
            <w:vAlign w:val="bottom"/>
          </w:tcPr>
          <w:p>
            <w:pPr>
              <w:spacing w:after="0"/>
              <w:rPr>
                <w:sz w:val="20"/>
                <w:szCs w:val="20"/>
                <w:color w:val="auto"/>
              </w:rPr>
            </w:pPr>
            <w:r>
              <w:rPr>
                <w:rFonts w:ascii="Arial" w:cs="Arial" w:eastAsia="Arial" w:hAnsi="Arial"/>
                <w:sz w:val="14"/>
                <w:szCs w:val="14"/>
                <w:color w:val="auto"/>
              </w:rPr>
              <w:t>Utility plant: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Gas plant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8,086,597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7,813,221</w:t>
            </w:r>
          </w:p>
        </w:tc>
        <w:tc>
          <w:tcPr>
            <w:tcW w:w="0" w:type="dxa"/>
            <w:vAlign w:val="bottom"/>
          </w:tcPr>
          <w:p>
            <w:pPr>
              <w:spacing w:after="0"/>
              <w:rPr>
                <w:sz w:val="1"/>
                <w:szCs w:val="1"/>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(2,367,836)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(2,313,050)</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Construction work in progress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217,616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185,026</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Net utility plant</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5,936,377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5,685,197</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809,111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784,173</w:t>
            </w:r>
          </w:p>
        </w:tc>
        <w:tc>
          <w:tcPr>
            <w:tcW w:w="0" w:type="dxa"/>
            <w:vAlign w:val="bottom"/>
          </w:tcPr>
          <w:p>
            <w:pPr>
              <w:spacing w:after="0"/>
              <w:rPr>
                <w:sz w:val="1"/>
                <w:szCs w:val="1"/>
                <w:color w:val="auto"/>
              </w:rPr>
            </w:pPr>
          </w:p>
        </w:tc>
      </w:tr>
      <w:tr>
        <w:trPr>
          <w:trHeight w:val="177"/>
        </w:trPr>
        <w:tc>
          <w:tcPr>
            <w:tcW w:w="784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199,591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49,539</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Accounts receivable, net of allowances</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480,077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474,097</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utility revenue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79,100</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Income taxes receivable, net</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31,751</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purchased gas costs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44,412</w:t>
            </w:r>
          </w:p>
        </w:tc>
        <w:tc>
          <w:tcPr>
            <w:tcW w:w="0" w:type="dxa"/>
            <w:vAlign w:val="bottom"/>
          </w:tcPr>
          <w:p>
            <w:pPr>
              <w:spacing w:after="0"/>
              <w:rPr>
                <w:sz w:val="1"/>
                <w:szCs w:val="1"/>
                <w:color w:val="auto"/>
              </w:rPr>
            </w:pPr>
          </w:p>
        </w:tc>
      </w:tr>
      <w:tr>
        <w:trPr>
          <w:trHeight w:val="19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147,655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180,957</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867,200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859,856</w:t>
            </w:r>
          </w:p>
        </w:tc>
        <w:tc>
          <w:tcPr>
            <w:tcW w:w="0" w:type="dxa"/>
            <w:vAlign w:val="bottom"/>
          </w:tcPr>
          <w:p>
            <w:pPr>
              <w:spacing w:after="0"/>
              <w:rPr>
                <w:sz w:val="1"/>
                <w:szCs w:val="1"/>
                <w:color w:val="auto"/>
              </w:rPr>
            </w:pPr>
          </w:p>
        </w:tc>
      </w:tr>
      <w:tr>
        <w:trPr>
          <w:trHeight w:val="176"/>
        </w:trPr>
        <w:tc>
          <w:tcPr>
            <w:tcW w:w="7840" w:type="dxa"/>
            <w:vAlign w:val="bottom"/>
          </w:tcPr>
          <w:p>
            <w:pPr>
              <w:spacing w:after="0"/>
              <w:rPr>
                <w:sz w:val="20"/>
                <w:szCs w:val="20"/>
                <w:color w:val="auto"/>
              </w:rPr>
            </w:pPr>
            <w:r>
              <w:rPr>
                <w:rFonts w:ascii="Arial" w:cs="Arial" w:eastAsia="Arial" w:hAnsi="Arial"/>
                <w:sz w:val="14"/>
                <w:szCs w:val="14"/>
                <w:color w:val="auto"/>
              </w:rPr>
              <w:t>Noncurrent assets: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337,978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343,023</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charges and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474,737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496,943</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noncurrent assets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813,347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840,822</w:t>
            </w:r>
          </w:p>
        </w:tc>
        <w:tc>
          <w:tcPr>
            <w:tcW w:w="0" w:type="dxa"/>
            <w:vAlign w:val="bottom"/>
          </w:tcPr>
          <w:p>
            <w:pPr>
              <w:spacing w:after="0"/>
              <w:rPr>
                <w:sz w:val="1"/>
                <w:szCs w:val="1"/>
                <w:color w:val="auto"/>
              </w:rPr>
            </w:pPr>
          </w:p>
        </w:tc>
      </w:tr>
      <w:tr>
        <w:trPr>
          <w:trHeight w:val="221"/>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8,426,035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- 55,909,903 and 55,007,433 shares)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57,540</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56,637</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1,523,630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1,466,937</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Accumulated other comprehensive loss, net</w:t>
            </w:r>
          </w:p>
        </w:tc>
        <w:tc>
          <w:tcPr>
            <w:tcW w:w="240" w:type="dxa"/>
            <w:vAlign w:val="bottom"/>
          </w:tcPr>
          <w:p>
            <w:pPr>
              <w:spacing w:after="0"/>
              <w:rPr>
                <w:sz w:val="17"/>
                <w:szCs w:val="17"/>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(55,617)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(56,732)</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1,085,742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1,039,072</w:t>
            </w:r>
          </w:p>
        </w:tc>
        <w:tc>
          <w:tcPr>
            <w:tcW w:w="0" w:type="dxa"/>
            <w:vAlign w:val="bottom"/>
          </w:tcPr>
          <w:p>
            <w:pPr>
              <w:spacing w:after="0"/>
              <w:rPr>
                <w:sz w:val="1"/>
                <w:szCs w:val="1"/>
                <w:color w:val="auto"/>
              </w:rPr>
            </w:pP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Total equity</w:t>
            </w:r>
          </w:p>
        </w:tc>
        <w:tc>
          <w:tcPr>
            <w:tcW w:w="24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2,611,295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2,505,914</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Redeemable noncontrolling interest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86,921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84,542</w:t>
            </w:r>
          </w:p>
        </w:tc>
        <w:tc>
          <w:tcPr>
            <w:tcW w:w="0" w:type="dxa"/>
            <w:vAlign w:val="bottom"/>
          </w:tcPr>
          <w:p>
            <w:pPr>
              <w:spacing w:after="0"/>
              <w:rPr>
                <w:sz w:val="1"/>
                <w:szCs w:val="1"/>
                <w:color w:val="auto"/>
              </w:rPr>
            </w:pPr>
          </w:p>
        </w:tc>
      </w:tr>
      <w:tr>
        <w:trPr>
          <w:trHeight w:val="19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2,639,317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2,300,482</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capitalization</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5,337,533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4,890,938</w:t>
            </w:r>
          </w:p>
        </w:tc>
        <w:tc>
          <w:tcPr>
            <w:tcW w:w="0" w:type="dxa"/>
            <w:vAlign w:val="bottom"/>
          </w:tcPr>
          <w:p>
            <w:pPr>
              <w:spacing w:after="0"/>
              <w:rPr>
                <w:sz w:val="1"/>
                <w:szCs w:val="1"/>
                <w:color w:val="auto"/>
              </w:rPr>
            </w:pPr>
          </w:p>
        </w:tc>
      </w:tr>
      <w:tr>
        <w:trPr>
          <w:trHeight w:val="177"/>
        </w:trPr>
        <w:tc>
          <w:tcPr>
            <w:tcW w:w="784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163,512</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Short-term debt</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58,000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211,000</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189,373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238,921</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Customer deposits</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69,898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payable, net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Accrued general taxes</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48,220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48,160</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interest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21,329</w:t>
            </w: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Deferred purchased gas costs</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69,938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60,755</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289,395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264,950</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918,017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1,079,861</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Deferred income taxes and investment tax credits, net</w:t>
            </w: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631,388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599,840</w:t>
            </w:r>
          </w:p>
        </w:tc>
        <w:tc>
          <w:tcPr>
            <w:tcW w:w="0" w:type="dxa"/>
            <w:vAlign w:val="bottom"/>
          </w:tcPr>
          <w:p>
            <w:pPr>
              <w:spacing w:after="0"/>
              <w:rPr>
                <w:sz w:val="1"/>
                <w:szCs w:val="1"/>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Accumulated removal costs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395,000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deferred credits and other long-term liabilities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1,138,097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1,204,409</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deferred income taxes and other credits</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2,170,485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2,199,249</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8,426,035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8,170,048</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16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2020</w:t>
            </w:r>
          </w:p>
        </w:tc>
        <w:tc>
          <w:tcPr>
            <w:tcW w:w="0" w:type="dxa"/>
            <w:vAlign w:val="bottom"/>
          </w:tcPr>
          <w:p>
            <w:pPr>
              <w:spacing w:after="0"/>
              <w:rPr>
                <w:sz w:val="1"/>
                <w:szCs w:val="1"/>
                <w:color w:val="auto"/>
              </w:rPr>
            </w:pP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10"/>
          </w:tcPr>
          <w:p>
            <w:pPr>
              <w:jc w:val="center"/>
              <w:ind w:right="4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11"/>
          </w:tcPr>
          <w:p>
            <w:pPr>
              <w:jc w:val="center"/>
              <w:ind w:left="210"/>
              <w:spacing w:after="0"/>
              <w:rPr>
                <w:sz w:val="20"/>
                <w:szCs w:val="20"/>
                <w:color w:val="auto"/>
              </w:rPr>
            </w:pPr>
            <w:r>
              <w:rPr>
                <w:rFonts w:ascii="Arial" w:cs="Arial" w:eastAsia="Arial" w:hAnsi="Arial"/>
                <w:sz w:val="18"/>
                <w:szCs w:val="18"/>
                <w:color w:val="auto"/>
                <w:w w:val="95"/>
              </w:rPr>
              <w:t>CONDENSED CONSOLIDATED STATEMENTS OF INCOME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8"/>
          </w:tcPr>
          <w:p>
            <w:pPr>
              <w:jc w:val="center"/>
              <w:ind w:left="761"/>
              <w:spacing w:after="0"/>
              <w:rPr>
                <w:sz w:val="20"/>
                <w:szCs w:val="20"/>
                <w:color w:val="auto"/>
              </w:rPr>
            </w:pPr>
            <w:r>
              <w:rPr>
                <w:rFonts w:ascii="Arial" w:cs="Arial" w:eastAsia="Arial" w:hAnsi="Arial"/>
                <w:sz w:val="18"/>
                <w:szCs w:val="18"/>
                <w:color w:val="auto"/>
                <w:w w:val="88"/>
              </w:rPr>
              <w:t>(In thousands, except per share amounts)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left="247"/>
              <w:spacing w:after="0"/>
              <w:rPr>
                <w:sz w:val="20"/>
                <w:szCs w:val="20"/>
                <w:color w:val="auto"/>
              </w:rPr>
            </w:pPr>
            <w:r>
              <w:rPr>
                <w:rFonts w:ascii="Arial" w:cs="Arial" w:eastAsia="Arial" w:hAnsi="Arial"/>
                <w:sz w:val="18"/>
                <w:szCs w:val="18"/>
                <w:color w:val="auto"/>
                <w:w w:val="93"/>
              </w:rPr>
              <w:t>(Unaudited)</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24"/>
                <w:szCs w:val="24"/>
                <w:color w:val="auto"/>
              </w:rPr>
            </w:pPr>
          </w:p>
        </w:tc>
        <w:tc>
          <w:tcPr>
            <w:tcW w:w="1980" w:type="dxa"/>
            <w:vAlign w:val="bottom"/>
            <w:gridSpan w:val="5"/>
          </w:tcPr>
          <w:p>
            <w:pPr>
              <w:ind w:left="26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24"/>
                <w:szCs w:val="24"/>
                <w:color w:val="auto"/>
              </w:rPr>
            </w:pPr>
          </w:p>
        </w:tc>
        <w:tc>
          <w:tcPr>
            <w:tcW w:w="1960" w:type="dxa"/>
            <w:vAlign w:val="bottom"/>
            <w:gridSpan w:val="4"/>
          </w:tcPr>
          <w:p>
            <w:pPr>
              <w:jc w:val="right"/>
              <w:ind w:right="34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9"/>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Gas operating revenues</w:t>
            </w: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7"/>
              <w:spacing w:after="0"/>
              <w:rPr>
                <w:sz w:val="20"/>
                <w:szCs w:val="20"/>
                <w:color w:val="auto"/>
              </w:rPr>
            </w:pPr>
            <w:r>
              <w:rPr>
                <w:rFonts w:ascii="Arial" w:cs="Arial" w:eastAsia="Arial" w:hAnsi="Arial"/>
                <w:sz w:val="14"/>
                <w:szCs w:val="14"/>
                <w:color w:val="auto"/>
              </w:rPr>
              <w:t>262,434</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258,711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765,261</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779,388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1,354,812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1,367,124</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Utility infrastructure services revenues</w:t>
            </w:r>
          </w:p>
        </w:tc>
        <w:tc>
          <w:tcPr>
            <w:tcW w:w="1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494,813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454,300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828,306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767,162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1,812,122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1,634,226</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operating revenues</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757,247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713,011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1,593,567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6"/>
              </w:rPr>
              <w:t>1,546,550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3,166,934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3,001,350</w:t>
            </w:r>
          </w:p>
        </w:tc>
        <w:tc>
          <w:tcPr>
            <w:tcW w:w="0" w:type="dxa"/>
            <w:vAlign w:val="bottom"/>
          </w:tcPr>
          <w:p>
            <w:pPr>
              <w:spacing w:after="0"/>
              <w:rPr>
                <w:sz w:val="1"/>
                <w:szCs w:val="1"/>
                <w:color w:val="auto"/>
              </w:rPr>
            </w:pPr>
          </w:p>
        </w:tc>
      </w:tr>
      <w:tr>
        <w:trPr>
          <w:trHeight w:val="188"/>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Net cost of gas sold</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7"/>
              <w:spacing w:after="0"/>
              <w:rPr>
                <w:sz w:val="20"/>
                <w:szCs w:val="20"/>
                <w:color w:val="auto"/>
              </w:rPr>
            </w:pPr>
            <w:r>
              <w:rPr>
                <w:rFonts w:ascii="Arial" w:cs="Arial" w:eastAsia="Arial" w:hAnsi="Arial"/>
                <w:sz w:val="14"/>
                <w:szCs w:val="14"/>
                <w:color w:val="auto"/>
              </w:rPr>
              <w:t>67,473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65,182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228,294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257,786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355,672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407,976</w:t>
            </w: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Operations and maintenance</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99,419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105,293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211,538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415,812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410,145</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Depreciation and amortization</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7"/>
              <w:spacing w:after="0"/>
              <w:rPr>
                <w:sz w:val="20"/>
                <w:szCs w:val="20"/>
                <w:color w:val="auto"/>
              </w:rPr>
            </w:pPr>
            <w:r>
              <w:rPr>
                <w:rFonts w:ascii="Arial" w:cs="Arial" w:eastAsia="Arial" w:hAnsi="Arial"/>
                <w:sz w:val="14"/>
                <w:szCs w:val="14"/>
                <w:color w:val="auto"/>
              </w:rPr>
              <w:t>77,217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70,342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164,870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147,881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320,226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273,308</w:t>
            </w: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Taxes other than income taxes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15,342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61,307</w:t>
            </w:r>
          </w:p>
        </w:tc>
        <w:tc>
          <w:tcPr>
            <w:tcW w:w="0" w:type="dxa"/>
            <w:vAlign w:val="bottom"/>
          </w:tcPr>
          <w:p>
            <w:pPr>
              <w:spacing w:after="0"/>
              <w:rPr>
                <w:sz w:val="1"/>
                <w:szCs w:val="1"/>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Utility infrastructure services expenses</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430,224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402,199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749,538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702,664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1,620,101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1,478,730</w:t>
            </w:r>
          </w:p>
        </w:tc>
        <w:tc>
          <w:tcPr>
            <w:tcW w:w="0" w:type="dxa"/>
            <w:vAlign w:val="bottom"/>
          </w:tcPr>
          <w:p>
            <w:pPr>
              <w:spacing w:after="0"/>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324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Total operating expenses</w:t>
            </w:r>
          </w:p>
        </w:tc>
        <w:tc>
          <w:tcPr>
            <w:tcW w:w="1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689,675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658,142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1,377,622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1,351,201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2,774,527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2,631,466</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67,572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54,869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215,945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195,349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392,407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369,884</w:t>
            </w:r>
          </w:p>
        </w:tc>
        <w:tc>
          <w:tcPr>
            <w:tcW w:w="0" w:type="dxa"/>
            <w:vAlign w:val="bottom"/>
          </w:tcPr>
          <w:p>
            <w:pPr>
              <w:spacing w:after="0"/>
              <w:rPr>
                <w:sz w:val="1"/>
                <w:szCs w:val="1"/>
                <w:color w:val="auto"/>
              </w:rPr>
            </w:pPr>
          </w:p>
        </w:tc>
      </w:tr>
      <w:tr>
        <w:trPr>
          <w:trHeight w:val="188"/>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240" w:type="dxa"/>
            <w:vAlign w:val="bottom"/>
            <w:gridSpan w:val="3"/>
          </w:tcPr>
          <w:p>
            <w:pPr>
              <w:ind w:left="280"/>
              <w:spacing w:after="0"/>
              <w:rPr>
                <w:sz w:val="20"/>
                <w:szCs w:val="20"/>
                <w:color w:val="auto"/>
              </w:rPr>
            </w:pPr>
            <w:r>
              <w:rPr>
                <w:rFonts w:ascii="Arial" w:cs="Arial" w:eastAsia="Arial" w:hAnsi="Arial"/>
                <w:sz w:val="14"/>
                <w:szCs w:val="14"/>
                <w:color w:val="auto"/>
              </w:rPr>
              <w:t>Net interest deductions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7"/>
              <w:spacing w:after="0"/>
              <w:rPr>
                <w:sz w:val="20"/>
                <w:szCs w:val="20"/>
                <w:color w:val="auto"/>
              </w:rPr>
            </w:pPr>
            <w:r>
              <w:rPr>
                <w:rFonts w:ascii="Arial" w:cs="Arial" w:eastAsia="Arial" w:hAnsi="Arial"/>
                <w:sz w:val="14"/>
                <w:szCs w:val="14"/>
                <w:color w:val="auto"/>
              </w:rPr>
              <w:t>(26,450)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(26,831)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(54,830)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(53,228)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(110,828)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7"/>
              <w:spacing w:after="0"/>
              <w:rPr>
                <w:sz w:val="20"/>
                <w:szCs w:val="20"/>
                <w:color w:val="auto"/>
              </w:rPr>
            </w:pPr>
            <w:r>
              <w:rPr>
                <w:rFonts w:ascii="Arial" w:cs="Arial" w:eastAsia="Arial" w:hAnsi="Arial"/>
                <w:sz w:val="14"/>
                <w:szCs w:val="14"/>
                <w:color w:val="auto"/>
              </w:rPr>
              <w:t>(103,616)</w:t>
            </w:r>
          </w:p>
        </w:tc>
        <w:tc>
          <w:tcPr>
            <w:tcW w:w="0" w:type="dxa"/>
            <w:vAlign w:val="bottom"/>
          </w:tcPr>
          <w:p>
            <w:pPr>
              <w:spacing w:after="0"/>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32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Other income (deductions)</w:t>
            </w:r>
          </w:p>
        </w:tc>
        <w:tc>
          <w:tcPr>
            <w:tcW w:w="1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7,925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(12,845)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7,985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other income and (expenses)</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(18,525)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(25,685)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(67,675)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(121,573)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(106,017)</w:t>
            </w:r>
          </w:p>
        </w:tc>
        <w:tc>
          <w:tcPr>
            <w:tcW w:w="0" w:type="dxa"/>
            <w:vAlign w:val="bottom"/>
          </w:tcPr>
          <w:p>
            <w:pPr>
              <w:spacing w:after="0"/>
              <w:rPr>
                <w:sz w:val="1"/>
                <w:szCs w:val="1"/>
                <w:color w:val="auto"/>
              </w:rPr>
            </w:pPr>
          </w:p>
        </w:tc>
      </w:tr>
      <w:tr>
        <w:trPr>
          <w:trHeight w:val="20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49,047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148,270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150,106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270,834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263,867</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9,166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6,352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35,384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31,890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59,517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63,844</w:t>
            </w:r>
          </w:p>
        </w:tc>
        <w:tc>
          <w:tcPr>
            <w:tcW w:w="0" w:type="dxa"/>
            <w:vAlign w:val="bottom"/>
          </w:tcPr>
          <w:p>
            <w:pPr>
              <w:spacing w:after="0"/>
              <w:rPr>
                <w:sz w:val="1"/>
                <w:szCs w:val="1"/>
                <w:color w:val="auto"/>
              </w:rPr>
            </w:pPr>
          </w:p>
        </w:tc>
      </w:tr>
      <w:tr>
        <w:trPr>
          <w:trHeight w:val="20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39,881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22,832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118,216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211,317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200,023</w:t>
            </w:r>
          </w:p>
        </w:tc>
        <w:tc>
          <w:tcPr>
            <w:tcW w:w="0" w:type="dxa"/>
            <w:vAlign w:val="bottom"/>
          </w:tcPr>
          <w:p>
            <w:pPr>
              <w:spacing w:after="0"/>
              <w:rPr>
                <w:sz w:val="1"/>
                <w:szCs w:val="1"/>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w w:val="94"/>
              </w:rPr>
              <w:t>Net income attributable to noncontrolling interests</w:t>
            </w:r>
          </w:p>
        </w:tc>
        <w:tc>
          <w:tcPr>
            <w:tcW w:w="1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1,916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3,739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2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3"/>
              </w:rPr>
              <w:t>Net income attributable to Southwest Gas Holdings, Inc.</w:t>
            </w:r>
          </w:p>
        </w:tc>
        <w:tc>
          <w:tcPr>
            <w:tcW w:w="1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37,965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198,500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per share:</w:t>
            </w: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00" w:type="dxa"/>
            <w:vAlign w:val="bottom"/>
            <w:gridSpan w:val="4"/>
            <w:vMerge w:val="continue"/>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1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7"/>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Weighted average shares:</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7"/>
              <w:spacing w:after="0"/>
              <w:rPr>
                <w:sz w:val="20"/>
                <w:szCs w:val="20"/>
                <w:color w:val="auto"/>
              </w:rPr>
            </w:pPr>
            <w:r>
              <w:rPr>
                <w:rFonts w:ascii="Arial" w:cs="Arial" w:eastAsia="Arial" w:hAnsi="Arial"/>
                <w:sz w:val="14"/>
                <w:szCs w:val="14"/>
                <w:color w:val="auto"/>
              </w:rPr>
              <w:t>55,462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53,935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55,386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53,654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51,914</w:t>
            </w:r>
          </w:p>
        </w:tc>
        <w:tc>
          <w:tcPr>
            <w:tcW w:w="0" w:type="dxa"/>
            <w:vAlign w:val="bottom"/>
          </w:tcPr>
          <w:p>
            <w:pPr>
              <w:spacing w:after="0"/>
              <w:rPr>
                <w:sz w:val="1"/>
                <w:szCs w:val="1"/>
                <w:color w:val="auto"/>
              </w:rPr>
            </w:pPr>
          </w:p>
        </w:tc>
      </w:tr>
      <w:tr>
        <w:trPr>
          <w:trHeight w:val="209"/>
        </w:trPr>
        <w:tc>
          <w:tcPr>
            <w:tcW w:w="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55,532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51,977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June 30, 2020</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12"/>
          </w:tcPr>
          <w:p>
            <w:pPr>
              <w:jc w:val="center"/>
              <w:ind w:left="210"/>
              <w:spacing w:after="0"/>
              <w:rPr>
                <w:sz w:val="20"/>
                <w:szCs w:val="20"/>
                <w:color w:val="auto"/>
              </w:rPr>
            </w:pPr>
            <w:r>
              <w:rPr>
                <w:rFonts w:ascii="Arial" w:cs="Arial" w:eastAsia="Arial" w:hAnsi="Arial"/>
                <w:sz w:val="18"/>
                <w:szCs w:val="18"/>
                <w:color w:val="auto"/>
                <w:w w:val="96"/>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700" w:type="dxa"/>
            <w:vAlign w:val="bottom"/>
            <w:gridSpan w:val="17"/>
          </w:tcPr>
          <w:p>
            <w:pPr>
              <w:jc w:val="center"/>
              <w:ind w:left="234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8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(Thousands of dollars)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00" w:type="dxa"/>
            <w:vAlign w:val="bottom"/>
            <w:gridSpan w:val="4"/>
          </w:tcPr>
          <w:p>
            <w:pPr>
              <w:jc w:val="center"/>
              <w:ind w:left="659"/>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color w:val="auto"/>
                <w:w w:val="95"/>
              </w:rPr>
              <w:t>Six Months Ended</w:t>
            </w:r>
          </w:p>
        </w:tc>
        <w:tc>
          <w:tcPr>
            <w:tcW w:w="160" w:type="dxa"/>
            <w:vAlign w:val="bottom"/>
          </w:tcPr>
          <w:p>
            <w:pPr>
              <w:spacing w:after="0"/>
              <w:rPr>
                <w:sz w:val="24"/>
                <w:szCs w:val="24"/>
                <w:color w:val="auto"/>
              </w:rPr>
            </w:pPr>
          </w:p>
        </w:tc>
        <w:tc>
          <w:tcPr>
            <w:tcW w:w="2260" w:type="dxa"/>
            <w:vAlign w:val="bottom"/>
            <w:gridSpan w:val="5"/>
          </w:tcPr>
          <w:p>
            <w:pPr>
              <w:jc w:val="right"/>
              <w:ind w:right="860"/>
              <w:spacing w:after="0"/>
              <w:rPr>
                <w:sz w:val="20"/>
                <w:szCs w:val="20"/>
                <w:color w:val="auto"/>
              </w:rPr>
            </w:pPr>
            <w:r>
              <w:rPr>
                <w:rFonts w:ascii="Arial" w:cs="Arial" w:eastAsia="Arial" w:hAnsi="Arial"/>
                <w:sz w:val="14"/>
                <w:szCs w:val="14"/>
                <w:color w:val="auto"/>
                <w:w w:val="99"/>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96"/>
              </w:rPr>
              <w:t>2019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4"/>
                <w:szCs w:val="14"/>
                <w:color w:val="auto"/>
              </w:rPr>
              <w:t>2019</w:t>
            </w:r>
          </w:p>
        </w:tc>
        <w:tc>
          <w:tcPr>
            <w:tcW w:w="580" w:type="dxa"/>
            <w:vAlign w:val="bottom"/>
          </w:tcPr>
          <w:p>
            <w:pPr>
              <w:spacing w:after="0"/>
              <w:rPr>
                <w:sz w:val="17"/>
                <w:szCs w:val="17"/>
                <w:color w:val="auto"/>
              </w:rPr>
            </w:pPr>
          </w:p>
        </w:tc>
      </w:tr>
      <w:tr>
        <w:trPr>
          <w:trHeight w:val="196"/>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39,881</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22,832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112,886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118,216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211,317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6"/>
              <w:spacing w:after="0"/>
              <w:rPr>
                <w:sz w:val="20"/>
                <w:szCs w:val="20"/>
                <w:color w:val="auto"/>
              </w:rPr>
            </w:pPr>
            <w:r>
              <w:rPr>
                <w:rFonts w:ascii="Arial" w:cs="Arial" w:eastAsia="Arial" w:hAnsi="Arial"/>
                <w:sz w:val="14"/>
                <w:szCs w:val="14"/>
                <w:color w:val="auto"/>
                <w:w w:val="98"/>
              </w:rPr>
              <w:t>200,023</w:t>
            </w:r>
          </w:p>
        </w:tc>
        <w:tc>
          <w:tcPr>
            <w:tcW w:w="580" w:type="dxa"/>
            <w:vAlign w:val="bottom"/>
          </w:tcPr>
          <w:p>
            <w:pPr>
              <w:spacing w:after="0"/>
              <w:rPr>
                <w:sz w:val="17"/>
                <w:szCs w:val="17"/>
                <w:color w:val="auto"/>
              </w:rPr>
            </w:pPr>
          </w:p>
        </w:tc>
      </w:tr>
      <w:tr>
        <w:trPr>
          <w:trHeight w:val="189"/>
        </w:trPr>
        <w:tc>
          <w:tcPr>
            <w:tcW w:w="44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4340" w:type="dxa"/>
            <w:vAlign w:val="bottom"/>
            <w:gridSpan w:val="3"/>
          </w:tcPr>
          <w:p>
            <w:pPr>
              <w:ind w:left="60"/>
              <w:spacing w:after="0"/>
              <w:rPr>
                <w:sz w:val="20"/>
                <w:szCs w:val="20"/>
                <w:color w:val="auto"/>
              </w:rPr>
            </w:pPr>
            <w:r>
              <w:rPr>
                <w:rFonts w:ascii="Arial" w:cs="Arial" w:eastAsia="Arial" w:hAnsi="Arial"/>
                <w:sz w:val="14"/>
                <w:szCs w:val="14"/>
                <w:color w:val="auto"/>
              </w:rPr>
              <w:t>Defined benefit pension plans: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(15,524)</w:t>
            </w:r>
          </w:p>
        </w:tc>
        <w:tc>
          <w:tcPr>
            <w:tcW w:w="580" w:type="dxa"/>
            <w:vAlign w:val="bottom"/>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color w:val="auto"/>
              </w:rPr>
              <w:t>990</w:t>
            </w:r>
          </w:p>
        </w:tc>
        <w:tc>
          <w:tcPr>
            <w:tcW w:w="580" w:type="dxa"/>
            <w:vAlign w:val="bottom"/>
          </w:tcPr>
          <w:p>
            <w:pPr>
              <w:spacing w:after="0"/>
              <w:rPr>
                <w:sz w:val="17"/>
                <w:szCs w:val="17"/>
                <w:color w:val="auto"/>
              </w:rPr>
            </w:pPr>
          </w:p>
        </w:tc>
      </w:tr>
      <w:tr>
        <w:trPr>
          <w:trHeight w:val="209"/>
        </w:trPr>
        <w:tc>
          <w:tcPr>
            <w:tcW w:w="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8,883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21,658</w:t>
            </w:r>
          </w:p>
        </w:tc>
        <w:tc>
          <w:tcPr>
            <w:tcW w:w="580" w:type="dxa"/>
            <w:vAlign w:val="bottom"/>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Prior service cost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r>
      <w:tr>
        <w:trPr>
          <w:trHeight w:val="203"/>
        </w:trPr>
        <w:tc>
          <w:tcPr>
            <w:tcW w:w="6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(4,064)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(12,760)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(8,128)</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23,445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(2,895)</w:t>
            </w:r>
          </w:p>
        </w:tc>
        <w:tc>
          <w:tcPr>
            <w:tcW w:w="580" w:type="dxa"/>
            <w:vAlign w:val="bottom"/>
          </w:tcPr>
          <w:p>
            <w:pPr>
              <w:spacing w:after="0"/>
              <w:rPr>
                <w:sz w:val="17"/>
                <w:szCs w:val="17"/>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Net defined benefit pension plans</w:t>
            </w: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4,229</w:t>
            </w:r>
          </w:p>
        </w:tc>
        <w:tc>
          <w:tcPr>
            <w:tcW w:w="580" w:type="dxa"/>
            <w:vAlign w:val="bottom"/>
          </w:tcPr>
          <w:p>
            <w:pPr>
              <w:spacing w:after="0"/>
              <w:rPr>
                <w:sz w:val="17"/>
                <w:szCs w:val="17"/>
                <w:color w:val="auto"/>
              </w:rPr>
            </w:pPr>
          </w:p>
        </w:tc>
      </w:tr>
      <w:tr>
        <w:trPr>
          <w:trHeight w:val="188"/>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Forward-starting interest rate swaps (“FSIRS”):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2,541</w:t>
            </w:r>
          </w:p>
        </w:tc>
        <w:tc>
          <w:tcPr>
            <w:tcW w:w="580" w:type="dxa"/>
            <w:vAlign w:val="bottom"/>
          </w:tcPr>
          <w:p>
            <w:pPr>
              <w:spacing w:after="0"/>
              <w:rPr>
                <w:sz w:val="17"/>
                <w:szCs w:val="17"/>
                <w:color w:val="auto"/>
              </w:rPr>
            </w:pPr>
          </w:p>
        </w:tc>
      </w:tr>
      <w:tr>
        <w:trPr>
          <w:trHeight w:val="196"/>
        </w:trPr>
        <w:tc>
          <w:tcPr>
            <w:tcW w:w="6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forward-starting interest rate swaps</w:t>
            </w: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2,541</w:t>
            </w:r>
          </w:p>
        </w:tc>
        <w:tc>
          <w:tcPr>
            <w:tcW w:w="580" w:type="dxa"/>
            <w:vAlign w:val="bottom"/>
          </w:tcPr>
          <w:p>
            <w:pPr>
              <w:spacing w:after="0"/>
              <w:rPr>
                <w:sz w:val="17"/>
                <w:szCs w:val="17"/>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gridSpan w:val="3"/>
          </w:tcPr>
          <w:p>
            <w:pPr>
              <w:ind w:left="60"/>
              <w:spacing w:after="0"/>
              <w:rPr>
                <w:sz w:val="20"/>
                <w:szCs w:val="20"/>
                <w:color w:val="auto"/>
              </w:rPr>
            </w:pPr>
            <w:r>
              <w:rPr>
                <w:rFonts w:ascii="Arial" w:cs="Arial" w:eastAsia="Arial" w:hAnsi="Arial"/>
                <w:sz w:val="14"/>
                <w:szCs w:val="14"/>
                <w:color w:val="auto"/>
              </w:rPr>
              <w:t>Foreign currency translation adjustments</w:t>
            </w:r>
          </w:p>
        </w:tc>
        <w:tc>
          <w:tcPr>
            <w:tcW w:w="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169</w:t>
            </w:r>
          </w:p>
        </w:tc>
        <w:tc>
          <w:tcPr>
            <w:tcW w:w="580" w:type="dxa"/>
            <w:vAlign w:val="bottom"/>
          </w:tcPr>
          <w:p>
            <w:pPr>
              <w:spacing w:after="0"/>
              <w:rPr>
                <w:sz w:val="17"/>
                <w:szCs w:val="17"/>
                <w:color w:val="auto"/>
              </w:rPr>
            </w:pPr>
          </w:p>
        </w:tc>
      </w:tr>
      <w:tr>
        <w:trPr>
          <w:trHeight w:val="196"/>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3,456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6,939</w:t>
            </w:r>
          </w:p>
        </w:tc>
        <w:tc>
          <w:tcPr>
            <w:tcW w:w="580" w:type="dxa"/>
            <w:vAlign w:val="bottom"/>
          </w:tcPr>
          <w:p>
            <w:pPr>
              <w:spacing w:after="0"/>
              <w:rPr>
                <w:sz w:val="17"/>
                <w:szCs w:val="17"/>
                <w:color w:val="auto"/>
              </w:rPr>
            </w:pPr>
          </w:p>
        </w:tc>
      </w:tr>
      <w:tr>
        <w:trPr>
          <w:trHeight w:val="196"/>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43,337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24,874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114,001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122,303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204,281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color w:val="auto"/>
                <w:w w:val="98"/>
              </w:rPr>
              <w:t>206,962</w:t>
            </w:r>
          </w:p>
        </w:tc>
        <w:tc>
          <w:tcPr>
            <w:tcW w:w="580" w:type="dxa"/>
            <w:vAlign w:val="bottom"/>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Comprehensive income attributable to noncontrolling interests</w:t>
            </w:r>
          </w:p>
        </w:tc>
        <w:tc>
          <w:tcPr>
            <w:tcW w:w="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1,351</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1,523</w:t>
            </w:r>
          </w:p>
        </w:tc>
        <w:tc>
          <w:tcPr>
            <w:tcW w:w="580" w:type="dxa"/>
            <w:vAlign w:val="bottom"/>
          </w:tcPr>
          <w:p>
            <w:pPr>
              <w:spacing w:after="0"/>
              <w:rPr>
                <w:sz w:val="17"/>
                <w:szCs w:val="17"/>
                <w:color w:val="auto"/>
              </w:rPr>
            </w:pPr>
          </w:p>
        </w:tc>
      </w:tr>
      <w:tr>
        <w:trPr>
          <w:trHeight w:val="202"/>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 attributable to Southwest Gas Holdings, Inc.</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41,421</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24,098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111,622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120,952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200,542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6"/>
              <w:spacing w:after="0"/>
              <w:rPr>
                <w:sz w:val="20"/>
                <w:szCs w:val="20"/>
                <w:color w:val="auto"/>
              </w:rPr>
            </w:pPr>
            <w:r>
              <w:rPr>
                <w:rFonts w:ascii="Arial" w:cs="Arial" w:eastAsia="Arial" w:hAnsi="Arial"/>
                <w:sz w:val="14"/>
                <w:szCs w:val="14"/>
                <w:color w:val="auto"/>
                <w:w w:val="98"/>
              </w:rPr>
              <w:t>205,439</w:t>
            </w:r>
          </w:p>
        </w:tc>
        <w:tc>
          <w:tcPr>
            <w:tcW w:w="580" w:type="dxa"/>
            <w:vAlign w:val="bottom"/>
          </w:tcPr>
          <w:p>
            <w:pPr>
              <w:spacing w:after="0"/>
              <w:rPr>
                <w:sz w:val="17"/>
                <w:szCs w:val="17"/>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2"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50"/>
        </w:trPr>
        <w:tc>
          <w:tcPr>
            <w:tcW w:w="2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1"/>
              </w:rPr>
              <w:t>June 30, 2020</w:t>
            </w:r>
          </w:p>
        </w:tc>
      </w:tr>
      <w:tr>
        <w:trPr>
          <w:trHeight w:val="81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4"/>
          </w:tcPr>
          <w:p>
            <w:pPr>
              <w:jc w:val="center"/>
              <w:ind w:left="15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jc w:val="center"/>
              <w:ind w:left="1250"/>
              <w:spacing w:after="0"/>
              <w:rPr>
                <w:sz w:val="20"/>
                <w:szCs w:val="20"/>
                <w:color w:val="auto"/>
              </w:rPr>
            </w:pPr>
            <w:r>
              <w:rPr>
                <w:rFonts w:ascii="Arial" w:cs="Arial" w:eastAsia="Arial" w:hAnsi="Arial"/>
                <w:sz w:val="18"/>
                <w:szCs w:val="18"/>
                <w:color w:val="auto"/>
                <w:w w:val="91"/>
              </w:rPr>
              <w:t>(Thousands of dollars)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jc w:val="center"/>
              <w:ind w:left="125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24"/>
                <w:szCs w:val="24"/>
                <w:color w:val="auto"/>
              </w:rPr>
            </w:pPr>
          </w:p>
        </w:tc>
        <w:tc>
          <w:tcPr>
            <w:tcW w:w="190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color w:val="auto"/>
              </w:rPr>
              <w:t>June 30,</w:t>
            </w:r>
          </w:p>
        </w:tc>
      </w:tr>
      <w:tr>
        <w:trPr>
          <w:trHeight w:val="202"/>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2019</w:t>
            </w:r>
          </w:p>
        </w:tc>
      </w:tr>
      <w:tr>
        <w:trPr>
          <w:trHeight w:val="176"/>
        </w:trPr>
        <w:tc>
          <w:tcPr>
            <w:tcW w:w="20" w:type="dxa"/>
            <w:vAlign w:val="bottom"/>
          </w:tcPr>
          <w:p>
            <w:pPr>
              <w:spacing w:after="0"/>
              <w:rPr>
                <w:sz w:val="15"/>
                <w:szCs w:val="15"/>
                <w:color w:val="auto"/>
              </w:rPr>
            </w:pPr>
          </w:p>
        </w:tc>
        <w:tc>
          <w:tcPr>
            <w:tcW w:w="68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211,317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200,023</w:t>
            </w:r>
          </w:p>
        </w:tc>
      </w:tr>
      <w:tr>
        <w:trPr>
          <w:trHeight w:val="196"/>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164,870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147,881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320,226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273,308</w:t>
            </w:r>
          </w:p>
        </w:tc>
      </w:tr>
      <w:tr>
        <w:trPr>
          <w:trHeight w:val="196"/>
        </w:trPr>
        <w:tc>
          <w:tcPr>
            <w:tcW w:w="20" w:type="dxa"/>
            <w:vAlign w:val="bottom"/>
          </w:tcPr>
          <w:p>
            <w:pPr>
              <w:spacing w:after="0"/>
              <w:rPr>
                <w:sz w:val="17"/>
                <w:szCs w:val="17"/>
                <w:color w:val="auto"/>
              </w:rPr>
            </w:pPr>
          </w:p>
        </w:tc>
        <w:tc>
          <w:tcPr>
            <w:tcW w:w="6880" w:type="dxa"/>
            <w:vAlign w:val="bottom"/>
            <w:gridSpan w:val="3"/>
          </w:tcPr>
          <w:p>
            <w:pPr>
              <w:ind w:left="3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31,121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31,831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53,452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49,554</w:t>
            </w:r>
          </w:p>
        </w:tc>
      </w:tr>
      <w:tr>
        <w:trPr>
          <w:trHeight w:val="195"/>
        </w:trPr>
        <w:tc>
          <w:tcPr>
            <w:tcW w:w="20" w:type="dxa"/>
            <w:vAlign w:val="bottom"/>
            <w:shd w:val="clear" w:color="auto" w:fill="CCEEFF"/>
          </w:tcPr>
          <w:p>
            <w:pPr>
              <w:spacing w:after="0"/>
              <w:rPr>
                <w:sz w:val="16"/>
                <w:szCs w:val="16"/>
                <w:color w:val="auto"/>
              </w:rPr>
            </w:pPr>
          </w:p>
        </w:tc>
        <w:tc>
          <w:tcPr>
            <w:tcW w:w="6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current assets and liabilities: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880" w:type="dxa"/>
            <w:vAlign w:val="bottom"/>
            <w:gridSpan w:val="3"/>
          </w:tcPr>
          <w:p>
            <w:pPr>
              <w:ind w:left="680"/>
              <w:spacing w:after="0"/>
              <w:rPr>
                <w:sz w:val="20"/>
                <w:szCs w:val="20"/>
                <w:color w:val="auto"/>
              </w:rPr>
            </w:pPr>
            <w:r>
              <w:rPr>
                <w:rFonts w:ascii="Arial" w:cs="Arial" w:eastAsia="Arial" w:hAnsi="Arial"/>
                <w:sz w:val="14"/>
                <w:szCs w:val="14"/>
                <w:color w:val="auto"/>
              </w:rPr>
              <w:t>Accounts receivable, net of allowances</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(61,379)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(5,770)</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Accrued utility 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680"/>
              <w:spacing w:after="0"/>
              <w:rPr>
                <w:sz w:val="20"/>
                <w:szCs w:val="20"/>
                <w:color w:val="auto"/>
              </w:rPr>
            </w:pPr>
            <w:r>
              <w:rPr>
                <w:rFonts w:ascii="Arial" w:cs="Arial" w:eastAsia="Arial" w:hAnsi="Arial"/>
                <w:sz w:val="14"/>
                <w:szCs w:val="14"/>
                <w:color w:val="auto"/>
              </w:rPr>
              <w:t>Deferred purchased gas costs</w:t>
            </w: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53,595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(43,341)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5,128</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(47,198)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8,088</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680"/>
              <w:spacing w:after="0"/>
              <w:rPr>
                <w:sz w:val="20"/>
                <w:szCs w:val="20"/>
                <w:color w:val="auto"/>
              </w:rPr>
            </w:pPr>
            <w:r>
              <w:rPr>
                <w:rFonts w:ascii="Arial" w:cs="Arial" w:eastAsia="Arial" w:hAnsi="Arial"/>
                <w:sz w:val="14"/>
                <w:szCs w:val="14"/>
                <w:color w:val="auto"/>
              </w:rPr>
              <w:t>Accrued taxes</w:t>
            </w: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16,534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3,123</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Other current assets and liabilities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78,538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17,721</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20"/>
              <w:spacing w:after="0"/>
              <w:rPr>
                <w:sz w:val="20"/>
                <w:szCs w:val="20"/>
                <w:color w:val="auto"/>
              </w:rPr>
            </w:pPr>
            <w:r>
              <w:rPr>
                <w:rFonts w:ascii="Arial" w:cs="Arial" w:eastAsia="Arial" w:hAnsi="Arial"/>
                <w:sz w:val="14"/>
                <w:szCs w:val="14"/>
                <w:color w:val="auto"/>
              </w:rPr>
              <w:t>Gains on sale of equipment</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(2,284)</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undistributed stock compensation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7,513</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20"/>
              <w:spacing w:after="0"/>
              <w:rPr>
                <w:sz w:val="20"/>
                <w:szCs w:val="20"/>
                <w:color w:val="auto"/>
              </w:rPr>
            </w:pPr>
            <w:r>
              <w:rPr>
                <w:rFonts w:ascii="Arial" w:cs="Arial" w:eastAsia="Arial" w:hAnsi="Arial"/>
                <w:sz w:val="14"/>
                <w:szCs w:val="14"/>
                <w:color w:val="auto"/>
              </w:rPr>
              <w:t>Equity AFUDC</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(5,008)</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deferred charges and 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(16,486)</w:t>
            </w:r>
          </w:p>
        </w:tc>
      </w:tr>
      <w:tr>
        <w:trPr>
          <w:trHeight w:val="196"/>
        </w:trPr>
        <w:tc>
          <w:tcPr>
            <w:tcW w:w="20" w:type="dxa"/>
            <w:vAlign w:val="bottom"/>
            <w:tcBorders>
              <w:bottom w:val="single" w:sz="8" w:color="CCEEFF"/>
            </w:tcBorders>
          </w:tcPr>
          <w:p>
            <w:pPr>
              <w:spacing w:after="0"/>
              <w:rPr>
                <w:sz w:val="17"/>
                <w:szCs w:val="17"/>
                <w:color w:val="auto"/>
              </w:rPr>
            </w:pPr>
          </w:p>
        </w:tc>
        <w:tc>
          <w:tcPr>
            <w:tcW w:w="6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Changes in other liabilities and deferred credits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(61,129)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26,040</w:t>
            </w:r>
          </w:p>
        </w:tc>
      </w:tr>
      <w:tr>
        <w:trPr>
          <w:trHeight w:val="202"/>
        </w:trPr>
        <w:tc>
          <w:tcPr>
            <w:tcW w:w="20" w:type="dxa"/>
            <w:vAlign w:val="bottom"/>
            <w:shd w:val="clear" w:color="auto" w:fill="CCEEFF"/>
          </w:tcPr>
          <w:p>
            <w:pPr>
              <w:spacing w:after="0"/>
              <w:rPr>
                <w:sz w:val="17"/>
                <w:szCs w:val="17"/>
                <w:color w:val="auto"/>
              </w:rPr>
            </w:pPr>
          </w:p>
        </w:tc>
        <w:tc>
          <w:tcPr>
            <w:tcW w:w="68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375,140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278,416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597,096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560,250</w:t>
            </w:r>
          </w:p>
        </w:tc>
      </w:tr>
      <w:tr>
        <w:trPr>
          <w:trHeight w:val="176"/>
        </w:trPr>
        <w:tc>
          <w:tcPr>
            <w:tcW w:w="20" w:type="dxa"/>
            <w:vAlign w:val="bottom"/>
          </w:tcPr>
          <w:p>
            <w:pPr>
              <w:spacing w:after="0"/>
              <w:rPr>
                <w:sz w:val="15"/>
                <w:szCs w:val="15"/>
                <w:color w:val="auto"/>
              </w:rPr>
            </w:pPr>
          </w:p>
        </w:tc>
        <w:tc>
          <w:tcPr>
            <w:tcW w:w="68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(423,435)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(471,578)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(890,005)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(898,481)</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Acquisition of businesses, net of cash acquired</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(19,533)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(28,355)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(266,697)</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14,788</w:t>
            </w:r>
          </w:p>
        </w:tc>
      </w:tr>
      <w:tr>
        <w:trPr>
          <w:trHeight w:val="197"/>
        </w:trPr>
        <w:tc>
          <w:tcPr>
            <w:tcW w:w="20" w:type="dxa"/>
            <w:vAlign w:val="bottom"/>
            <w:tcBorders>
              <w:bottom w:val="single" w:sz="8" w:color="CCEEFF"/>
            </w:tcBorders>
          </w:tcPr>
          <w:p>
            <w:pPr>
              <w:spacing w:after="0"/>
              <w:rPr>
                <w:sz w:val="17"/>
                <w:szCs w:val="17"/>
                <w:color w:val="auto"/>
              </w:rPr>
            </w:pPr>
          </w:p>
        </w:tc>
        <w:tc>
          <w:tcPr>
            <w:tcW w:w="688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2,936</w:t>
            </w:r>
          </w:p>
        </w:tc>
      </w:tr>
      <w:tr>
        <w:trPr>
          <w:trHeight w:val="202"/>
        </w:trPr>
        <w:tc>
          <w:tcPr>
            <w:tcW w:w="20" w:type="dxa"/>
            <w:vAlign w:val="bottom"/>
            <w:shd w:val="clear" w:color="auto" w:fill="CCEEFF"/>
          </w:tcPr>
          <w:p>
            <w:pPr>
              <w:spacing w:after="0"/>
              <w:rPr>
                <w:sz w:val="17"/>
                <w:szCs w:val="17"/>
                <w:color w:val="auto"/>
              </w:rPr>
            </w:pPr>
          </w:p>
        </w:tc>
        <w:tc>
          <w:tcPr>
            <w:tcW w:w="688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(414,542)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(480,469)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(885,705)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(1,147,454)</w:t>
            </w:r>
          </w:p>
        </w:tc>
      </w:tr>
      <w:tr>
        <w:trPr>
          <w:trHeight w:val="176"/>
        </w:trPr>
        <w:tc>
          <w:tcPr>
            <w:tcW w:w="20" w:type="dxa"/>
            <w:vAlign w:val="bottom"/>
          </w:tcPr>
          <w:p>
            <w:pPr>
              <w:spacing w:after="0"/>
              <w:rPr>
                <w:sz w:val="15"/>
                <w:szCs w:val="15"/>
                <w:color w:val="auto"/>
              </w:rPr>
            </w:pPr>
          </w:p>
        </w:tc>
        <w:tc>
          <w:tcPr>
            <w:tcW w:w="68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common stock,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388,006</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(61,445)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(56,738)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(120,834)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(107,993)</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long-term debt,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620,303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421,594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730,305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531,368</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Retirement of long-term debt</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(117,536)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(53,604)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(277,721)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(190,586)</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credit facility and commercial paper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Change in short-term debt</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(153,000)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(152,000)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58,000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(22,500)</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Principal payments on finance lease obligations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w:t>
            </w: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(2,112)</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(2,812)</w:t>
            </w:r>
          </w:p>
        </w:tc>
      </w:tr>
      <w:tr>
        <w:trPr>
          <w:trHeight w:val="190"/>
        </w:trPr>
        <w:tc>
          <w:tcPr>
            <w:tcW w:w="20" w:type="dxa"/>
            <w:vAlign w:val="bottom"/>
            <w:tcBorders>
              <w:bottom w:val="single" w:sz="8" w:color="CCEEFF"/>
            </w:tcBorders>
          </w:tcPr>
          <w:p>
            <w:pPr>
              <w:spacing w:after="0"/>
              <w:rPr>
                <w:sz w:val="16"/>
                <w:szCs w:val="16"/>
                <w:color w:val="auto"/>
              </w:rPr>
            </w:pPr>
          </w:p>
        </w:tc>
        <w:tc>
          <w:tcPr>
            <w:tcW w:w="688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189,624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155,066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449,838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590,932</w:t>
            </w:r>
          </w:p>
        </w:tc>
      </w:tr>
      <w:tr>
        <w:trPr>
          <w:trHeight w:val="202"/>
        </w:trPr>
        <w:tc>
          <w:tcPr>
            <w:tcW w:w="20" w:type="dxa"/>
            <w:vAlign w:val="bottom"/>
            <w:shd w:val="clear" w:color="auto" w:fill="CCEEFF"/>
          </w:tcPr>
          <w:p>
            <w:pPr>
              <w:spacing w:after="0"/>
              <w:rPr>
                <w:sz w:val="17"/>
                <w:szCs w:val="17"/>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Effects of currency translation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190"/>
        </w:trPr>
        <w:tc>
          <w:tcPr>
            <w:tcW w:w="20" w:type="dxa"/>
            <w:vAlign w:val="bottom"/>
          </w:tcPr>
          <w:p>
            <w:pPr>
              <w:spacing w:after="0"/>
              <w:rPr>
                <w:sz w:val="16"/>
                <w:szCs w:val="16"/>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Change in cash and cash equivalents</w:t>
            </w:r>
          </w:p>
        </w:tc>
        <w:tc>
          <w:tcPr>
            <w:tcW w:w="2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150,052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(46,915)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161,145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3,716</w:t>
            </w:r>
          </w:p>
        </w:tc>
      </w:tr>
      <w:tr>
        <w:trPr>
          <w:trHeight w:val="208"/>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49,539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85,361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38,446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34,730</w:t>
            </w:r>
          </w:p>
        </w:tc>
      </w:tr>
      <w:tr>
        <w:trPr>
          <w:trHeight w:val="190"/>
        </w:trPr>
        <w:tc>
          <w:tcPr>
            <w:tcW w:w="20" w:type="dxa"/>
            <w:vAlign w:val="bottom"/>
          </w:tcPr>
          <w:p>
            <w:pPr>
              <w:spacing w:after="0"/>
              <w:rPr>
                <w:sz w:val="16"/>
                <w:szCs w:val="16"/>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199,591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38,446</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199,591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38,446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SUPPLEMENTAL INFORMATION: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6880" w:type="dxa"/>
            <w:vAlign w:val="bottom"/>
            <w:gridSpan w:val="3"/>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51,430</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49,996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103,692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96,476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Income taxes paid (received),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62"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1"/>
              </w:rPr>
              <w:t>June 30, 2020</w:t>
            </w:r>
          </w:p>
        </w:tc>
        <w:tc>
          <w:tcPr>
            <w:tcW w:w="0" w:type="dxa"/>
            <w:vAlign w:val="bottom"/>
          </w:tcPr>
          <w:p>
            <w:pPr>
              <w:spacing w:after="0"/>
              <w:rPr>
                <w:sz w:val="1"/>
                <w:szCs w:val="1"/>
                <w:color w:val="auto"/>
              </w:rPr>
            </w:pP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5"/>
          </w:tcPr>
          <w:p>
            <w:pPr>
              <w:jc w:val="center"/>
              <w:ind w:left="190"/>
              <w:spacing w:after="0"/>
              <w:rPr>
                <w:sz w:val="20"/>
                <w:szCs w:val="20"/>
                <w:color w:val="auto"/>
              </w:rPr>
            </w:pPr>
            <w:r>
              <w:rPr>
                <w:rFonts w:ascii="Arial" w:cs="Arial" w:eastAsia="Arial" w:hAnsi="Arial"/>
                <w:sz w:val="18"/>
                <w:szCs w:val="18"/>
                <w:color w:val="auto"/>
                <w:w w:val="96"/>
              </w:rPr>
              <w:t>SOUTHWEST GAS HOLDINGS, INC. AND SUBSIDIARIES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gridSpan w:val="5"/>
          </w:tcPr>
          <w:p>
            <w:pPr>
              <w:jc w:val="center"/>
              <w:ind w:left="190"/>
              <w:spacing w:after="0"/>
              <w:rPr>
                <w:sz w:val="20"/>
                <w:szCs w:val="20"/>
                <w:color w:val="auto"/>
              </w:rPr>
            </w:pPr>
            <w:r>
              <w:rPr>
                <w:rFonts w:ascii="Arial" w:cs="Arial" w:eastAsia="Arial" w:hAnsi="Arial"/>
                <w:sz w:val="18"/>
                <w:szCs w:val="18"/>
                <w:color w:val="auto"/>
                <w:w w:val="95"/>
              </w:rPr>
              <w:t>CONDENSED CONSOLIDATED STATEMENTS OF EQUITY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gridSpan w:val="4"/>
          </w:tcPr>
          <w:p>
            <w:pPr>
              <w:jc w:val="center"/>
              <w:ind w:left="470"/>
              <w:spacing w:after="0"/>
              <w:rPr>
                <w:sz w:val="20"/>
                <w:szCs w:val="20"/>
                <w:color w:val="auto"/>
              </w:rPr>
            </w:pPr>
            <w:r>
              <w:rPr>
                <w:rFonts w:ascii="Arial" w:cs="Arial" w:eastAsia="Arial" w:hAnsi="Arial"/>
                <w:sz w:val="18"/>
                <w:szCs w:val="18"/>
                <w:color w:val="auto"/>
                <w:w w:val="88"/>
              </w:rPr>
              <w:t>(In thousands, except per share amounts)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tcPr>
          <w:p>
            <w:pPr>
              <w:jc w:val="center"/>
              <w:ind w:left="165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26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24"/>
                <w:szCs w:val="24"/>
                <w:color w:val="auto"/>
              </w:rPr>
            </w:pPr>
          </w:p>
        </w:tc>
        <w:tc>
          <w:tcPr>
            <w:tcW w:w="2100" w:type="dxa"/>
            <w:vAlign w:val="bottom"/>
            <w:gridSpan w:val="4"/>
          </w:tcPr>
          <w:p>
            <w:pPr>
              <w:jc w:val="center"/>
              <w:ind w:right="119"/>
              <w:spacing w:after="0"/>
              <w:rPr>
                <w:sz w:val="20"/>
                <w:szCs w:val="20"/>
                <w:color w:val="auto"/>
              </w:rPr>
            </w:pPr>
            <w:r>
              <w:rPr>
                <w:rFonts w:ascii="Arial" w:cs="Arial" w:eastAsia="Arial" w:hAnsi="Arial"/>
                <w:sz w:val="16"/>
                <w:szCs w:val="16"/>
                <w:color w:val="auto"/>
                <w:w w:val="93"/>
              </w:rPr>
              <w:t>Six Months Ended</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left="579"/>
              <w:spacing w:after="0"/>
              <w:rPr>
                <w:sz w:val="20"/>
                <w:szCs w:val="20"/>
                <w:color w:val="auto"/>
              </w:rPr>
            </w:pPr>
            <w:r>
              <w:rPr>
                <w:rFonts w:ascii="Arial" w:cs="Arial" w:eastAsia="Arial" w:hAnsi="Arial"/>
                <w:sz w:val="16"/>
                <w:szCs w:val="16"/>
                <w:color w:val="auto"/>
                <w:w w:val="87"/>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55,126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53,391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53,026</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55,910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54,321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55,910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54,321</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56,756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55,021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56,637</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54,656</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57,540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55,951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57,540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55,951</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1,470,411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w w:val="92"/>
              </w:rPr>
              <w:t>1,332,793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1,466,937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1,305,769</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Common stock issuances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56,693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104,606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3"/>
          </w:tcPr>
          <w:p>
            <w:pPr>
              <w:ind w:left="880"/>
              <w:spacing w:after="0"/>
              <w:rPr>
                <w:sz w:val="20"/>
                <w:szCs w:val="20"/>
                <w:color w:val="auto"/>
              </w:rPr>
            </w:pPr>
            <w:r>
              <w:rPr>
                <w:rFonts w:ascii="Arial" w:cs="Arial" w:eastAsia="Arial" w:hAnsi="Arial"/>
                <w:sz w:val="16"/>
                <w:szCs w:val="16"/>
                <w:color w:val="auto"/>
              </w:rPr>
              <w:t>Change in ownership of noncontrolling interest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33"/>
        </w:trPr>
        <w:tc>
          <w:tcPr>
            <w:tcW w:w="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1,523,630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2"/>
              </w:rPr>
              <w:t>1,409,923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1,523,630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1,409,923</w:t>
            </w:r>
          </w:p>
        </w:tc>
        <w:tc>
          <w:tcPr>
            <w:tcW w:w="0" w:type="dxa"/>
            <w:vAlign w:val="bottom"/>
          </w:tcPr>
          <w:p>
            <w:pPr>
              <w:spacing w:after="0"/>
              <w:rPr>
                <w:sz w:val="1"/>
                <w:szCs w:val="1"/>
                <w:color w:val="auto"/>
              </w:rPr>
            </w:pPr>
          </w:p>
        </w:tc>
      </w:tr>
      <w:tr>
        <w:trPr>
          <w:trHeight w:val="203"/>
        </w:trPr>
        <w:tc>
          <w:tcPr>
            <w:tcW w:w="654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(52,668)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3"/>
          </w:tcPr>
          <w:p>
            <w:pPr>
              <w:ind w:left="880"/>
              <w:spacing w:after="0"/>
              <w:rPr>
                <w:sz w:val="20"/>
                <w:szCs w:val="20"/>
                <w:color w:val="auto"/>
              </w:rPr>
            </w:pPr>
            <w:r>
              <w:rPr>
                <w:rFonts w:ascii="Arial" w:cs="Arial" w:eastAsia="Arial" w:hAnsi="Arial"/>
                <w:sz w:val="16"/>
                <w:szCs w:val="16"/>
                <w:color w:val="auto"/>
              </w:rPr>
              <w:t>Foreign currency exchange translation adjustment</w:t>
            </w: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shd w:val="clear" w:color="auto" w:fill="CCEEFF"/>
          </w:tcPr>
          <w:p>
            <w:pPr>
              <w:spacing w:after="0"/>
              <w:rPr>
                <w:sz w:val="14"/>
                <w:szCs w:val="14"/>
                <w:color w:val="auto"/>
              </w:rPr>
            </w:pPr>
          </w:p>
        </w:tc>
        <w:tc>
          <w:tcPr>
            <w:tcW w:w="6480" w:type="dxa"/>
            <w:vAlign w:val="bottom"/>
            <w:gridSpan w:val="3"/>
            <w:shd w:val="clear" w:color="auto" w:fill="CCEEFF"/>
          </w:tcPr>
          <w:p>
            <w:pPr>
              <w:ind w:left="880"/>
              <w:spacing w:after="0" w:line="166" w:lineRule="exact"/>
              <w:rPr>
                <w:sz w:val="20"/>
                <w:szCs w:val="20"/>
                <w:color w:val="auto"/>
              </w:rPr>
            </w:pPr>
            <w:r>
              <w:rPr>
                <w:rFonts w:ascii="Arial" w:cs="Arial" w:eastAsia="Arial" w:hAnsi="Arial"/>
                <w:sz w:val="16"/>
                <w:szCs w:val="16"/>
                <w:color w:val="auto"/>
                <w:w w:val="92"/>
              </w:rPr>
              <w:t>Net actuarial gain arising during period, less amortization of unamortized benefit plan</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648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cost, net of tax</w:t>
            </w: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3"/>
          </w:tcPr>
          <w:p>
            <w:pPr>
              <w:ind w:left="880"/>
              <w:spacing w:after="0"/>
              <w:rPr>
                <w:sz w:val="20"/>
                <w:szCs w:val="20"/>
                <w:color w:val="auto"/>
              </w:rPr>
            </w:pPr>
            <w:r>
              <w:rPr>
                <w:rFonts w:ascii="Arial" w:cs="Arial" w:eastAsia="Arial" w:hAnsi="Arial"/>
                <w:sz w:val="16"/>
                <w:szCs w:val="16"/>
                <w:color w:val="auto"/>
              </w:rPr>
              <w:t>FSIRS amounts reclassified to net income, net of tax</w:t>
            </w: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33"/>
        </w:trPr>
        <w:tc>
          <w:tcPr>
            <w:tcW w:w="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(48,581)</w:t>
            </w:r>
          </w:p>
        </w:tc>
        <w:tc>
          <w:tcPr>
            <w:tcW w:w="0" w:type="dxa"/>
            <w:vAlign w:val="bottom"/>
          </w:tcPr>
          <w:p>
            <w:pPr>
              <w:spacing w:after="0"/>
              <w:rPr>
                <w:sz w:val="1"/>
                <w:szCs w:val="1"/>
                <w:color w:val="auto"/>
              </w:rPr>
            </w:pPr>
          </w:p>
        </w:tc>
      </w:tr>
      <w:tr>
        <w:trPr>
          <w:trHeight w:val="203"/>
        </w:trPr>
        <w:tc>
          <w:tcPr>
            <w:tcW w:w="6540" w:type="dxa"/>
            <w:vAlign w:val="bottom"/>
            <w:gridSpan w:val="4"/>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1,079,801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2"/>
              </w:rPr>
              <w:t>1,009,809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1,039,072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944,285</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480" w:type="dxa"/>
            <w:vAlign w:val="bottom"/>
            <w:gridSpan w:val="3"/>
          </w:tcPr>
          <w:p>
            <w:pPr>
              <w:ind w:left="88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22,056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110,507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116,865</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gridSpan w:val="3"/>
            <w:shd w:val="clear" w:color="auto" w:fill="CCEEFF"/>
          </w:tcPr>
          <w:p>
            <w:pPr>
              <w:ind w:left="880"/>
              <w:spacing w:after="0"/>
              <w:rPr>
                <w:sz w:val="20"/>
                <w:szCs w:val="20"/>
                <w:color w:val="auto"/>
              </w:rPr>
            </w:pPr>
            <w:r>
              <w:rPr>
                <w:rFonts w:ascii="Arial" w:cs="Arial" w:eastAsia="Arial" w:hAnsi="Arial"/>
                <w:sz w:val="16"/>
                <w:szCs w:val="16"/>
                <w:color w:val="auto"/>
              </w:rPr>
              <w:t>Dividends declared</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(59,080)</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648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1,085,742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2"/>
              </w:rPr>
              <w:t>1,002,070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1,085,742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8"/>
              </w:rPr>
              <w:t>1,002,070</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Holdings, Inc. equity ending balances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2,611,295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2"/>
              </w:rPr>
              <w:t>2,419,363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2,611,295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2,419,363</w:t>
            </w:r>
          </w:p>
        </w:tc>
        <w:tc>
          <w:tcPr>
            <w:tcW w:w="0" w:type="dxa"/>
            <w:vAlign w:val="bottom"/>
          </w:tcPr>
          <w:p>
            <w:pPr>
              <w:spacing w:after="0"/>
              <w:rPr>
                <w:sz w:val="1"/>
                <w:szCs w:val="1"/>
                <w:color w:val="auto"/>
              </w:rPr>
            </w:pPr>
          </w:p>
        </w:tc>
      </w:tr>
      <w:tr>
        <w:trPr>
          <w:trHeight w:val="204"/>
        </w:trPr>
        <w:tc>
          <w:tcPr>
            <w:tcW w:w="6540" w:type="dxa"/>
            <w:vAlign w:val="bottom"/>
            <w:gridSpan w:val="4"/>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64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480" w:type="dxa"/>
            <w:vAlign w:val="bottom"/>
            <w:gridSpan w:val="3"/>
          </w:tcPr>
          <w:p>
            <w:pPr>
              <w:ind w:left="880"/>
              <w:spacing w:after="0"/>
              <w:rPr>
                <w:sz w:val="20"/>
                <w:szCs w:val="20"/>
                <w:color w:val="auto"/>
              </w:rPr>
            </w:pPr>
            <w:r>
              <w:rPr>
                <w:rFonts w:ascii="Arial" w:cs="Arial" w:eastAsia="Arial" w:hAnsi="Arial"/>
                <w:sz w:val="16"/>
                <w:szCs w:val="16"/>
                <w:color w:val="auto"/>
              </w:rPr>
              <w:t>Change in ownership of noncontrolling interest</w:t>
            </w: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33"/>
        </w:trPr>
        <w:tc>
          <w:tcPr>
            <w:tcW w:w="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6540" w:type="dxa"/>
            <w:vAlign w:val="bottom"/>
            <w:gridSpan w:val="4"/>
          </w:tcPr>
          <w:p>
            <w:pPr>
              <w:ind w:left="20"/>
              <w:spacing w:after="0"/>
              <w:rPr>
                <w:sz w:val="20"/>
                <w:szCs w:val="20"/>
                <w:color w:val="auto"/>
              </w:rPr>
            </w:pPr>
            <w:r>
              <w:rPr>
                <w:rFonts w:ascii="Arial" w:cs="Arial" w:eastAsia="Arial" w:hAnsi="Arial"/>
                <w:sz w:val="16"/>
                <w:szCs w:val="16"/>
                <w:color w:val="auto"/>
              </w:rPr>
              <w:t>Total equity ending balances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2,611,295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2,419,363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2,611,295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2,419,363</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right="60"/>
        <w:spacing w:after="0" w:line="374" w:lineRule="auto"/>
        <w:rPr>
          <w:sz w:val="20"/>
          <w:szCs w:val="20"/>
          <w:color w:val="auto"/>
        </w:rPr>
      </w:pPr>
      <w:r>
        <w:rPr>
          <w:rFonts w:ascii="Arial" w:cs="Arial" w:eastAsia="Arial" w:hAnsi="Arial"/>
          <w:sz w:val="17"/>
          <w:szCs w:val="17"/>
          <w:u w:val="single" w:color="auto"/>
          <w:color w:val="auto"/>
        </w:rPr>
        <w:t>SOUTHWEST GAS HOLDINGS, INC. 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Utility plant: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Gas plant</w:t>
      </w:r>
    </w:p>
    <w:p>
      <w:pPr>
        <w:spacing w:after="0" w:line="42" w:lineRule="exact"/>
        <w:rPr>
          <w:sz w:val="20"/>
          <w:szCs w:val="20"/>
          <w:color w:val="auto"/>
        </w:rPr>
      </w:pPr>
    </w:p>
    <w:p>
      <w:pPr>
        <w:ind w:left="440" w:right="700"/>
        <w:spacing w:after="0" w:line="363" w:lineRule="auto"/>
        <w:rPr>
          <w:sz w:val="20"/>
          <w:szCs w:val="20"/>
          <w:color w:val="auto"/>
        </w:rPr>
      </w:pPr>
      <w:r>
        <w:rPr>
          <w:rFonts w:ascii="Arial" w:cs="Arial" w:eastAsia="Arial" w:hAnsi="Arial"/>
          <w:sz w:val="12"/>
          <w:szCs w:val="12"/>
          <w:color w:val="auto"/>
        </w:rPr>
        <w:t>Less: accumulated depreciation Construction work in progress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Net utility plant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property and investments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assets: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Accounts receivable, net of allowance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Accrued utility revenue</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Income taxes receivable, net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Deferred purchased gas costs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Prepaid and other current assets</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Total current assets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Noncurrent assets: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Goodwill</w:t>
      </w:r>
    </w:p>
    <w:p>
      <w:pPr>
        <w:spacing w:after="0" w:line="42" w:lineRule="exact"/>
        <w:rPr>
          <w:sz w:val="20"/>
          <w:szCs w:val="20"/>
          <w:color w:val="auto"/>
        </w:rPr>
      </w:pPr>
    </w:p>
    <w:p>
      <w:pPr>
        <w:ind w:left="780" w:right="580" w:hanging="323"/>
        <w:spacing w:after="0" w:line="399" w:lineRule="auto"/>
        <w:rPr>
          <w:sz w:val="20"/>
          <w:szCs w:val="20"/>
          <w:color w:val="auto"/>
        </w:rPr>
      </w:pPr>
      <w:r>
        <w:rPr>
          <w:rFonts w:ascii="Arial" w:cs="Arial" w:eastAsia="Arial" w:hAnsi="Arial"/>
          <w:sz w:val="12"/>
          <w:szCs w:val="12"/>
          <w:color w:val="auto"/>
        </w:rPr>
        <w:t>Deferred charges and other assets Total noncurrent assets</w:t>
      </w:r>
    </w:p>
    <w:p>
      <w:pPr>
        <w:ind w:left="14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ind w:left="140" w:right="440"/>
        <w:spacing w:after="0" w:line="301" w:lineRule="auto"/>
        <w:rPr>
          <w:sz w:val="20"/>
          <w:szCs w:val="20"/>
          <w:color w:val="auto"/>
        </w:rPr>
      </w:pPr>
      <w:r>
        <w:rPr>
          <w:rFonts w:ascii="Arial" w:cs="Arial" w:eastAsia="Arial" w:hAnsi="Arial"/>
          <w:sz w:val="14"/>
          <w:szCs w:val="14"/>
          <w:color w:val="auto"/>
        </w:rPr>
        <w:t>CAPITALIZATION AND LIABILITIES Capitalization: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Common stock</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Additional paid-in capital</w:t>
      </w:r>
    </w:p>
    <w:p>
      <w:pPr>
        <w:spacing w:after="0" w:line="42" w:lineRule="exact"/>
        <w:rPr>
          <w:sz w:val="20"/>
          <w:szCs w:val="20"/>
          <w:color w:val="auto"/>
        </w:rPr>
      </w:pPr>
    </w:p>
    <w:p>
      <w:pPr>
        <w:ind w:left="440"/>
        <w:spacing w:after="0" w:line="301" w:lineRule="auto"/>
        <w:rPr>
          <w:sz w:val="20"/>
          <w:szCs w:val="20"/>
          <w:color w:val="auto"/>
        </w:rPr>
      </w:pPr>
      <w:r>
        <w:rPr>
          <w:rFonts w:ascii="Arial" w:cs="Arial" w:eastAsia="Arial" w:hAnsi="Arial"/>
          <w:sz w:val="14"/>
          <w:szCs w:val="14"/>
          <w:color w:val="auto"/>
        </w:rPr>
        <w:t>Accumulated other comprehensive loss, net Retained earnings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70"/>
        </w:trPr>
        <w:tc>
          <w:tcPr>
            <w:tcW w:w="4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June 30, 2020</w:t>
            </w:r>
          </w:p>
        </w:tc>
      </w:tr>
      <w:tr>
        <w:trPr>
          <w:trHeight w:val="796"/>
        </w:trPr>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SOUTHWEST GAS CORPORATION AND SUBSIDIARIES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CONDENSED CONSOLIDATED BALANCE SHEETS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(Thousands of dollars)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(Unaudited)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8"/>
        </w:trPr>
        <w:tc>
          <w:tcPr>
            <w:tcW w:w="4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 2020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color w:val="auto"/>
                <w:w w:val="97"/>
              </w:rPr>
              <w:t>December 31, 2019</w:t>
            </w:r>
          </w:p>
        </w:tc>
        <w:tc>
          <w:tcPr>
            <w:tcW w:w="120" w:type="dxa"/>
            <w:vAlign w:val="bottom"/>
          </w:tcPr>
          <w:p>
            <w:pPr>
              <w:spacing w:after="0"/>
              <w:rPr>
                <w:sz w:val="24"/>
                <w:szCs w:val="24"/>
                <w:color w:val="auto"/>
              </w:rPr>
            </w:pPr>
          </w:p>
        </w:tc>
      </w:tr>
      <w:tr>
        <w:trPr>
          <w:trHeight w:val="582"/>
        </w:trPr>
        <w:tc>
          <w:tcPr>
            <w:tcW w:w="4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8,086,597</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7,813,221</w:t>
            </w:r>
          </w:p>
        </w:tc>
        <w:tc>
          <w:tcPr>
            <w:tcW w:w="120" w:type="dxa"/>
            <w:vAlign w:val="bottom"/>
          </w:tcPr>
          <w:p>
            <w:pPr>
              <w:spacing w:after="0"/>
              <w:rPr>
                <w:sz w:val="24"/>
                <w:szCs w:val="24"/>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(2,367,836)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6"/>
              <w:spacing w:after="0"/>
              <w:rPr>
                <w:sz w:val="20"/>
                <w:szCs w:val="20"/>
                <w:color w:val="auto"/>
              </w:rPr>
            </w:pPr>
            <w:r>
              <w:rPr>
                <w:rFonts w:ascii="Arial" w:cs="Arial" w:eastAsia="Arial" w:hAnsi="Arial"/>
                <w:sz w:val="14"/>
                <w:szCs w:val="14"/>
                <w:color w:val="auto"/>
              </w:rPr>
              <w:t>(2,313,050)</w:t>
            </w:r>
          </w:p>
        </w:tc>
        <w:tc>
          <w:tcPr>
            <w:tcW w:w="120" w:type="dxa"/>
            <w:vAlign w:val="bottom"/>
          </w:tcPr>
          <w:p>
            <w:pPr>
              <w:spacing w:after="0"/>
              <w:rPr>
                <w:sz w:val="17"/>
                <w:szCs w:val="17"/>
                <w:color w:val="auto"/>
              </w:rPr>
            </w:pPr>
          </w:p>
        </w:tc>
      </w:tr>
      <w:tr>
        <w:trPr>
          <w:trHeight w:val="208"/>
        </w:trPr>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217,616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185,026</w:t>
            </w:r>
          </w:p>
        </w:tc>
        <w:tc>
          <w:tcPr>
            <w:tcW w:w="12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5,936,377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5,685,197</w:t>
            </w:r>
          </w:p>
        </w:tc>
        <w:tc>
          <w:tcPr>
            <w:tcW w:w="12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130,634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133,787</w:t>
            </w:r>
          </w:p>
        </w:tc>
        <w:tc>
          <w:tcPr>
            <w:tcW w:w="120" w:type="dxa"/>
            <w:vAlign w:val="bottom"/>
          </w:tcPr>
          <w:p>
            <w:pPr>
              <w:spacing w:after="0"/>
              <w:rPr>
                <w:sz w:val="17"/>
                <w:szCs w:val="17"/>
                <w:color w:val="auto"/>
              </w:rPr>
            </w:pPr>
          </w:p>
        </w:tc>
      </w:tr>
      <w:tr>
        <w:trPr>
          <w:trHeight w:val="379"/>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190,784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40,489</w:t>
            </w:r>
          </w:p>
        </w:tc>
        <w:tc>
          <w:tcPr>
            <w:tcW w:w="120" w:type="dxa"/>
            <w:vAlign w:val="bottom"/>
          </w:tcPr>
          <w:p>
            <w:pPr>
              <w:spacing w:after="0"/>
              <w:rPr>
                <w:sz w:val="24"/>
                <w:szCs w:val="24"/>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93,746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150,793</w:t>
            </w:r>
          </w:p>
        </w:tc>
        <w:tc>
          <w:tcPr>
            <w:tcW w:w="12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35,800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79,100</w:t>
            </w:r>
          </w:p>
        </w:tc>
        <w:tc>
          <w:tcPr>
            <w:tcW w:w="12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25,901</w:t>
            </w:r>
          </w:p>
        </w:tc>
        <w:tc>
          <w:tcPr>
            <w:tcW w:w="12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44,412</w:t>
            </w:r>
          </w:p>
        </w:tc>
        <w:tc>
          <w:tcPr>
            <w:tcW w:w="120" w:type="dxa"/>
            <w:vAlign w:val="bottom"/>
          </w:tcPr>
          <w:p>
            <w:pPr>
              <w:spacing w:after="0"/>
              <w:rPr>
                <w:sz w:val="17"/>
                <w:szCs w:val="17"/>
                <w:color w:val="auto"/>
              </w:rPr>
            </w:pPr>
          </w:p>
        </w:tc>
      </w:tr>
      <w:tr>
        <w:trPr>
          <w:trHeight w:val="208"/>
        </w:trPr>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123,829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165,639</w:t>
            </w:r>
          </w:p>
        </w:tc>
        <w:tc>
          <w:tcPr>
            <w:tcW w:w="12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444,159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506,334</w:t>
            </w:r>
          </w:p>
        </w:tc>
        <w:tc>
          <w:tcPr>
            <w:tcW w:w="120" w:type="dxa"/>
            <w:vAlign w:val="bottom"/>
          </w:tcPr>
          <w:p>
            <w:pPr>
              <w:spacing w:after="0"/>
              <w:rPr>
                <w:sz w:val="17"/>
                <w:szCs w:val="17"/>
                <w:color w:val="auto"/>
              </w:rPr>
            </w:pPr>
          </w:p>
        </w:tc>
      </w:tr>
      <w:tr>
        <w:trPr>
          <w:trHeight w:val="379"/>
        </w:trPr>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24"/>
                <w:szCs w:val="24"/>
                <w:color w:val="auto"/>
              </w:rPr>
            </w:pPr>
          </w:p>
        </w:tc>
      </w:tr>
      <w:tr>
        <w:trPr>
          <w:trHeight w:val="209"/>
        </w:trPr>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454,478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463,333</w:t>
            </w:r>
          </w:p>
        </w:tc>
        <w:tc>
          <w:tcPr>
            <w:tcW w:w="12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464,573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473,428</w:t>
            </w:r>
          </w:p>
        </w:tc>
        <w:tc>
          <w:tcPr>
            <w:tcW w:w="120" w:type="dxa"/>
            <w:vAlign w:val="bottom"/>
          </w:tcPr>
          <w:p>
            <w:pPr>
              <w:spacing w:after="0"/>
              <w:rPr>
                <w:sz w:val="17"/>
                <w:szCs w:val="17"/>
                <w:color w:val="auto"/>
              </w:rPr>
            </w:pPr>
          </w:p>
        </w:tc>
      </w:tr>
      <w:tr>
        <w:trPr>
          <w:trHeight w:val="196"/>
        </w:trPr>
        <w:tc>
          <w:tcPr>
            <w:tcW w:w="4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6,975,743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6,798,746</w:t>
            </w:r>
          </w:p>
        </w:tc>
        <w:tc>
          <w:tcPr>
            <w:tcW w:w="120" w:type="dxa"/>
            <w:vAlign w:val="bottom"/>
          </w:tcPr>
          <w:p>
            <w:pPr>
              <w:spacing w:after="0"/>
              <w:rPr>
                <w:sz w:val="17"/>
                <w:szCs w:val="17"/>
                <w:color w:val="auto"/>
              </w:rPr>
            </w:pPr>
          </w:p>
        </w:tc>
      </w:tr>
      <w:tr>
        <w:trPr>
          <w:trHeight w:val="27"/>
        </w:trPr>
        <w:tc>
          <w:tcPr>
            <w:tcW w:w="43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62"/>
        </w:trPr>
        <w:tc>
          <w:tcPr>
            <w:tcW w:w="4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24"/>
                <w:szCs w:val="24"/>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1,329,843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1,229,083</w:t>
            </w:r>
          </w:p>
        </w:tc>
        <w:tc>
          <w:tcPr>
            <w:tcW w:w="12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(51,825)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26"/>
              <w:spacing w:after="0"/>
              <w:rPr>
                <w:sz w:val="20"/>
                <w:szCs w:val="20"/>
                <w:color w:val="auto"/>
              </w:rPr>
            </w:pPr>
            <w:r>
              <w:rPr>
                <w:rFonts w:ascii="Arial" w:cs="Arial" w:eastAsia="Arial" w:hAnsi="Arial"/>
                <w:sz w:val="14"/>
                <w:szCs w:val="14"/>
                <w:color w:val="auto"/>
              </w:rPr>
              <w:t>(55,151)</w:t>
            </w:r>
          </w:p>
        </w:tc>
        <w:tc>
          <w:tcPr>
            <w:tcW w:w="120" w:type="dxa"/>
            <w:vAlign w:val="bottom"/>
          </w:tcPr>
          <w:p>
            <w:pPr>
              <w:spacing w:after="0"/>
              <w:rPr>
                <w:sz w:val="17"/>
                <w:szCs w:val="17"/>
                <w:color w:val="auto"/>
              </w:rPr>
            </w:pPr>
          </w:p>
        </w:tc>
      </w:tr>
      <w:tr>
        <w:trPr>
          <w:trHeight w:val="203"/>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824,847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66"/>
              <w:spacing w:after="0"/>
              <w:rPr>
                <w:sz w:val="20"/>
                <w:szCs w:val="20"/>
                <w:color w:val="auto"/>
              </w:rPr>
            </w:pPr>
            <w:r>
              <w:rPr>
                <w:rFonts w:ascii="Arial" w:cs="Arial" w:eastAsia="Arial" w:hAnsi="Arial"/>
                <w:sz w:val="14"/>
                <w:szCs w:val="14"/>
                <w:color w:val="auto"/>
              </w:rPr>
              <w:t>782,108</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-3394710</wp:posOffset>
            </wp:positionV>
            <wp:extent cx="690943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-3137535</wp:posOffset>
            </wp:positionV>
            <wp:extent cx="69094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-2880360</wp:posOffset>
            </wp:positionV>
            <wp:extent cx="69094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-2614930</wp:posOffset>
            </wp:positionV>
            <wp:extent cx="69094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-2348865</wp:posOffset>
            </wp:positionV>
            <wp:extent cx="690943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-2091690</wp:posOffset>
            </wp:positionV>
            <wp:extent cx="690943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-1834515</wp:posOffset>
            </wp:positionV>
            <wp:extent cx="690943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-1577340</wp:posOffset>
            </wp:positionV>
            <wp:extent cx="69094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-1311910</wp:posOffset>
            </wp:positionV>
            <wp:extent cx="690943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-1054735</wp:posOffset>
            </wp:positionV>
            <wp:extent cx="690943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3716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-763270</wp:posOffset>
            </wp:positionV>
            <wp:extent cx="690943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-506095</wp:posOffset>
            </wp:positionV>
            <wp:extent cx="690943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-248920</wp:posOffset>
            </wp:positionV>
            <wp:extent cx="69094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943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360"/>
            <w:col w:w="7800"/>
          </w:cols>
          <w:pgMar w:left="380" w:top="179" w:right="399" w:bottom="1440" w:gutter="0" w:footer="0" w:header="0"/>
        </w:sectPr>
      </w:pPr>
    </w:p>
    <w:tbl>
      <w:tblPr>
        <w:tblLayout w:type="fixed"/>
        <w:tblInd w:w="120" w:type="dxa"/>
        <w:tblCellMar>
          <w:top w:w="0" w:type="dxa"/>
          <w:left w:w="0" w:type="dxa"/>
          <w:bottom w:w="0" w:type="dxa"/>
          <w:right w:w="0" w:type="dxa"/>
        </w:tblCellMar>
      </w:tblPr>
      <w:tr>
        <w:trPr>
          <w:trHeight w:val="189"/>
        </w:trPr>
        <w:tc>
          <w:tcPr>
            <w:tcW w:w="75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5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2,151,977</w:t>
            </w: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2,005,152</w:t>
            </w:r>
          </w:p>
        </w:tc>
      </w:tr>
      <w:tr>
        <w:trPr>
          <w:trHeight w:val="197"/>
        </w:trPr>
        <w:tc>
          <w:tcPr>
            <w:tcW w:w="75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Long-term debt, less current maturities</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2,287,418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1,991,333</w:t>
            </w:r>
          </w:p>
        </w:tc>
      </w:tr>
      <w:tr>
        <w:trPr>
          <w:trHeight w:val="202"/>
        </w:trPr>
        <w:tc>
          <w:tcPr>
            <w:tcW w:w="75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4,439,395</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3,996,485</w:t>
            </w:r>
          </w:p>
        </w:tc>
      </w:tr>
      <w:tr>
        <w:trPr>
          <w:trHeight w:val="177"/>
        </w:trPr>
        <w:tc>
          <w:tcPr>
            <w:tcW w:w="75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125,000</w:t>
            </w:r>
          </w:p>
        </w:tc>
      </w:tr>
      <w:tr>
        <w:trPr>
          <w:trHeight w:val="197"/>
        </w:trPr>
        <w:tc>
          <w:tcPr>
            <w:tcW w:w="7500" w:type="dxa"/>
            <w:vAlign w:val="bottom"/>
          </w:tcPr>
          <w:p>
            <w:pPr>
              <w:ind w:left="320"/>
              <w:spacing w:after="0"/>
              <w:rPr>
                <w:sz w:val="20"/>
                <w:szCs w:val="20"/>
                <w:color w:val="auto"/>
              </w:rPr>
            </w:pPr>
            <w:r>
              <w:rPr>
                <w:rFonts w:ascii="Arial" w:cs="Arial" w:eastAsia="Arial" w:hAnsi="Arial"/>
                <w:sz w:val="14"/>
                <w:szCs w:val="14"/>
                <w:color w:val="auto"/>
              </w:rPr>
              <w:t>Short-term debt</w:t>
            </w:r>
          </w:p>
        </w:tc>
        <w:tc>
          <w:tcPr>
            <w:tcW w:w="5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194,000</w:t>
            </w: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91,482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149,368</w:t>
            </w:r>
          </w:p>
        </w:tc>
      </w:tr>
      <w:tr>
        <w:trPr>
          <w:trHeight w:val="197"/>
        </w:trPr>
        <w:tc>
          <w:tcPr>
            <w:tcW w:w="7500" w:type="dxa"/>
            <w:vAlign w:val="bottom"/>
          </w:tcPr>
          <w:p>
            <w:pPr>
              <w:ind w:left="320"/>
              <w:spacing w:after="0"/>
              <w:rPr>
                <w:sz w:val="20"/>
                <w:szCs w:val="20"/>
                <w:color w:val="auto"/>
              </w:rPr>
            </w:pPr>
            <w:r>
              <w:rPr>
                <w:rFonts w:ascii="Arial" w:cs="Arial" w:eastAsia="Arial" w:hAnsi="Arial"/>
                <w:sz w:val="14"/>
                <w:szCs w:val="14"/>
                <w:color w:val="auto"/>
              </w:rPr>
              <w:t>Customer deposits</w:t>
            </w:r>
          </w:p>
        </w:tc>
        <w:tc>
          <w:tcPr>
            <w:tcW w:w="5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69,898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69,165</w:t>
            </w: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taxes payable</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7500" w:type="dxa"/>
            <w:vAlign w:val="bottom"/>
          </w:tcPr>
          <w:p>
            <w:pPr>
              <w:ind w:left="320"/>
              <w:spacing w:after="0"/>
              <w:rPr>
                <w:sz w:val="20"/>
                <w:szCs w:val="20"/>
                <w:color w:val="auto"/>
              </w:rPr>
            </w:pPr>
            <w:r>
              <w:rPr>
                <w:rFonts w:ascii="Arial" w:cs="Arial" w:eastAsia="Arial" w:hAnsi="Arial"/>
                <w:sz w:val="14"/>
                <w:szCs w:val="14"/>
                <w:color w:val="auto"/>
              </w:rPr>
              <w:t>Accrued general taxes</w:t>
            </w:r>
          </w:p>
        </w:tc>
        <w:tc>
          <w:tcPr>
            <w:tcW w:w="5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48,220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48,160</w:t>
            </w: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interest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21,256</w:t>
            </w:r>
          </w:p>
        </w:tc>
      </w:tr>
      <w:tr>
        <w:trPr>
          <w:trHeight w:val="197"/>
        </w:trPr>
        <w:tc>
          <w:tcPr>
            <w:tcW w:w="7500" w:type="dxa"/>
            <w:vAlign w:val="bottom"/>
          </w:tcPr>
          <w:p>
            <w:pPr>
              <w:ind w:left="320"/>
              <w:spacing w:after="0"/>
              <w:rPr>
                <w:sz w:val="20"/>
                <w:szCs w:val="20"/>
                <w:color w:val="auto"/>
              </w:rPr>
            </w:pPr>
            <w:r>
              <w:rPr>
                <w:rFonts w:ascii="Arial" w:cs="Arial" w:eastAsia="Arial" w:hAnsi="Arial"/>
                <w:sz w:val="14"/>
                <w:szCs w:val="14"/>
                <w:color w:val="auto"/>
              </w:rPr>
              <w:t>Deferred purchased gas costs</w:t>
            </w:r>
          </w:p>
        </w:tc>
        <w:tc>
          <w:tcPr>
            <w:tcW w:w="5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69,938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60,755</w:t>
            </w: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to parent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844</w:t>
            </w:r>
          </w:p>
        </w:tc>
      </w:tr>
      <w:tr>
        <w:trPr>
          <w:trHeight w:val="197"/>
        </w:trPr>
        <w:tc>
          <w:tcPr>
            <w:tcW w:w="75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current liabilities</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139,324</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126,573</w:t>
            </w:r>
          </w:p>
        </w:tc>
      </w:tr>
      <w:tr>
        <w:trPr>
          <w:trHeight w:val="202"/>
        </w:trPr>
        <w:tc>
          <w:tcPr>
            <w:tcW w:w="75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574,179</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795,121</w:t>
            </w:r>
          </w:p>
        </w:tc>
      </w:tr>
      <w:tr>
        <w:trPr>
          <w:trHeight w:val="177"/>
        </w:trPr>
        <w:tc>
          <w:tcPr>
            <w:tcW w:w="7500" w:type="dxa"/>
            <w:vAlign w:val="bottom"/>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8"/>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income taxes and investment tax credits, net</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558,285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539,050</w:t>
            </w:r>
          </w:p>
        </w:tc>
      </w:tr>
      <w:tr>
        <w:trPr>
          <w:trHeight w:val="197"/>
        </w:trPr>
        <w:tc>
          <w:tcPr>
            <w:tcW w:w="7500" w:type="dxa"/>
            <w:vAlign w:val="bottom"/>
          </w:tcPr>
          <w:p>
            <w:pPr>
              <w:ind w:left="320"/>
              <w:spacing w:after="0"/>
              <w:rPr>
                <w:sz w:val="20"/>
                <w:szCs w:val="20"/>
                <w:color w:val="auto"/>
              </w:rPr>
            </w:pPr>
            <w:r>
              <w:rPr>
                <w:rFonts w:ascii="Arial" w:cs="Arial" w:eastAsia="Arial" w:hAnsi="Arial"/>
                <w:sz w:val="14"/>
                <w:szCs w:val="14"/>
                <w:color w:val="auto"/>
              </w:rPr>
              <w:t>Accumulated removal costs</w:t>
            </w:r>
          </w:p>
        </w:tc>
        <w:tc>
          <w:tcPr>
            <w:tcW w:w="5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401,000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395,000</w:t>
            </w:r>
          </w:p>
        </w:tc>
      </w:tr>
      <w:tr>
        <w:trPr>
          <w:trHeight w:val="203"/>
        </w:trPr>
        <w:tc>
          <w:tcPr>
            <w:tcW w:w="7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deferred credits and other long-term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1,002,884</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1,073,090</w:t>
            </w:r>
          </w:p>
        </w:tc>
      </w:tr>
      <w:tr>
        <w:trPr>
          <w:trHeight w:val="196"/>
        </w:trPr>
        <w:tc>
          <w:tcPr>
            <w:tcW w:w="75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1,962,169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2,007,140</w:t>
            </w:r>
          </w:p>
        </w:tc>
      </w:tr>
      <w:tr>
        <w:trPr>
          <w:trHeight w:val="22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6,975,743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6,798,746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79" w:right="3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2020</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gridSpan w:val="10"/>
          </w:tcPr>
          <w:p>
            <w:pPr>
              <w:jc w:val="center"/>
              <w:ind w:left="79"/>
              <w:spacing w:after="0"/>
              <w:rPr>
                <w:sz w:val="20"/>
                <w:szCs w:val="20"/>
                <w:color w:val="auto"/>
              </w:rPr>
            </w:pPr>
            <w:r>
              <w:rPr>
                <w:rFonts w:ascii="Arial" w:cs="Arial" w:eastAsia="Arial" w:hAnsi="Arial"/>
                <w:sz w:val="18"/>
                <w:szCs w:val="18"/>
                <w:color w:val="auto"/>
                <w:w w:val="95"/>
              </w:rPr>
              <w:t>SOUTHWEST GAS CORPORATION AND SUBSIDIARIES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60" w:type="dxa"/>
            <w:vAlign w:val="bottom"/>
            <w:gridSpan w:val="10"/>
          </w:tcPr>
          <w:p>
            <w:pPr>
              <w:jc w:val="center"/>
              <w:ind w:left="59"/>
              <w:spacing w:after="0"/>
              <w:rPr>
                <w:sz w:val="20"/>
                <w:szCs w:val="20"/>
                <w:color w:val="auto"/>
              </w:rPr>
            </w:pPr>
            <w:r>
              <w:rPr>
                <w:rFonts w:ascii="Arial" w:cs="Arial" w:eastAsia="Arial" w:hAnsi="Arial"/>
                <w:sz w:val="18"/>
                <w:szCs w:val="18"/>
                <w:color w:val="auto"/>
                <w:w w:val="95"/>
              </w:rPr>
              <w:t>CONDENSED CONSOLIDATED STATEMENTS OF INCOME</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left="326"/>
              <w:spacing w:after="0"/>
              <w:rPr>
                <w:sz w:val="20"/>
                <w:szCs w:val="20"/>
                <w:color w:val="auto"/>
              </w:rPr>
            </w:pPr>
            <w:r>
              <w:rPr>
                <w:rFonts w:ascii="Arial" w:cs="Arial" w:eastAsia="Arial" w:hAnsi="Arial"/>
                <w:sz w:val="18"/>
                <w:szCs w:val="18"/>
                <w:color w:val="auto"/>
                <w:w w:val="93"/>
              </w:rPr>
              <w:t>(Unaudited)</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202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180" w:type="dxa"/>
            <w:vAlign w:val="bottom"/>
          </w:tcPr>
          <w:p>
            <w:pPr>
              <w:spacing w:after="0"/>
              <w:rPr>
                <w:sz w:val="24"/>
                <w:szCs w:val="24"/>
                <w:color w:val="auto"/>
              </w:rPr>
            </w:pPr>
          </w:p>
        </w:tc>
        <w:tc>
          <w:tcPr>
            <w:tcW w:w="1960" w:type="dxa"/>
            <w:vAlign w:val="bottom"/>
            <w:gridSpan w:val="4"/>
          </w:tcPr>
          <w:p>
            <w:pPr>
              <w:jc w:val="right"/>
              <w:ind w:right="34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4"/>
                <w:szCs w:val="14"/>
                <w:color w:val="auto"/>
              </w:rPr>
              <w:t>June 30,</w:t>
            </w:r>
          </w:p>
        </w:tc>
      </w:tr>
      <w:tr>
        <w:trPr>
          <w:trHeight w:val="196"/>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4"/>
                <w:szCs w:val="14"/>
                <w:color w:val="auto"/>
              </w:rPr>
              <w:t>2019</w:t>
            </w:r>
          </w:p>
        </w:tc>
      </w:tr>
      <w:tr>
        <w:trPr>
          <w:trHeight w:val="19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Gas operating revenues</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6"/>
              <w:spacing w:after="0"/>
              <w:rPr>
                <w:sz w:val="20"/>
                <w:szCs w:val="20"/>
                <w:color w:val="auto"/>
              </w:rPr>
            </w:pPr>
            <w:r>
              <w:rPr>
                <w:rFonts w:ascii="Arial" w:cs="Arial" w:eastAsia="Arial" w:hAnsi="Arial"/>
                <w:sz w:val="14"/>
                <w:szCs w:val="14"/>
                <w:color w:val="auto"/>
              </w:rPr>
              <w:t>262,434</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258,711</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765,261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779,388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1,354,812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1,367,124</w:t>
            </w:r>
          </w:p>
        </w:tc>
      </w:tr>
      <w:tr>
        <w:trPr>
          <w:trHeight w:val="189"/>
        </w:trPr>
        <w:tc>
          <w:tcPr>
            <w:tcW w:w="31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3060" w:type="dxa"/>
            <w:vAlign w:val="bottom"/>
            <w:gridSpan w:val="3"/>
          </w:tcPr>
          <w:p>
            <w:pPr>
              <w:ind w:left="280"/>
              <w:spacing w:after="0"/>
              <w:rPr>
                <w:sz w:val="20"/>
                <w:szCs w:val="20"/>
                <w:color w:val="auto"/>
              </w:rPr>
            </w:pPr>
            <w:r>
              <w:rPr>
                <w:rFonts w:ascii="Arial" w:cs="Arial" w:eastAsia="Arial" w:hAnsi="Arial"/>
                <w:sz w:val="14"/>
                <w:szCs w:val="14"/>
                <w:color w:val="auto"/>
              </w:rPr>
              <w:t>Net cost of gas sold</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4"/>
                <w:szCs w:val="14"/>
                <w:color w:val="auto"/>
              </w:rPr>
              <w:t>67,473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65,182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228,294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257,786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355,672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407,976</w:t>
            </w:r>
          </w:p>
        </w:tc>
      </w:tr>
      <w:tr>
        <w:trPr>
          <w:trHeight w:val="209"/>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Operations and maintenance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99,320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8"/>
              </w:rPr>
              <w:t>104,991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202,408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210,533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407,948</w:t>
            </w:r>
          </w:p>
        </w:tc>
      </w:tr>
      <w:tr>
        <w:trPr>
          <w:trHeight w:val="196"/>
        </w:trPr>
        <w:tc>
          <w:tcPr>
            <w:tcW w:w="60" w:type="dxa"/>
            <w:vAlign w:val="bottom"/>
          </w:tcPr>
          <w:p>
            <w:pPr>
              <w:spacing w:after="0"/>
              <w:rPr>
                <w:sz w:val="17"/>
                <w:szCs w:val="17"/>
                <w:color w:val="auto"/>
              </w:rPr>
            </w:pPr>
          </w:p>
        </w:tc>
        <w:tc>
          <w:tcPr>
            <w:tcW w:w="3060" w:type="dxa"/>
            <w:vAlign w:val="bottom"/>
            <w:gridSpan w:val="3"/>
          </w:tcPr>
          <w:p>
            <w:pPr>
              <w:ind w:left="280"/>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4"/>
                <w:szCs w:val="14"/>
                <w:color w:val="auto"/>
              </w:rPr>
              <w:t>53,198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49,343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117,923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106,955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226,588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201,146</w:t>
            </w:r>
          </w:p>
        </w:tc>
      </w:tr>
      <w:tr>
        <w:trPr>
          <w:trHeight w:val="203"/>
        </w:trPr>
        <w:tc>
          <w:tcPr>
            <w:tcW w:w="6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Taxes other than income taxes</w:t>
            </w:r>
          </w:p>
        </w:tc>
        <w:tc>
          <w:tcPr>
            <w:tcW w:w="1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15,342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15,126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31,332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62,716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61,307</w:t>
            </w:r>
          </w:p>
        </w:tc>
      </w:tr>
      <w:tr>
        <w:trPr>
          <w:trHeight w:val="196"/>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Total operating expenses</w:t>
            </w:r>
          </w:p>
        </w:tc>
        <w:tc>
          <w:tcPr>
            <w:tcW w:w="1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235,333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234,642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580,345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606,606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1,059,025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1,078,377</w:t>
            </w:r>
          </w:p>
        </w:tc>
      </w:tr>
      <w:tr>
        <w:trPr>
          <w:trHeight w:val="20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27,101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24,069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184,916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172,782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295,787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288,747</w:t>
            </w:r>
          </w:p>
        </w:tc>
      </w:tr>
      <w:tr>
        <w:trPr>
          <w:trHeight w:val="177"/>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8"/>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interest deductions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(23,991)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(88,780)</w:t>
            </w:r>
          </w:p>
        </w:tc>
      </w:tr>
      <w:tr>
        <w:trPr>
          <w:trHeight w:val="19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 income (deductions)</w:t>
            </w:r>
          </w:p>
        </w:tc>
        <w:tc>
          <w:tcPr>
            <w:tcW w:w="1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7,838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(3,005)</w:t>
            </w:r>
          </w:p>
        </w:tc>
      </w:tr>
      <w:tr>
        <w:trPr>
          <w:trHeight w:val="196"/>
        </w:trPr>
        <w:tc>
          <w:tcPr>
            <w:tcW w:w="60" w:type="dxa"/>
            <w:vAlign w:val="bottom"/>
            <w:shd w:val="clear" w:color="auto" w:fill="CCEEFF"/>
          </w:tcPr>
          <w:p>
            <w:pPr>
              <w:spacing w:after="0"/>
              <w:rPr>
                <w:sz w:val="17"/>
                <w:szCs w:val="17"/>
                <w:color w:val="auto"/>
              </w:rPr>
            </w:pPr>
          </w:p>
        </w:tc>
        <w:tc>
          <w:tcPr>
            <w:tcW w:w="306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Total other income and (expenses)</w:t>
            </w:r>
          </w:p>
        </w:tc>
        <w:tc>
          <w:tcPr>
            <w:tcW w:w="1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(16,153)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(21,753)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(61,747)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(38,906)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(108,350)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(91,785)</w:t>
            </w:r>
          </w:p>
        </w:tc>
      </w:tr>
      <w:tr>
        <w:trPr>
          <w:trHeight w:val="19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before income taxes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4"/>
                <w:szCs w:val="14"/>
                <w:color w:val="auto"/>
              </w:rPr>
              <w:t>10,948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2,316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123,169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133,876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187,437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196,962</w:t>
            </w:r>
          </w:p>
        </w:tc>
      </w:tr>
      <w:tr>
        <w:trPr>
          <w:trHeight w:val="203"/>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27,628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27,118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35,483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44,333</w:t>
            </w:r>
          </w:p>
        </w:tc>
      </w:tr>
      <w:tr>
        <w:trPr>
          <w:trHeight w:val="202"/>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6"/>
              <w:spacing w:after="0"/>
              <w:rPr>
                <w:sz w:val="20"/>
                <w:szCs w:val="20"/>
                <w:color w:val="auto"/>
              </w:rPr>
            </w:pPr>
            <w:r>
              <w:rPr>
                <w:rFonts w:ascii="Arial" w:cs="Arial" w:eastAsia="Arial" w:hAnsi="Arial"/>
                <w:sz w:val="14"/>
                <w:szCs w:val="14"/>
                <w:color w:val="auto"/>
              </w:rPr>
              <w:t>11,942</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95,541</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106,758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151,954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7"/>
              <w:spacing w:after="0"/>
              <w:rPr>
                <w:sz w:val="20"/>
                <w:szCs w:val="20"/>
                <w:color w:val="auto"/>
              </w:rPr>
            </w:pPr>
            <w:r>
              <w:rPr>
                <w:rFonts w:ascii="Arial" w:cs="Arial" w:eastAsia="Arial" w:hAnsi="Arial"/>
                <w:sz w:val="14"/>
                <w:szCs w:val="14"/>
                <w:color w:val="auto"/>
              </w:rPr>
              <w:t>152,629</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w w:val="89"/>
              </w:rPr>
              <w:t>June 30, 2020</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gridSpan w:val="10"/>
          </w:tcPr>
          <w:p>
            <w:pPr>
              <w:jc w:val="center"/>
              <w:ind w:right="180"/>
              <w:spacing w:after="0"/>
              <w:rPr>
                <w:sz w:val="20"/>
                <w:szCs w:val="20"/>
                <w:color w:val="auto"/>
              </w:rPr>
            </w:pPr>
            <w:r>
              <w:rPr>
                <w:rFonts w:ascii="Arial" w:cs="Arial" w:eastAsia="Arial" w:hAnsi="Arial"/>
                <w:sz w:val="18"/>
                <w:szCs w:val="18"/>
                <w:color w:val="auto"/>
                <w:w w:val="95"/>
              </w:rPr>
              <w:t>SOUTHWEST GAS CORPORATION AND SUBSIDIARIES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240" w:type="dxa"/>
            <w:vAlign w:val="bottom"/>
            <w:gridSpan w:val="16"/>
          </w:tcPr>
          <w:p>
            <w:pPr>
              <w:jc w:val="center"/>
              <w:ind w:left="180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5"/>
          </w:tcPr>
          <w:p>
            <w:pPr>
              <w:jc w:val="center"/>
              <w:ind w:left="1497"/>
              <w:spacing w:after="0"/>
              <w:rPr>
                <w:sz w:val="20"/>
                <w:szCs w:val="20"/>
                <w:color w:val="auto"/>
              </w:rPr>
            </w:pPr>
            <w:r>
              <w:rPr>
                <w:rFonts w:ascii="Arial" w:cs="Arial" w:eastAsia="Arial" w:hAnsi="Arial"/>
                <w:sz w:val="18"/>
                <w:szCs w:val="18"/>
                <w:color w:val="auto"/>
                <w:w w:val="91"/>
              </w:rPr>
              <w:t>(Thousands of dollars)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4"/>
          </w:tcPr>
          <w:p>
            <w:pPr>
              <w:jc w:val="center"/>
              <w:ind w:left="1757"/>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color w:val="auto"/>
                <w:w w:val="95"/>
              </w:rPr>
              <w:t>Six Months Ended</w:t>
            </w:r>
          </w:p>
        </w:tc>
        <w:tc>
          <w:tcPr>
            <w:tcW w:w="200" w:type="dxa"/>
            <w:vAlign w:val="bottom"/>
          </w:tcPr>
          <w:p>
            <w:pPr>
              <w:spacing w:after="0"/>
              <w:rPr>
                <w:sz w:val="24"/>
                <w:szCs w:val="24"/>
                <w:color w:val="auto"/>
              </w:rPr>
            </w:pPr>
          </w:p>
        </w:tc>
        <w:tc>
          <w:tcPr>
            <w:tcW w:w="1740" w:type="dxa"/>
            <w:vAlign w:val="bottom"/>
            <w:gridSpan w:val="5"/>
          </w:tcPr>
          <w:p>
            <w:pPr>
              <w:jc w:val="right"/>
              <w:ind w:right="248"/>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407"/>
              <w:spacing w:after="0"/>
              <w:rPr>
                <w:sz w:val="20"/>
                <w:szCs w:val="20"/>
                <w:color w:val="auto"/>
              </w:rPr>
            </w:pPr>
            <w:r>
              <w:rPr>
                <w:rFonts w:ascii="Arial" w:cs="Arial" w:eastAsia="Arial" w:hAnsi="Arial"/>
                <w:sz w:val="14"/>
                <w:szCs w:val="14"/>
                <w:color w:val="auto"/>
                <w:w w:val="89"/>
              </w:rPr>
              <w:t>June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680" w:type="dxa"/>
            <w:vAlign w:val="bottom"/>
            <w:tcBorders>
              <w:bottom w:val="single" w:sz="8" w:color="auto"/>
            </w:tcBorders>
          </w:tcPr>
          <w:p>
            <w:pPr>
              <w:spacing w:after="0"/>
              <w:rPr>
                <w:sz w:val="16"/>
                <w:szCs w:val="16"/>
                <w:color w:val="auto"/>
              </w:rPr>
            </w:pPr>
          </w:p>
        </w:tc>
      </w:tr>
      <w:tr>
        <w:trPr>
          <w:trHeight w:val="196"/>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ind w:right="128"/>
              <w:spacing w:after="0"/>
              <w:rPr>
                <w:sz w:val="20"/>
                <w:szCs w:val="20"/>
                <w:color w:val="auto"/>
              </w:rPr>
            </w:pPr>
            <w:r>
              <w:rPr>
                <w:rFonts w:ascii="Arial" w:cs="Arial" w:eastAsia="Arial" w:hAnsi="Arial"/>
                <w:sz w:val="14"/>
                <w:szCs w:val="14"/>
                <w:color w:val="auto"/>
                <w:w w:val="96"/>
              </w:rPr>
              <w:t>2020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r>
      <w:tr>
        <w:trPr>
          <w:trHeight w:val="196"/>
        </w:trPr>
        <w:tc>
          <w:tcPr>
            <w:tcW w:w="318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2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11,942</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3,369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95,541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7"/>
              <w:spacing w:after="0"/>
              <w:rPr>
                <w:sz w:val="20"/>
                <w:szCs w:val="20"/>
                <w:color w:val="auto"/>
              </w:rPr>
            </w:pPr>
            <w:r>
              <w:rPr>
                <w:rFonts w:ascii="Arial" w:cs="Arial" w:eastAsia="Arial" w:hAnsi="Arial"/>
                <w:sz w:val="14"/>
                <w:szCs w:val="14"/>
                <w:color w:val="auto"/>
                <w:w w:val="98"/>
              </w:rPr>
              <w:t>106,758</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151,954</w:t>
            </w:r>
          </w:p>
        </w:tc>
        <w:tc>
          <w:tcPr>
            <w:tcW w:w="42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152,629</w:t>
            </w:r>
          </w:p>
        </w:tc>
      </w:tr>
      <w:tr>
        <w:trPr>
          <w:trHeight w:val="188"/>
        </w:trPr>
        <w:tc>
          <w:tcPr>
            <w:tcW w:w="31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0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3120" w:type="dxa"/>
            <w:vAlign w:val="bottom"/>
            <w:gridSpan w:val="3"/>
          </w:tcPr>
          <w:p>
            <w:pPr>
              <w:ind w:left="60"/>
              <w:spacing w:after="0"/>
              <w:rPr>
                <w:sz w:val="20"/>
                <w:szCs w:val="20"/>
                <w:color w:val="auto"/>
              </w:rPr>
            </w:pPr>
            <w:r>
              <w:rPr>
                <w:rFonts w:ascii="Arial" w:cs="Arial" w:eastAsia="Arial" w:hAnsi="Arial"/>
                <w:sz w:val="14"/>
                <w:szCs w:val="14"/>
                <w:color w:val="auto"/>
              </w:rPr>
              <w:t>Defined benefit pension plans: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8"/>
        </w:trPr>
        <w:tc>
          <w:tcPr>
            <w:tcW w:w="6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(15,524)</w:t>
            </w:r>
          </w:p>
        </w:tc>
      </w:tr>
      <w:tr>
        <w:trPr>
          <w:trHeight w:val="197"/>
        </w:trPr>
        <w:tc>
          <w:tcPr>
            <w:tcW w:w="60" w:type="dxa"/>
            <w:vAlign w:val="bottom"/>
          </w:tcPr>
          <w:p>
            <w:pPr>
              <w:spacing w:after="0"/>
              <w:rPr>
                <w:sz w:val="17"/>
                <w:szCs w:val="17"/>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67"/>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990</w:t>
            </w:r>
          </w:p>
        </w:tc>
      </w:tr>
      <w:tr>
        <w:trPr>
          <w:trHeight w:val="276"/>
        </w:trPr>
        <w:tc>
          <w:tcPr>
            <w:tcW w:w="60" w:type="dxa"/>
            <w:vAlign w:val="bottom"/>
            <w:shd w:val="clear" w:color="auto" w:fill="CCEEFF"/>
          </w:tcPr>
          <w:p>
            <w:pPr>
              <w:spacing w:after="0"/>
              <w:rPr>
                <w:sz w:val="24"/>
                <w:szCs w:val="24"/>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Prior service cost</w:t>
            </w:r>
          </w:p>
        </w:tc>
        <w:tc>
          <w:tcPr>
            <w:tcW w:w="2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60" w:type="dxa"/>
            <w:vAlign w:val="bottom"/>
          </w:tcPr>
          <w:p>
            <w:pPr>
              <w:spacing w:after="0"/>
              <w:rPr>
                <w:sz w:val="17"/>
                <w:szCs w:val="17"/>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net actuarial loss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7,187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7"/>
              <w:spacing w:after="0"/>
              <w:rPr>
                <w:sz w:val="20"/>
                <w:szCs w:val="20"/>
                <w:color w:val="auto"/>
              </w:rPr>
            </w:pPr>
            <w:r>
              <w:rPr>
                <w:rFonts w:ascii="Arial" w:cs="Arial" w:eastAsia="Arial" w:hAnsi="Arial"/>
                <w:sz w:val="14"/>
                <w:szCs w:val="14"/>
                <w:color w:val="auto"/>
              </w:rPr>
              <w:t>14,375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67"/>
              <w:spacing w:after="0"/>
              <w:rPr>
                <w:sz w:val="20"/>
                <w:szCs w:val="20"/>
                <w:color w:val="auto"/>
              </w:rPr>
            </w:pPr>
            <w:r>
              <w:rPr>
                <w:rFonts w:ascii="Arial" w:cs="Arial" w:eastAsia="Arial" w:hAnsi="Arial"/>
                <w:sz w:val="14"/>
                <w:szCs w:val="14"/>
                <w:color w:val="auto"/>
              </w:rPr>
              <w:t>8,883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21,658</w:t>
            </w:r>
          </w:p>
        </w:tc>
      </w:tr>
      <w:tr>
        <w:trPr>
          <w:trHeight w:val="203"/>
        </w:trPr>
        <w:tc>
          <w:tcPr>
            <w:tcW w:w="6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2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(12,760)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(8,128)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23,445</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(2,895)</w:t>
            </w:r>
          </w:p>
        </w:tc>
      </w:tr>
      <w:tr>
        <w:trPr>
          <w:trHeight w:val="196"/>
        </w:trPr>
        <w:tc>
          <w:tcPr>
            <w:tcW w:w="6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Net defined benefit pension plans</w:t>
            </w:r>
          </w:p>
        </w:tc>
        <w:tc>
          <w:tcPr>
            <w:tcW w:w="2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2,055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4,229</w:t>
            </w:r>
          </w:p>
        </w:tc>
      </w:tr>
      <w:tr>
        <w:trPr>
          <w:trHeight w:val="188"/>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Forward-starting interest rate swaps (“FSIRS”):</w:t>
            </w: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2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2,541</w:t>
            </w:r>
          </w:p>
        </w:tc>
      </w:tr>
      <w:tr>
        <w:trPr>
          <w:trHeight w:val="196"/>
        </w:trPr>
        <w:tc>
          <w:tcPr>
            <w:tcW w:w="60" w:type="dxa"/>
            <w:vAlign w:val="bottom"/>
            <w:shd w:val="clear" w:color="auto" w:fill="CCEEFF"/>
          </w:tcPr>
          <w:p>
            <w:pPr>
              <w:spacing w:after="0"/>
              <w:rPr>
                <w:sz w:val="17"/>
                <w:szCs w:val="17"/>
                <w:color w:val="auto"/>
              </w:rPr>
            </w:pPr>
          </w:p>
        </w:tc>
        <w:tc>
          <w:tcPr>
            <w:tcW w:w="31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forward-starting interest rate swaps</w:t>
            </w:r>
          </w:p>
        </w:tc>
        <w:tc>
          <w:tcPr>
            <w:tcW w:w="2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2,541</w:t>
            </w:r>
          </w:p>
        </w:tc>
      </w:tr>
      <w:tr>
        <w:trPr>
          <w:trHeight w:val="196"/>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2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3,326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2,509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6,770</w:t>
            </w:r>
          </w:p>
        </w:tc>
      </w:tr>
      <w:tr>
        <w:trPr>
          <w:trHeight w:val="22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98,867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w w:val="98"/>
              </w:rPr>
              <w:t>109,267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146,669</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159,399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2"/>
              </w:rPr>
              <w:t>June 30, 2020</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SOUTHWEST GAS CORPORATION AND SUBSIDIARIES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6"/>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2"/>
          </w:tcPr>
          <w:p>
            <w:pPr>
              <w:jc w:val="center"/>
              <w:ind w:left="680"/>
              <w:spacing w:after="0"/>
              <w:rPr>
                <w:sz w:val="20"/>
                <w:szCs w:val="20"/>
                <w:color w:val="auto"/>
              </w:rPr>
            </w:pPr>
            <w:r>
              <w:rPr>
                <w:rFonts w:ascii="Arial" w:cs="Arial" w:eastAsia="Arial" w:hAnsi="Arial"/>
                <w:sz w:val="18"/>
                <w:szCs w:val="18"/>
                <w:color w:val="auto"/>
                <w:w w:val="91"/>
              </w:rPr>
              <w:t>(Thousands of dollars)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gridSpan w:val="2"/>
          </w:tcPr>
          <w:p>
            <w:pPr>
              <w:jc w:val="center"/>
              <w:ind w:left="680"/>
              <w:spacing w:after="0"/>
              <w:rPr>
                <w:sz w:val="20"/>
                <w:szCs w:val="20"/>
                <w:color w:val="auto"/>
              </w:rPr>
            </w:pPr>
            <w:r>
              <w:rPr>
                <w:rFonts w:ascii="Arial" w:cs="Arial" w:eastAsia="Arial" w:hAnsi="Arial"/>
                <w:sz w:val="18"/>
                <w:szCs w:val="18"/>
                <w:color w:val="auto"/>
                <w:w w:val="93"/>
              </w:rPr>
              <w:t>(Unaudited)</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24"/>
                <w:szCs w:val="24"/>
                <w:color w:val="auto"/>
              </w:rPr>
            </w:pPr>
          </w:p>
        </w:tc>
        <w:tc>
          <w:tcPr>
            <w:tcW w:w="188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color w:val="auto"/>
              </w:rPr>
              <w:t>June 30,</w:t>
            </w:r>
          </w:p>
        </w:tc>
      </w:tr>
      <w:tr>
        <w:trPr>
          <w:trHeight w:val="202"/>
        </w:trPr>
        <w:tc>
          <w:tcPr>
            <w:tcW w:w="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2019</w:t>
            </w:r>
          </w:p>
        </w:tc>
      </w:tr>
      <w:tr>
        <w:trPr>
          <w:trHeight w:val="177"/>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95,541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106,758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151,954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152,629</w:t>
            </w:r>
          </w:p>
        </w:tc>
      </w:tr>
      <w:tr>
        <w:trPr>
          <w:trHeight w:val="197"/>
        </w:trPr>
        <w:tc>
          <w:tcPr>
            <w:tcW w:w="60" w:type="dxa"/>
            <w:vAlign w:val="bottom"/>
          </w:tcPr>
          <w:p>
            <w:pPr>
              <w:spacing w:after="0"/>
              <w:rPr>
                <w:sz w:val="17"/>
                <w:szCs w:val="17"/>
                <w:color w:val="auto"/>
              </w:rPr>
            </w:pPr>
          </w:p>
        </w:tc>
        <w:tc>
          <w:tcPr>
            <w:tcW w:w="7060" w:type="dxa"/>
            <w:vAlign w:val="bottom"/>
            <w:gridSpan w:val="5"/>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117,923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106,955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226,588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201,146</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Deferred income taxes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18,186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28,183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23,684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43,811</w:t>
            </w:r>
          </w:p>
        </w:tc>
      </w:tr>
      <w:tr>
        <w:trPr>
          <w:trHeight w:val="195"/>
        </w:trPr>
        <w:tc>
          <w:tcPr>
            <w:tcW w:w="6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current assets and liabilities:</w:t>
            </w: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Accounts receivable, net of allowance</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57,047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46,626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(9,787)</w:t>
            </w:r>
          </w:p>
        </w:tc>
      </w:tr>
      <w:tr>
        <w:trPr>
          <w:trHeight w:val="209"/>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Accrued utility revenue</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(700)</w:t>
            </w:r>
          </w:p>
        </w:tc>
      </w:tr>
      <w:tr>
        <w:trPr>
          <w:trHeight w:val="196"/>
        </w:trPr>
        <w:tc>
          <w:tcPr>
            <w:tcW w:w="60" w:type="dxa"/>
            <w:vAlign w:val="bottom"/>
          </w:tcPr>
          <w:p>
            <w:pPr>
              <w:spacing w:after="0"/>
              <w:rPr>
                <w:sz w:val="17"/>
                <w:szCs w:val="17"/>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Deferred purchased gas costs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53,595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38,445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5,128</w:t>
            </w:r>
          </w:p>
        </w:tc>
      </w:tr>
      <w:tr>
        <w:trPr>
          <w:trHeight w:val="209"/>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Accounts payable</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716</w:t>
            </w:r>
          </w:p>
        </w:tc>
      </w:tr>
      <w:tr>
        <w:trPr>
          <w:trHeight w:val="196"/>
        </w:trPr>
        <w:tc>
          <w:tcPr>
            <w:tcW w:w="60" w:type="dxa"/>
            <w:vAlign w:val="bottom"/>
          </w:tcPr>
          <w:p>
            <w:pPr>
              <w:spacing w:after="0"/>
              <w:rPr>
                <w:sz w:val="17"/>
                <w:szCs w:val="17"/>
                <w:color w:val="auto"/>
              </w:rPr>
            </w:pPr>
          </w:p>
        </w:tc>
        <w:tc>
          <w:tcPr>
            <w:tcW w:w="3300" w:type="dxa"/>
            <w:vAlign w:val="bottom"/>
            <w:gridSpan w:val="3"/>
          </w:tcPr>
          <w:p>
            <w:pPr>
              <w:ind w:left="620"/>
              <w:spacing w:after="0"/>
              <w:rPr>
                <w:sz w:val="20"/>
                <w:szCs w:val="20"/>
                <w:color w:val="auto"/>
              </w:rPr>
            </w:pPr>
            <w:r>
              <w:rPr>
                <w:rFonts w:ascii="Arial" w:cs="Arial" w:eastAsia="Arial" w:hAnsi="Arial"/>
                <w:sz w:val="14"/>
                <w:szCs w:val="14"/>
                <w:color w:val="auto"/>
              </w:rPr>
              <w:t>Accrued taxes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17,746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26,693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(6,008)</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Other current assets and liabilities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71,512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74,589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86,094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7,511</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undistributed stock compensation</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3,760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5,895</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Equity AFUDC</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(5,008)</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300"/>
              <w:spacing w:after="0"/>
              <w:rPr>
                <w:sz w:val="20"/>
                <w:szCs w:val="20"/>
                <w:color w:val="auto"/>
              </w:rPr>
            </w:pPr>
            <w:r>
              <w:rPr>
                <w:rFonts w:ascii="Arial" w:cs="Arial" w:eastAsia="Arial" w:hAnsi="Arial"/>
                <w:sz w:val="14"/>
                <w:szCs w:val="14"/>
                <w:color w:val="auto"/>
              </w:rPr>
              <w:t>Changes in deferred charges and other assets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(13,689)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(20,336)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(21,895)</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other liabilities and deferred credits</w:t>
            </w:r>
          </w:p>
        </w:tc>
        <w:tc>
          <w:tcPr>
            <w:tcW w:w="3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(55,173)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25,356</w:t>
            </w:r>
          </w:p>
        </w:tc>
      </w:tr>
      <w:tr>
        <w:trPr>
          <w:trHeight w:val="190"/>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353,589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261,852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459,531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398,794</w:t>
            </w:r>
          </w:p>
        </w:tc>
      </w:tr>
      <w:tr>
        <w:trPr>
          <w:trHeight w:val="188"/>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6"/>
        </w:trPr>
        <w:tc>
          <w:tcPr>
            <w:tcW w:w="6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w w:val="98"/>
              </w:rPr>
              <w:t>Construction expenditures and property additions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(354,501)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(365,251)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(767,998)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(762,121)</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Changes in customer advances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14,788</w:t>
            </w:r>
          </w:p>
        </w:tc>
      </w:tr>
      <w:tr>
        <w:trPr>
          <w:trHeight w:val="196"/>
        </w:trPr>
        <w:tc>
          <w:tcPr>
            <w:tcW w:w="6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Other</w:t>
            </w:r>
          </w:p>
        </w:tc>
        <w:tc>
          <w:tcPr>
            <w:tcW w:w="35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(813)</w:t>
            </w:r>
          </w:p>
        </w:tc>
      </w:tr>
      <w:tr>
        <w:trPr>
          <w:trHeight w:val="202"/>
        </w:trPr>
        <w:tc>
          <w:tcPr>
            <w:tcW w:w="6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35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(350,303)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(355,817)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(754,328)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(748,146)</w:t>
            </w:r>
          </w:p>
        </w:tc>
      </w:tr>
      <w:tr>
        <w:trPr>
          <w:trHeight w:val="177"/>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Contributions from parent</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159,045</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Dividends paid</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(51,100)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(90,300)</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Issuance of long-term debt, net</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446,508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297,222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446,508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297,222</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Change in credit facility and commercial paper</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(104,000)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(2,000)</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Change in short-term debt</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r>
      <w:tr>
        <w:trPr>
          <w:trHeight w:val="197"/>
        </w:trPr>
        <w:tc>
          <w:tcPr>
            <w:tcW w:w="6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w w:val="92"/>
              </w:rPr>
              <w:t>Withholding remittance - share-based compensation</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(2,111)</w:t>
            </w:r>
          </w:p>
        </w:tc>
      </w:tr>
      <w:tr>
        <w:trPr>
          <w:trHeight w:val="208"/>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(961)</w:t>
            </w:r>
          </w:p>
        </w:tc>
      </w:tr>
      <w:tr>
        <w:trPr>
          <w:trHeight w:val="190"/>
        </w:trPr>
        <w:tc>
          <w:tcPr>
            <w:tcW w:w="6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147,009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94,446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453,138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360,895</w:t>
            </w:r>
          </w:p>
        </w:tc>
      </w:tr>
      <w:tr>
        <w:trPr>
          <w:trHeight w:val="188"/>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7"/>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Change in cash and cash equivalents</w:t>
            </w: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150,295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158,341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11,543</w:t>
            </w:r>
          </w:p>
        </w:tc>
      </w:tr>
      <w:tr>
        <w:trPr>
          <w:trHeight w:val="208"/>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31,962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32,443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20,900</w:t>
            </w:r>
          </w:p>
        </w:tc>
      </w:tr>
      <w:tr>
        <w:trPr>
          <w:trHeight w:val="190"/>
        </w:trPr>
        <w:tc>
          <w:tcPr>
            <w:tcW w:w="336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190,784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32,443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190,784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32,443</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33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SUPPLEMENTAL INFORMATION:</w:t>
            </w:r>
          </w:p>
        </w:tc>
        <w:tc>
          <w:tcPr>
            <w:tcW w:w="3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7"/>
        </w:trPr>
        <w:tc>
          <w:tcPr>
            <w:tcW w:w="60" w:type="dxa"/>
            <w:vAlign w:val="bottom"/>
          </w:tcPr>
          <w:p>
            <w:pPr>
              <w:spacing w:after="0"/>
              <w:rPr>
                <w:sz w:val="17"/>
                <w:szCs w:val="17"/>
                <w:color w:val="auto"/>
              </w:rPr>
            </w:pPr>
          </w:p>
        </w:tc>
        <w:tc>
          <w:tcPr>
            <w:tcW w:w="3300" w:type="dxa"/>
            <w:vAlign w:val="bottom"/>
            <w:gridSpan w:val="3"/>
          </w:tcPr>
          <w:p>
            <w:pPr>
              <w:ind w:left="280"/>
              <w:spacing w:after="0"/>
              <w:rPr>
                <w:sz w:val="20"/>
                <w:szCs w:val="20"/>
                <w:color w:val="auto"/>
              </w:rPr>
            </w:pPr>
            <w:r>
              <w:rPr>
                <w:rFonts w:ascii="Arial" w:cs="Arial" w:eastAsia="Arial" w:hAnsi="Arial"/>
                <w:sz w:val="14"/>
                <w:szCs w:val="14"/>
                <w:color w:val="auto"/>
              </w:rPr>
              <w:t>Interest paid, net of amounts capitalized</w:t>
            </w:r>
          </w:p>
        </w:tc>
        <w:tc>
          <w:tcPr>
            <w:tcW w:w="3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46,576</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92,381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7"/>
              <w:spacing w:after="0"/>
              <w:rPr>
                <w:sz w:val="20"/>
                <w:szCs w:val="20"/>
                <w:color w:val="auto"/>
              </w:rPr>
            </w:pPr>
            <w:r>
              <w:rPr>
                <w:rFonts w:ascii="Arial" w:cs="Arial" w:eastAsia="Arial" w:hAnsi="Arial"/>
                <w:sz w:val="14"/>
                <w:szCs w:val="14"/>
                <w:color w:val="auto"/>
              </w:rPr>
              <w:t>83,206</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Income taxes paid (received), net</w:t>
            </w:r>
          </w:p>
        </w:tc>
        <w:tc>
          <w:tcPr>
            <w:tcW w:w="3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(16,764)</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2"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2"/>
              </w:rPr>
              <w:t>June 30, 2020</w:t>
            </w:r>
          </w:p>
        </w:tc>
        <w:tc>
          <w:tcPr>
            <w:tcW w:w="0" w:type="dxa"/>
            <w:vAlign w:val="bottom"/>
          </w:tcPr>
          <w:p>
            <w:pPr>
              <w:spacing w:after="0"/>
              <w:rPr>
                <w:sz w:val="1"/>
                <w:szCs w:val="1"/>
                <w:color w:val="auto"/>
              </w:rPr>
            </w:pPr>
          </w:p>
        </w:tc>
      </w:tr>
      <w:tr>
        <w:trPr>
          <w:trHeight w:val="816"/>
        </w:trPr>
        <w:tc>
          <w:tcPr>
            <w:tcW w:w="4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SOUTHWEST GAS CORPORATION AND SUBSIDIARIES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5"/>
          </w:tcPr>
          <w:p>
            <w:pPr>
              <w:jc w:val="center"/>
              <w:ind w:left="30"/>
              <w:spacing w:after="0"/>
              <w:rPr>
                <w:sz w:val="20"/>
                <w:szCs w:val="20"/>
                <w:color w:val="auto"/>
              </w:rPr>
            </w:pPr>
            <w:r>
              <w:rPr>
                <w:rFonts w:ascii="Arial" w:cs="Arial" w:eastAsia="Arial" w:hAnsi="Arial"/>
                <w:sz w:val="18"/>
                <w:szCs w:val="18"/>
                <w:color w:val="auto"/>
                <w:w w:val="95"/>
              </w:rPr>
              <w:t>CONDENSED CONSOLIDATED STATEMENTS OF EQUITY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jc w:val="center"/>
              <w:ind w:left="139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tcPr>
          <w:p>
            <w:pPr>
              <w:jc w:val="center"/>
              <w:ind w:left="139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ind w:left="24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24"/>
                <w:szCs w:val="24"/>
                <w:color w:val="auto"/>
              </w:rPr>
            </w:pPr>
          </w:p>
        </w:tc>
        <w:tc>
          <w:tcPr>
            <w:tcW w:w="1980" w:type="dxa"/>
            <w:vAlign w:val="bottom"/>
            <w:gridSpan w:val="4"/>
          </w:tcPr>
          <w:p>
            <w:pPr>
              <w:jc w:val="right"/>
              <w:ind w:right="39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4"/>
          </w:tcPr>
          <w:p>
            <w:pPr>
              <w:jc w:val="right"/>
              <w:ind w:right="71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49,112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1,279,208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w w:val="89"/>
              </w:rPr>
              <w:t>1,089,002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1,229,083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1,065,242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Share-based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40" w:type="dxa"/>
            <w:vAlign w:val="bottom"/>
            <w:gridSpan w:val="3"/>
          </w:tcPr>
          <w:p>
            <w:pPr>
              <w:ind w:left="660"/>
              <w:spacing w:after="0"/>
              <w:rPr>
                <w:sz w:val="20"/>
                <w:szCs w:val="20"/>
                <w:color w:val="auto"/>
              </w:rPr>
            </w:pPr>
            <w:r>
              <w:rPr>
                <w:rFonts w:ascii="Arial" w:cs="Arial" w:eastAsia="Arial" w:hAnsi="Arial"/>
                <w:sz w:val="16"/>
                <w:szCs w:val="16"/>
                <w:color w:val="auto"/>
              </w:rPr>
              <w:t>Contributions from Southwest Gas Holdings, Inc.</w:t>
            </w: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49,500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79,250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99,500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102,092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1,329,843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1,169,549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1,329,843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1,169,549</w:t>
            </w:r>
          </w:p>
        </w:tc>
        <w:tc>
          <w:tcPr>
            <w:tcW w:w="0" w:type="dxa"/>
            <w:vAlign w:val="bottom"/>
          </w:tcPr>
          <w:p>
            <w:pPr>
              <w:spacing w:after="0"/>
              <w:rPr>
                <w:sz w:val="1"/>
                <w:szCs w:val="1"/>
                <w:color w:val="auto"/>
              </w:rPr>
            </w:pPr>
          </w:p>
        </w:tc>
      </w:tr>
      <w:tr>
        <w:trPr>
          <w:trHeight w:val="204"/>
        </w:trPr>
        <w:tc>
          <w:tcPr>
            <w:tcW w:w="678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(49,049)</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740" w:type="dxa"/>
            <w:vAlign w:val="bottom"/>
            <w:gridSpan w:val="3"/>
          </w:tcPr>
          <w:p>
            <w:pPr>
              <w:ind w:left="66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 cost,</w:t>
            </w:r>
          </w:p>
        </w:tc>
        <w:tc>
          <w:tcPr>
            <w:tcW w:w="16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740" w:type="dxa"/>
            <w:vAlign w:val="bottom"/>
            <w:gridSpan w:val="3"/>
          </w:tcPr>
          <w:p>
            <w:pPr>
              <w:ind w:left="820"/>
              <w:spacing w:after="0"/>
              <w:rPr>
                <w:sz w:val="20"/>
                <w:szCs w:val="20"/>
                <w:color w:val="auto"/>
              </w:rPr>
            </w:pPr>
            <w:r>
              <w:rPr>
                <w:rFonts w:ascii="Arial" w:cs="Arial" w:eastAsia="Arial" w:hAnsi="Arial"/>
                <w:sz w:val="16"/>
                <w:szCs w:val="16"/>
                <w:color w:val="auto"/>
              </w:rPr>
              <w:t>net of tax</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FSIRS amounts reclassified to net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(51,825)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(46,540)</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839,443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797,584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782,108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717,155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95,541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106,758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740" w:type="dxa"/>
            <w:vAlign w:val="bottom"/>
            <w:gridSpan w:val="3"/>
          </w:tcPr>
          <w:p>
            <w:pPr>
              <w:ind w:left="66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7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Dividends declared to Southwest Gas Holdings, Inc.</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74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824,847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776,101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824,847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776,101</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7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2,151,977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1,948,222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5"/>
              </w:rPr>
              <w:t>2,151,977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1,948,222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62" w:right="35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of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Globally, the novel Coronavirus (“COVID-19”) pandemic has created volatility, uncertainty, and economic disruption. Utility operations have been deemed “essential services” and utility infrastructure services have, to a large extent, been similarly characterized by government officials. Management has considered the impact of the pandemic and adjusted certain estimates, where relevant, used in the preparation of the condensed consolidated financial statements.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the notes thereto included in the 2019 Annual Report to Stockholders, which is incorporated by reference into the 2019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recorded and/or disclosed at fair value.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128,659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132,072</w:t>
            </w: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1,715</w:t>
            </w:r>
          </w:p>
        </w:tc>
      </w:tr>
      <w:tr>
        <w:trPr>
          <w:trHeight w:val="237"/>
        </w:trPr>
        <w:tc>
          <w:tcPr>
            <w:tcW w:w="7140" w:type="dxa"/>
            <w:vAlign w:val="bottom"/>
          </w:tcPr>
          <w:p>
            <w:pPr>
              <w:ind w:left="340"/>
              <w:spacing w:after="0"/>
              <w:rPr>
                <w:sz w:val="20"/>
                <w:szCs w:val="20"/>
                <w:color w:val="auto"/>
              </w:rPr>
            </w:pPr>
            <w:r>
              <w:rPr>
                <w:rFonts w:ascii="Arial" w:cs="Arial" w:eastAsia="Arial" w:hAnsi="Arial"/>
                <w:sz w:val="18"/>
                <w:szCs w:val="18"/>
                <w:color w:val="auto"/>
              </w:rPr>
              <w:t>Total Southwest Gas Corporation</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130,634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133,787</w:t>
            </w: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1,041,528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983,905</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(384,108)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(352,333)</w:t>
            </w: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18,814</w:t>
            </w:r>
          </w:p>
        </w:tc>
      </w:tr>
      <w:tr>
        <w:trPr>
          <w:trHeight w:val="237"/>
        </w:trPr>
        <w:tc>
          <w:tcPr>
            <w:tcW w:w="7140" w:type="dxa"/>
            <w:vAlign w:val="bottom"/>
          </w:tcPr>
          <w:p>
            <w:pPr>
              <w:ind w:left="340"/>
              <w:spacing w:after="0"/>
              <w:rPr>
                <w:sz w:val="20"/>
                <w:szCs w:val="20"/>
                <w:color w:val="auto"/>
              </w:rPr>
            </w:pPr>
            <w:r>
              <w:rPr>
                <w:rFonts w:ascii="Arial" w:cs="Arial" w:eastAsia="Arial" w:hAnsi="Arial"/>
                <w:sz w:val="18"/>
                <w:szCs w:val="18"/>
                <w:color w:val="auto"/>
              </w:rPr>
              <w:t>Total Southwest Gas Holdings, Inc.</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809,111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784,173</w:t>
            </w:r>
          </w:p>
        </w:tc>
      </w:tr>
      <w:tr>
        <w:trPr>
          <w:trHeight w:val="27"/>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of Southwest and the Company include money market fund investments totaling approximately $40,000 for both entities at June 30, 2020, and $23.5 million and $26.7 million, for each, respectively, at December 31, 2019, which fall within Level 2 of the fair value hierarchy, due to the asset valuation methods used by money market funds.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Typical non-cash investing activities for Southwest include customer advances applied as contributions toward utility construction activity, capital expenditures that were not paid as of period-end reporting dates but rather included in accounts payable, and right-of use assets obtained in exchange for lease liabilities, which are non-cash investing and financing activities. Amounts related to such activities were immaterial for the periods presented herein.</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Accounts Receivable, net of allowances. </w:t>
      </w:r>
      <w:r>
        <w:rPr>
          <w:rFonts w:ascii="Arial" w:cs="Arial" w:eastAsia="Arial" w:hAnsi="Arial"/>
          <w:sz w:val="16"/>
          <w:szCs w:val="16"/>
          <w:color w:val="auto"/>
        </w:rPr>
        <w:t>Business activity with respect to natural gas utility operations is conducted with customers located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Although Southwest seeks to minimize its credit risk related to utility operations by requiring security deposits from new customers, imposing late fees, and actively pursuing collection on overdue accounts, some accounts are ultimately not collected. Customer accounts are subject to collection procedures that vary by jurisdiction (late fee assessment, noticing requirements for disconnection of service, and procedures for actual disconnection and/or reestablishment of service). After disconnection of service, accounts are customarily written off approximately two months after inactivation. Dependent upon the jurisdiction, reestablishment of service requires both payment of previously unpaid balances and additional deposit requirements. Provisions for uncollectible accounts are recorded monthly based on experience, consideration of current and expected future conditions, customer and rate composition, and write-off processes. They are included in the ratemaking process as a cost of service. The Nevada jurisdictions have a regulatory mechanism associated with the gas cost-related portion of uncollectible accounts. Such amounts are deferred and collected through a surcharge in the ratemaking process. </w:t>
      </w:r>
      <w:r>
        <w:rPr>
          <w:rFonts w:ascii="Arial" w:cs="Arial" w:eastAsia="Arial" w:hAnsi="Arial"/>
          <w:sz w:val="16"/>
          <w:szCs w:val="16"/>
          <w:color w:val="212529"/>
        </w:rPr>
        <w:t>Due to</w:t>
      </w:r>
      <w:r>
        <w:rPr>
          <w:rFonts w:ascii="Arial" w:cs="Arial" w:eastAsia="Arial" w:hAnsi="Arial"/>
          <w:sz w:val="16"/>
          <w:szCs w:val="16"/>
          <w:color w:val="auto"/>
        </w:rPr>
        <w:t xml:space="preserve"> </w:t>
      </w:r>
      <w:r>
        <w:rPr>
          <w:rFonts w:ascii="Arial" w:cs="Arial" w:eastAsia="Arial" w:hAnsi="Arial"/>
          <w:sz w:val="16"/>
          <w:szCs w:val="16"/>
          <w:color w:val="212529"/>
        </w:rPr>
        <w:t>the continued COVID-19 pandemic, and as utility service is an essential service to the residents in the states in which Southwest operates, in March 2020, Southwest implemented a temporary moratorium on disconnection of natural gas service for non-payment and also ceased charging late fees until further notice. While the moratorium continues to be in place, Southwest is actively working with customers experiencing financial hardship by means of flexible payment options. Management continues to monitor expected credit losses in light of the evolving financial impact of COVID-19. The allowance as of June 30, 2020 reflects the expected impact of COVID-19 on balances as of</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that date, including consideration of customers’ ability to pay currently and once the moratorium is lifted. The allowance was not materially adjusted as a result of the pandemic.</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Centuri’s trade accounts receivable balances carry standard payment terms of up to 60 days. Centuri maintains an allowance that is an estimate based on historical collection experience, current and forward-looking estimated economic and market conditions, and a review of the current status of each customer's trade accounts receivable balance. Account balances are monitored at least monthly, and are charged off against the allowance when management determines it is probable the balance will not be recovered. Centuri has not been significantly impacted, nor does it anticipate it will experience significant difficulty in collecting amounts due, as a result of the current environment surrounding COVID-19 given the nature of its customers.</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Activity between periods in the allowance for uncollectibles and the balances as of the periods presented within the Company’s and Southwest’s financial statements were not material to the condensed consolidated financial statements.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On March 27, 2020, the Coronavirus Aid, Relief, and Economic Security (“CARES”) Act was enacted. The CARES Act provides a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tax provisions and stimulus measures, including changes to prior and future limitations on interest deductions, the ability to accelerate refund of Alternative Minimum Tax credits, elective deferment of payment related to the employer portion of Social Security taxes, and the creation of certain refundable employee retention credits, among other things. Management does not anticipate the impacts related to the CARES Act to have a material effect on the Company’s or Southwest’s results of operations, financial position, or liquidity.</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 and other current assets. </w:t>
      </w:r>
      <w:r>
        <w:rPr>
          <w:rFonts w:ascii="Arial" w:cs="Arial" w:eastAsia="Arial" w:hAnsi="Arial"/>
          <w:sz w:val="17"/>
          <w:szCs w:val="17"/>
          <w:color w:val="auto"/>
        </w:rPr>
        <w:t>Prepaid and other current assets includes gas pipe materials and operating supplies of $57 million at both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and December 31, 2019 (carried at weighted average cost), in addition to $33 million at December 31, 2019 related to a regulatory asset associated with the Arizona decoupling mechanism (an alternative revenue program), with no corresponding asset balance at June 30, 2020.</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1</w:t>
      </w:r>
      <w:r>
        <w:rPr>
          <w:rFonts w:ascii="Arial" w:cs="Arial" w:eastAsia="Arial" w:hAnsi="Arial"/>
          <w:sz w:val="16"/>
          <w:szCs w:val="16"/>
          <w:color w:val="auto"/>
        </w:rPr>
        <w:t>st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for impairment, or more frequently, if circumstances indicate an impairment to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Since December 31, 2019, management also qualitatively assessed whether events during the first six months of 2020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w w:val="91"/>
              </w:rPr>
              <w:t>Total Company</w:t>
            </w:r>
          </w:p>
        </w:tc>
      </w:tr>
      <w:tr>
        <w:trPr>
          <w:trHeight w:val="27"/>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343,023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(5,045)</w:t>
            </w:r>
          </w:p>
        </w:tc>
      </w:tr>
      <w:tr>
        <w:trPr>
          <w:trHeight w:val="27"/>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327,883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337,978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Southwest includes $26.4 million and $25.2 million of dividends declared by Southwest Gas Corporation, but not yet paid to Southwest Gas Holdings, Inc. as of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5"/>
          </w:tcPr>
          <w:p>
            <w:pPr>
              <w:ind w:left="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7"/>
                <w:szCs w:val="17"/>
                <w:color w:val="auto"/>
              </w:rPr>
            </w:pPr>
          </w:p>
        </w:tc>
        <w:tc>
          <w:tcPr>
            <w:tcW w:w="1780" w:type="dxa"/>
            <w:vAlign w:val="bottom"/>
            <w:gridSpan w:val="5"/>
          </w:tcPr>
          <w:p>
            <w:pPr>
              <w:ind w:left="160"/>
              <w:spacing w:after="0"/>
              <w:rPr>
                <w:sz w:val="20"/>
                <w:szCs w:val="20"/>
                <w:color w:val="auto"/>
              </w:rPr>
            </w:pPr>
            <w:r>
              <w:rPr>
                <w:rFonts w:ascii="Arial" w:cs="Arial" w:eastAsia="Arial" w:hAnsi="Arial"/>
                <w:sz w:val="16"/>
                <w:szCs w:val="16"/>
                <w:color w:val="auto"/>
              </w:rPr>
              <w:t>Six Months Ended</w:t>
            </w:r>
          </w:p>
        </w:tc>
        <w:tc>
          <w:tcPr>
            <w:tcW w:w="140" w:type="dxa"/>
            <w:vAlign w:val="bottom"/>
          </w:tcPr>
          <w:p>
            <w:pPr>
              <w:spacing w:after="0"/>
              <w:rPr>
                <w:sz w:val="17"/>
                <w:szCs w:val="17"/>
                <w:color w:val="auto"/>
              </w:rPr>
            </w:pPr>
          </w:p>
        </w:tc>
        <w:tc>
          <w:tcPr>
            <w:tcW w:w="1700" w:type="dxa"/>
            <w:vAlign w:val="bottom"/>
            <w:gridSpan w:val="4"/>
          </w:tcPr>
          <w:p>
            <w:pPr>
              <w:jc w:val="right"/>
              <w:ind w:right="99"/>
              <w:spacing w:after="0"/>
              <w:rPr>
                <w:sz w:val="20"/>
                <w:szCs w:val="20"/>
                <w:color w:val="auto"/>
              </w:rPr>
            </w:pPr>
            <w:r>
              <w:rPr>
                <w:rFonts w:ascii="Arial" w:cs="Arial" w:eastAsia="Arial" w:hAnsi="Arial"/>
                <w:sz w:val="16"/>
                <w:szCs w:val="16"/>
                <w:color w:val="auto"/>
                <w:w w:val="94"/>
              </w:rPr>
              <w:t>Twelve Months Ended</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tcPr>
          <w:p>
            <w:pPr>
              <w:jc w:val="right"/>
              <w:ind w:right="559"/>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2019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 Gas Corporation - natural gas operations segment: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w w:val="89"/>
              </w:rPr>
              <w:t>11,000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6,644</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1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(3,765)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(10,011)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(7,530)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w:t>
            </w:r>
          </w:p>
        </w:tc>
        <w:tc>
          <w:tcPr>
            <w:tcW w:w="0" w:type="dxa"/>
            <w:vAlign w:val="bottom"/>
          </w:tcPr>
          <w:p>
            <w:pPr>
              <w:spacing w:after="0"/>
              <w:rPr>
                <w:sz w:val="1"/>
                <w:szCs w:val="1"/>
                <w:color w:val="auto"/>
              </w:rPr>
            </w:pPr>
          </w:p>
        </w:tc>
      </w:tr>
      <w:tr>
        <w:trPr>
          <w:trHeight w:val="224"/>
        </w:trPr>
        <w:tc>
          <w:tcPr>
            <w:tcW w:w="5520" w:type="dxa"/>
            <w:vAlign w:val="bottom"/>
          </w:tcPr>
          <w:p>
            <w:pPr>
              <w:ind w:left="220"/>
              <w:spacing w:after="0"/>
              <w:rPr>
                <w:sz w:val="20"/>
                <w:szCs w:val="20"/>
                <w:color w:val="auto"/>
              </w:rPr>
            </w:pPr>
            <w:r>
              <w:rPr>
                <w:rFonts w:ascii="Arial" w:cs="Arial" w:eastAsia="Arial" w:hAnsi="Arial"/>
                <w:sz w:val="16"/>
                <w:szCs w:val="16"/>
                <w:color w:val="auto"/>
              </w:rPr>
              <w:t>Miscellaneous income and (expense)</w:t>
            </w: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4"/>
              </w:rPr>
              <w:t>(1,318)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(12,698)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(3,005)</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Arial" w:cs="Arial" w:eastAsia="Arial" w:hAnsi="Arial"/>
                <w:sz w:val="16"/>
                <w:szCs w:val="16"/>
                <w:color w:val="auto"/>
              </w:rPr>
              <w:t>Utility infrastructure services segment:</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3"/>
        </w:trPr>
        <w:tc>
          <w:tcPr>
            <w:tcW w:w="5520" w:type="dxa"/>
            <w:vAlign w:val="bottom"/>
          </w:tcPr>
          <w:p>
            <w:pPr>
              <w:ind w:left="220"/>
              <w:spacing w:after="0"/>
              <w:rPr>
                <w:sz w:val="20"/>
                <w:szCs w:val="20"/>
                <w:color w:val="auto"/>
              </w:rPr>
            </w:pPr>
            <w:r>
              <w:rPr>
                <w:rFonts w:ascii="Arial" w:cs="Arial" w:eastAsia="Arial" w:hAnsi="Arial"/>
                <w:sz w:val="16"/>
                <w:szCs w:val="16"/>
                <w:color w:val="auto"/>
              </w:rPr>
              <w:t>Foreign transaction gain (loss)</w:t>
            </w: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Miscellaneous income and (expense)</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7"/>
        </w:trPr>
        <w:tc>
          <w:tcPr>
            <w:tcW w:w="5520" w:type="dxa"/>
            <w:vAlign w:val="bottom"/>
          </w:tcPr>
          <w:p>
            <w:pPr>
              <w:ind w:left="20"/>
              <w:spacing w:after="0"/>
              <w:rPr>
                <w:sz w:val="20"/>
                <w:szCs w:val="20"/>
                <w:color w:val="auto"/>
              </w:rPr>
            </w:pPr>
            <w:r>
              <w:rPr>
                <w:rFonts w:ascii="Arial" w:cs="Arial" w:eastAsia="Arial" w:hAnsi="Arial"/>
                <w:sz w:val="16"/>
                <w:szCs w:val="16"/>
                <w:color w:val="auto"/>
              </w:rPr>
              <w:t>Centuri - total other income (deductions)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5520" w:type="dxa"/>
            <w:vAlign w:val="bottom"/>
            <w:vMerge w:val="restart"/>
          </w:tcPr>
          <w:p>
            <w:pPr>
              <w:ind w:left="20"/>
              <w:spacing w:after="0"/>
              <w:rPr>
                <w:sz w:val="20"/>
                <w:szCs w:val="20"/>
                <w:color w:val="auto"/>
              </w:rPr>
            </w:pPr>
            <w:r>
              <w:rPr>
                <w:rFonts w:ascii="Arial" w:cs="Arial" w:eastAsia="Arial" w:hAnsi="Arial"/>
                <w:sz w:val="16"/>
                <w:szCs w:val="16"/>
                <w:color w:val="auto"/>
              </w:rPr>
              <w:t>Consolidated Southwest Gas Holdings, Inc. - total other income (deductions)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7,925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(12,845)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7,985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33"/>
        </w:trPr>
        <w:tc>
          <w:tcPr>
            <w:tcW w:w="55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to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also to </w:t>
      </w:r>
      <w:r>
        <w:rPr>
          <w:rFonts w:ascii="Arial" w:cs="Arial" w:eastAsia="Arial" w:hAnsi="Arial"/>
          <w:sz w:val="18"/>
          <w:szCs w:val="18"/>
          <w:b w:val="1"/>
          <w:bCs w:val="1"/>
          <w:color w:val="auto"/>
        </w:rPr>
        <w:t>Note 2 –</w:t>
      </w:r>
      <w:r>
        <w:rPr>
          <w:rFonts w:ascii="Arial" w:cs="Arial" w:eastAsia="Arial" w:hAnsi="Arial"/>
          <w:sz w:val="18"/>
          <w:szCs w:val="18"/>
          <w:color w:val="auto"/>
        </w:rPr>
        <w:t xml:space="preserve"> </w:t>
      </w:r>
      <w:r>
        <w:rPr>
          <w:rFonts w:ascii="Arial" w:cs="Arial" w:eastAsia="Arial" w:hAnsi="Arial"/>
          <w:sz w:val="18"/>
          <w:szCs w:val="18"/>
          <w:b w:val="1"/>
          <w:bCs w:val="1"/>
          <w:color w:val="auto"/>
        </w:rPr>
        <w:t>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prices are the prevailing prices at the future transaction dates, the contracts have no determinable fair value. The Swap contract prices are determined at the beginning of each month to reflect that month’s published first of month index price and are recorded at fair value (Level 2). Southwest does not utilize derivative financial instruments for speculative purposes, nor does it have trading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currently anticipate entering into new Swaps in the near term; the longest maturity date of the Swaps as of June 30, 2020 is October 2020.</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Master netting arrangements exist with each counterparty that provide for the net settlement of all contracts through a single payment. Management has elected to reflect the net amounts in its balance sheets, which were immaterial at June 30, 2020.</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Southwest entered into forward-starting interest rate swaps (“FSIRS”), the settled positions for which are immaterial and continue to be amortized from Accumulated other comprehensive income (loss) into interest expense.</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However, the carrying value was greater than the fair value as of June 30, 2020, and no previous upward redemption value adjustments were made following the acquisition date. SEC guidance indicates that a redemption value adjustment would not be made under these circumstances. The following depicts the change to the balance of the redeemable noncontrolling interest: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color w:val="auto"/>
                <w:w w:val="99"/>
              </w:rPr>
              <w:t>Redeemable</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w w:val="94"/>
              </w:rPr>
              <w:t>Noncontrolling Interest</w:t>
            </w:r>
          </w:p>
        </w:tc>
      </w:tr>
      <w:tr>
        <w:trPr>
          <w:trHeight w:val="27"/>
        </w:trPr>
        <w:tc>
          <w:tcPr>
            <w:tcW w:w="9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84,542</w:t>
            </w: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2,379</w:t>
            </w:r>
          </w:p>
        </w:tc>
      </w:tr>
      <w:tr>
        <w:trPr>
          <w:trHeight w:val="27"/>
        </w:trPr>
        <w:tc>
          <w:tcPr>
            <w:tcW w:w="9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86,921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the Basic and Diluted EPS calculations is shown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94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Six Months Ended</w:t>
            </w:r>
          </w:p>
        </w:tc>
        <w:tc>
          <w:tcPr>
            <w:tcW w:w="2300" w:type="dxa"/>
            <w:vAlign w:val="bottom"/>
            <w:gridSpan w:val="4"/>
          </w:tcPr>
          <w:p>
            <w:pPr>
              <w:jc w:val="center"/>
              <w:spacing w:after="0"/>
              <w:rPr>
                <w:sz w:val="20"/>
                <w:szCs w:val="20"/>
                <w:color w:val="auto"/>
              </w:rPr>
            </w:pPr>
            <w:r>
              <w:rPr>
                <w:rFonts w:ascii="Arial" w:cs="Arial" w:eastAsia="Arial" w:hAnsi="Arial"/>
                <w:sz w:val="18"/>
                <w:szCs w:val="18"/>
                <w:color w:val="auto"/>
                <w:w w:val="90"/>
              </w:rPr>
              <w:t>Twelve Months Ended</w:t>
            </w:r>
          </w:p>
        </w:tc>
      </w:tr>
      <w:tr>
        <w:trPr>
          <w:trHeight w:val="230"/>
        </w:trPr>
        <w:tc>
          <w:tcPr>
            <w:tcW w:w="4620" w:type="dxa"/>
            <w:vAlign w:val="bottom"/>
          </w:tcPr>
          <w:p>
            <w:pPr>
              <w:spacing w:after="0"/>
              <w:rPr>
                <w:sz w:val="20"/>
                <w:szCs w:val="20"/>
                <w:color w:val="auto"/>
              </w:rPr>
            </w:pPr>
          </w:p>
        </w:tc>
        <w:tc>
          <w:tcPr>
            <w:tcW w:w="1500" w:type="dxa"/>
            <w:vAlign w:val="bottom"/>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8"/>
                <w:szCs w:val="18"/>
                <w:color w:val="auto"/>
                <w:w w:val="86"/>
              </w:rPr>
              <w:t>June 30,</w:t>
            </w:r>
          </w:p>
        </w:tc>
        <w:tc>
          <w:tcPr>
            <w:tcW w:w="1520" w:type="dxa"/>
            <w:vAlign w:val="bottom"/>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78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2019</w:t>
            </w:r>
          </w:p>
        </w:tc>
      </w:tr>
      <w:tr>
        <w:trPr>
          <w:trHeight w:val="27"/>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basic shares</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53,935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55,386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51,914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Management Incentive Plan shares</w:t>
            </w:r>
          </w:p>
        </w:tc>
        <w:tc>
          <w:tcPr>
            <w:tcW w:w="150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4620" w:type="dxa"/>
            <w:vAlign w:val="bottom"/>
          </w:tcPr>
          <w:p>
            <w:pPr>
              <w:ind w:left="120"/>
              <w:spacing w:after="0"/>
              <w:rPr>
                <w:sz w:val="20"/>
                <w:szCs w:val="20"/>
                <w:color w:val="auto"/>
              </w:rPr>
            </w:pPr>
            <w:r>
              <w:rPr>
                <w:rFonts w:ascii="Arial" w:cs="Arial" w:eastAsia="Arial" w:hAnsi="Arial"/>
                <w:sz w:val="18"/>
                <w:szCs w:val="18"/>
                <w:color w:val="auto"/>
              </w:rPr>
              <w:t>Restricted stock units (1)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w:t>
            </w:r>
          </w:p>
        </w:tc>
      </w:tr>
      <w:tr>
        <w:trPr>
          <w:trHeight w:val="27"/>
        </w:trPr>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diluted shares</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55,532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54,003</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55,448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53,716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51,977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86" w:lineRule="auto"/>
        <w:tabs>
          <w:tab w:leader="none" w:pos="434"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number of securities granted included 63,000 and 49,000 performance shares during the three months ending June 30, 2020 and 2019, 57,000 and 45,000 performance shares during the six months ending June 30, 2020 and 2019, and 51,000 and 36,000 performance shares during the twelve months ending June 30, 2020 and 2019, respectively, the total of which was derived by assuming that target performance will be achieved during the relevant performance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2020:</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ASU 2016-13 update “Financial Instruments—Credit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Company and Southwest adopted the update in the first quarter of 2020, and concluded the impact was not material to the condensed consolidated financial statements of the Company or Southwest. See </w:t>
      </w:r>
      <w:r>
        <w:rPr>
          <w:rFonts w:ascii="Arial" w:cs="Arial" w:eastAsia="Arial" w:hAnsi="Arial"/>
          <w:sz w:val="18"/>
          <w:szCs w:val="18"/>
          <w:i w:val="1"/>
          <w:iCs w:val="1"/>
          <w:color w:val="auto"/>
        </w:rPr>
        <w:t>Accounts receivable, net of allowances</w:t>
      </w:r>
      <w:r>
        <w:rPr>
          <w:rFonts w:ascii="Arial" w:cs="Arial" w:eastAsia="Arial" w:hAnsi="Arial"/>
          <w:sz w:val="18"/>
          <w:szCs w:val="18"/>
          <w:color w:val="auto"/>
        </w:rPr>
        <w:t xml:space="preserve"> above.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Under the update, an entity will apply a one-step quantitative test as opposed to a two-step test as previously required, and record the amount of goodwill impairment as the excess of a reporting unit's carrying amount over its fair value, not to exceed the total amount of goodwill allocated to the reporting unit. The new guidance does not amend the optional qualitative assessment. The Company and Southwest adopted the update in the first quarter of 2020 and will apply the update prospectively in any future goodwill impairment tests.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with the exception that such costs are to be included in the same line item in the balance sheet that a prepayment of the fees associated with the arrangement would be presented. Once capitalized, the update requires the entity to expense the amount capitalized over the term of the hosting arrangement, including reasonably certain renewal periods. The Company and</w:t>
      </w: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adopted the update in the first quarter of 2020 using the prospective transition method. The Company and Southwest have no material implementation costs related to cloud computing arrangements.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2020:</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update is effective for fiscal years beginning after December 15, 2021, and interim periods within fiscal years beginning after December 15, 2022. Early adoption is permitted for periods for which financial statements have not yet been made available for issuance. Management is evaluating the impacts this update might have on the Company’s and Southwest’s consolidated financial statements and disclosures.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The update applies only to contracts and hedging relationships that reference London Interbank Offered Rate (“LIBOR”) or another reference rate expected to be discontinued due to reference rate reform. The expedients and exceptions provided by the amendments do not apply to contract modifications made or entered into after December 31, 2022. Management is evaluating the impacts this update might have on the Company’s and Southwest’s consolidated financial statements and disclosures. See also LIBOR discussion in </w:t>
      </w:r>
      <w:r>
        <w:rPr>
          <w:rFonts w:ascii="Arial" w:cs="Arial" w:eastAsia="Arial" w:hAnsi="Arial"/>
          <w:sz w:val="16"/>
          <w:szCs w:val="16"/>
          <w:b w:val="1"/>
          <w:bCs w:val="1"/>
          <w:color w:val="auto"/>
        </w:rPr>
        <w:t>Note 5 – Debt</w:t>
      </w:r>
      <w:r>
        <w:rPr>
          <w:rFonts w:ascii="Arial" w:cs="Arial" w:eastAsia="Arial" w:hAnsi="Arial"/>
          <w:sz w:val="16"/>
          <w:szCs w:val="16"/>
          <w:color w:val="auto"/>
        </w:rPr>
        <w:t>.</w:t>
      </w: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service cost component of net periodic benefit costs included in the table below is a component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Qualified Retirement Plan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8,575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12,932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30,081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27,209</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46,590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(32,648)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w w:val="98"/>
              </w:rPr>
              <w:t>(30,122)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(59,500)</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27,236</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25,291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43,782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41,535</w:t>
            </w: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6"/>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left="510"/>
              <w:spacing w:after="0"/>
              <w:rPr>
                <w:sz w:val="20"/>
                <w:szCs w:val="20"/>
                <w:color w:val="auto"/>
              </w:rPr>
            </w:pPr>
            <w:r>
              <w:rPr>
                <w:rFonts w:ascii="Arial" w:cs="Arial" w:eastAsia="Arial" w:hAnsi="Arial"/>
                <w:sz w:val="18"/>
                <w:szCs w:val="18"/>
                <w:color w:val="auto"/>
                <w:w w:val="85"/>
              </w:rPr>
              <w:t>SERP</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256</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1,709</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1,261</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PBOP</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460" w:type="dxa"/>
            <w:vAlign w:val="bottom"/>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1,374</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2,898</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(3,436)</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1,302</w:t>
            </w: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2,138</w:t>
            </w: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7"/>
                <w:szCs w:val="17"/>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1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4"/>
          </w:tcPr>
          <w:p>
            <w:pPr>
              <w:jc w:val="right"/>
              <w:ind w:right="79"/>
              <w:spacing w:after="0"/>
              <w:rPr>
                <w:sz w:val="20"/>
                <w:szCs w:val="20"/>
                <w:color w:val="auto"/>
              </w:rPr>
            </w:pPr>
            <w:r>
              <w:rPr>
                <w:rFonts w:ascii="Arial" w:cs="Arial" w:eastAsia="Arial" w:hAnsi="Arial"/>
                <w:sz w:val="16"/>
                <w:szCs w:val="16"/>
                <w:color w:val="auto"/>
                <w:w w:val="91"/>
              </w:rPr>
              <w:t>Twelve Months Ended June 30,</w:t>
            </w:r>
          </w:p>
        </w:tc>
      </w:tr>
      <w:tr>
        <w:trPr>
          <w:trHeight w:val="33"/>
        </w:trPr>
        <w:tc>
          <w:tcPr>
            <w:tcW w:w="3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color w:val="auto"/>
              </w:rPr>
              <w:t>2019</w:t>
            </w:r>
          </w:p>
        </w:tc>
      </w:tr>
      <w:tr>
        <w:trPr>
          <w:trHeight w:val="33"/>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164,873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559,853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582,101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950,540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958,008</w:t>
            </w:r>
          </w:p>
        </w:tc>
      </w:tr>
      <w:tr>
        <w:trPr>
          <w:trHeight w:val="223"/>
        </w:trPr>
        <w:tc>
          <w:tcPr>
            <w:tcW w:w="398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41,455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50,184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123,918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139,794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233,241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251,281</w:t>
            </w:r>
          </w:p>
        </w:tc>
      </w:tr>
      <w:tr>
        <w:trPr>
          <w:trHeight w:val="33"/>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49,703</w:t>
            </w:r>
          </w:p>
        </w:tc>
      </w:tr>
      <w:tr>
        <w:trPr>
          <w:trHeight w:val="224"/>
        </w:trPr>
        <w:tc>
          <w:tcPr>
            <w:tcW w:w="398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5,413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11,891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23,379</w:t>
            </w:r>
          </w:p>
        </w:tc>
      </w:tr>
      <w:tr>
        <w:trPr>
          <w:trHeight w:val="33"/>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19,835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89,904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88,934</w:t>
            </w:r>
          </w:p>
        </w:tc>
      </w:tr>
      <w:tr>
        <w:trPr>
          <w:trHeight w:val="217"/>
        </w:trPr>
        <w:tc>
          <w:tcPr>
            <w:tcW w:w="3980" w:type="dxa"/>
            <w:vAlign w:val="bottom"/>
          </w:tcPr>
          <w:p>
            <w:pPr>
              <w:ind w:left="34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259,066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253,408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763,859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805,588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1,343,565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1,371,305</w:t>
            </w:r>
          </w:p>
        </w:tc>
      </w:tr>
      <w:tr>
        <w:trPr>
          <w:trHeight w:val="33"/>
        </w:trPr>
        <w:tc>
          <w:tcPr>
            <w:tcW w:w="3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(22,776)</w:t>
            </w:r>
          </w:p>
        </w:tc>
      </w:tr>
      <w:tr>
        <w:trPr>
          <w:trHeight w:val="223"/>
        </w:trPr>
        <w:tc>
          <w:tcPr>
            <w:tcW w:w="3980" w:type="dxa"/>
            <w:vAlign w:val="bottom"/>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4,953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18,595</w:t>
            </w:r>
          </w:p>
        </w:tc>
      </w:tr>
      <w:tr>
        <w:trPr>
          <w:trHeight w:val="33"/>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Gas 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258,711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765,261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779,388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1,354,812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1,367,124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0"/>
        <w:spacing w:after="0" w:line="275" w:lineRule="auto"/>
        <w:tabs>
          <w:tab w:leader="none" w:pos="4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current customer rates that are expected to be returned to customers in future periods.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6"/>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8"/>
          </w:tcPr>
          <w:p>
            <w:pPr>
              <w:ind w:left="320"/>
              <w:spacing w:after="0"/>
              <w:rPr>
                <w:sz w:val="20"/>
                <w:szCs w:val="20"/>
                <w:color w:val="auto"/>
              </w:rPr>
            </w:pPr>
            <w:r>
              <w:rPr>
                <w:rFonts w:ascii="Arial" w:cs="Arial" w:eastAsia="Arial" w:hAnsi="Arial"/>
                <w:sz w:val="16"/>
                <w:szCs w:val="16"/>
                <w:color w:val="auto"/>
              </w:rPr>
              <w:t>Six Months 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left="479"/>
              <w:spacing w:after="0"/>
              <w:rPr>
                <w:sz w:val="20"/>
                <w:szCs w:val="20"/>
                <w:color w:val="auto"/>
              </w:rPr>
            </w:pPr>
            <w:r>
              <w:rPr>
                <w:rFonts w:ascii="Arial" w:cs="Arial" w:eastAsia="Arial" w:hAnsi="Arial"/>
                <w:sz w:val="16"/>
                <w:szCs w:val="16"/>
                <w:color w:val="auto"/>
                <w:w w:val="87"/>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5"/>
          </w:tcPr>
          <w:p>
            <w:pPr>
              <w:jc w:val="right"/>
              <w:ind w:right="19"/>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right"/>
              <w:ind w:right="59"/>
              <w:spacing w:after="0"/>
              <w:rPr>
                <w:sz w:val="20"/>
                <w:szCs w:val="20"/>
                <w:color w:val="auto"/>
              </w:rPr>
            </w:pPr>
            <w:r>
              <w:rPr>
                <w:rFonts w:ascii="Arial" w:cs="Arial" w:eastAsia="Arial" w:hAnsi="Arial"/>
                <w:sz w:val="16"/>
                <w:szCs w:val="16"/>
                <w:color w:val="auto"/>
                <w:w w:val="90"/>
              </w:rPr>
              <w:t>Twelve Months Ended 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330,157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323,817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200"/>
              <w:spacing w:after="0"/>
              <w:rPr>
                <w:sz w:val="20"/>
                <w:szCs w:val="20"/>
                <w:color w:val="auto"/>
              </w:rPr>
            </w:pPr>
            <w:r>
              <w:rPr>
                <w:rFonts w:ascii="Arial" w:cs="Arial" w:eastAsia="Arial" w:hAnsi="Arial"/>
                <w:sz w:val="16"/>
                <w:szCs w:val="16"/>
                <w:color w:val="auto"/>
              </w:rPr>
              <w:t>547,866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120"/>
              <w:spacing w:after="0"/>
              <w:rPr>
                <w:sz w:val="20"/>
                <w:szCs w:val="20"/>
                <w:color w:val="auto"/>
              </w:rPr>
            </w:pPr>
            <w:r>
              <w:rPr>
                <w:rFonts w:ascii="Arial" w:cs="Arial" w:eastAsia="Arial" w:hAnsi="Arial"/>
                <w:sz w:val="16"/>
                <w:szCs w:val="16"/>
                <w:color w:val="auto"/>
              </w:rPr>
              <w:t>521,709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1,265,131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1,205,197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95,286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61,366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167,606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113,667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301,656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69,117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6"/>
                <w:szCs w:val="16"/>
                <w:color w:val="auto"/>
              </w:rPr>
              <w:t>112,834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6"/>
                <w:szCs w:val="16"/>
                <w:color w:val="auto"/>
              </w:rPr>
              <w:t>131,786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245,335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292,129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494,813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454,300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828,306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767,162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1,812,122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1,634,226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6"/>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8"/>
          </w:tcPr>
          <w:p>
            <w:pPr>
              <w:ind w:left="340"/>
              <w:spacing w:after="0"/>
              <w:rPr>
                <w:sz w:val="20"/>
                <w:szCs w:val="20"/>
                <w:color w:val="auto"/>
              </w:rPr>
            </w:pPr>
            <w:r>
              <w:rPr>
                <w:rFonts w:ascii="Arial" w:cs="Arial" w:eastAsia="Arial" w:hAnsi="Arial"/>
                <w:sz w:val="16"/>
                <w:szCs w:val="16"/>
                <w:color w:val="auto"/>
              </w:rPr>
              <w:t>Six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center"/>
              <w:ind w:left="479"/>
              <w:spacing w:after="0"/>
              <w:rPr>
                <w:sz w:val="20"/>
                <w:szCs w:val="20"/>
                <w:color w:val="auto"/>
              </w:rPr>
            </w:pPr>
            <w:r>
              <w:rPr>
                <w:rFonts w:ascii="Arial" w:cs="Arial" w:eastAsia="Arial" w:hAnsi="Arial"/>
                <w:sz w:val="16"/>
                <w:szCs w:val="16"/>
                <w:color w:val="auto"/>
                <w:w w:val="87"/>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5"/>
          </w:tcPr>
          <w:p>
            <w:pPr>
              <w:jc w:val="right"/>
              <w:spacing w:after="0"/>
              <w:rPr>
                <w:sz w:val="20"/>
                <w:szCs w:val="20"/>
                <w:color w:val="auto"/>
              </w:rPr>
            </w:pPr>
            <w:r>
              <w:rPr>
                <w:rFonts w:ascii="Arial" w:cs="Arial" w:eastAsia="Arial" w:hAnsi="Arial"/>
                <w:sz w:val="16"/>
                <w:szCs w:val="16"/>
                <w:color w:val="auto"/>
              </w:rPr>
              <w:t>June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6"/>
          </w:tcPr>
          <w:p>
            <w:pPr>
              <w:jc w:val="right"/>
              <w:ind w:right="19"/>
              <w:spacing w:after="0"/>
              <w:rPr>
                <w:sz w:val="20"/>
                <w:szCs w:val="20"/>
                <w:color w:val="auto"/>
              </w:rPr>
            </w:pPr>
            <w:r>
              <w:rPr>
                <w:rFonts w:ascii="Arial" w:cs="Arial" w:eastAsia="Arial" w:hAnsi="Arial"/>
                <w:sz w:val="16"/>
                <w:szCs w:val="16"/>
                <w:color w:val="auto"/>
                <w:w w:val="91"/>
              </w:rPr>
              <w:t>Twelve Months Ended June 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375,502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375,860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639,047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611,515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1,410,909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1,229,388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119,311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78,440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189,259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155,647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401,213</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404,838</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000" w:type="dxa"/>
            <w:vAlign w:val="bottom"/>
            <w:vMerge w:val="restart"/>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494,813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454,300</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828,306</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767,162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1,812,122</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1,634,226</w:t>
            </w: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365,253</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355,487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608,389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591,172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1,397,473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1,323,034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36,011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63,556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42,965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133,515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107,697</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Time and materials contracts</w:t>
            </w: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93,549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156,361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133,025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281,134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494,813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454,300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828,306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767,162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1,812,122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1,634,226</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June 30, 2020 and December 31, 2019 on the Company’s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223,904</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145,414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99,399</w:t>
            </w:r>
          </w:p>
        </w:tc>
      </w:tr>
      <w:tr>
        <w:trPr>
          <w:trHeight w:val="27"/>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4,525</w:t>
            </w:r>
          </w:p>
        </w:tc>
      </w:tr>
      <w:tr>
        <w:trPr>
          <w:trHeight w:val="27"/>
        </w:trPr>
        <w:tc>
          <w:tcPr>
            <w:tcW w:w="7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2019 to June 30, 2020 is due to revenue recognized of $4.5 million that was included in this item as of January 1, 2020, after which time it became earned and the balance was reduced, and to increases due to cash received, net of revenue recognized during the period related to contracts that commenced during the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2020, Centuri had 26 contracts with an original duration of more than one year. The aggregate amount of the transaction price allocated to the unsatisfied performance obligations of these contracts as of June 30, 2020 was $60.1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June 30, 2020</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2019</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216,268</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400" w:type="dxa"/>
            <w:vAlign w:val="bottom"/>
          </w:tcPr>
          <w:p>
            <w:pPr>
              <w:spacing w:after="0"/>
              <w:rPr>
                <w:sz w:val="21"/>
                <w:szCs w:val="21"/>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8,456</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receivable, gross</w:t>
            </w:r>
          </w:p>
        </w:tc>
        <w:tc>
          <w:tcPr>
            <w:tcW w:w="4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224,724</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89"/>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receivable, net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240,917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223,904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under the Equity Shelf Program for the three-month and life-to-date periods ended June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5"/>
              </w:rPr>
              <w:t>Life-To-Date Ended</w:t>
            </w: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60" w:type="dxa"/>
            <w:vAlign w:val="bottom"/>
            <w:gridSpan w:val="4"/>
          </w:tcPr>
          <w:p>
            <w:pPr>
              <w:jc w:val="right"/>
              <w:ind w:right="1430"/>
              <w:spacing w:after="0"/>
              <w:rPr>
                <w:sz w:val="20"/>
                <w:szCs w:val="20"/>
                <w:color w:val="auto"/>
              </w:rPr>
            </w:pPr>
            <w:r>
              <w:rPr>
                <w:rFonts w:ascii="Arial" w:cs="Arial" w:eastAsia="Arial" w:hAnsi="Arial"/>
                <w:sz w:val="18"/>
                <w:szCs w:val="18"/>
                <w:color w:val="auto"/>
              </w:rPr>
              <w:t>June 30, 2020</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49,999,986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174,337,234</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Less: agent commissions</w:t>
            </w:r>
          </w:p>
        </w:tc>
        <w:tc>
          <w:tcPr>
            <w:tcW w:w="1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(499,999)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(1,743,372)</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49,499,987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172,593,862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00" w:type="dxa"/>
            <w:vAlign w:val="bottom"/>
          </w:tcPr>
          <w:p>
            <w:pPr>
              <w:ind w:left="20"/>
              <w:spacing w:after="0"/>
              <w:rPr>
                <w:sz w:val="20"/>
                <w:szCs w:val="20"/>
                <w:color w:val="auto"/>
              </w:rPr>
            </w:pPr>
            <w:r>
              <w:rPr>
                <w:rFonts w:ascii="Arial" w:cs="Arial" w:eastAsia="Arial" w:hAnsi="Arial"/>
                <w:sz w:val="18"/>
                <w:szCs w:val="18"/>
                <w:color w:val="auto"/>
              </w:rPr>
              <w:t>Number of shares sold</w:t>
            </w:r>
          </w:p>
        </w:tc>
        <w:tc>
          <w:tcPr>
            <w:tcW w:w="180" w:type="dxa"/>
            <w:vAlign w:val="bottom"/>
          </w:tcPr>
          <w:p>
            <w:pPr>
              <w:spacing w:after="0"/>
              <w:rPr>
                <w:sz w:val="18"/>
                <w:szCs w:val="18"/>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720,212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2,199,157</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69.42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79.27</w:t>
            </w:r>
          </w:p>
        </w:tc>
      </w:tr>
      <w:tr>
        <w:trPr>
          <w:trHeight w:val="27"/>
        </w:trPr>
        <w:tc>
          <w:tcPr>
            <w:tcW w:w="7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2020, the Company had up to $125,662,766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the Company issued approximately 96,000 shares of common stock through the Restricted Stock/Unit Plan and Management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six months ended June 30, 2020, the Company issued 86,000 shares of common stock through the Dividend Reinvestment and Stock Purchase Plan, raising approximately $6 million.</w:t>
      </w:r>
    </w:p>
    <w:p>
      <w:pPr>
        <w:spacing w:after="0" w:line="200" w:lineRule="exact"/>
        <w:rPr>
          <w:sz w:val="20"/>
          <w:szCs w:val="20"/>
          <w:color w:val="auto"/>
        </w:rPr>
      </w:pPr>
    </w:p>
    <w:p>
      <w:pPr>
        <w:spacing w:after="0" w:line="3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debt is recognized in the Company’s and Southwest’s Condensed Consolidated Balance Sheets generally at the carrying value of the obligations outstanding. However, details surrounding the fair value and individual carrying values of instruments are discussed below or provided in the table that follows.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Southwest’s revolving credit facility (including commercial paper) and the variable-rate Industrial Development Revenue Bonds (“IDRBs”) approximate their carrying values. The fair values of the revolving credit facility and IDRBs are categorized as Level 1 based on the FASB’s fair value hierarchy, due to Southwest’s ability to access similar debt arrangements at measurement dates with comparable terms, including variable/market rates. Additionally, the borrowings by Southwest under its revolving credit facility are generally repaid quickly and the IDRBs have interest rates that reset frequently.</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its secured revolving credit and term loan facility and other debt obligations were based on a conventional discounted cash flow methodology utilizing current market pricing yield curves, across Centuri’s debt maturity spectrum, of other industrial bonds with an assumed credit rating comparable to the Company’s.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5"/>
              </w:rPr>
              <w:t>June 30, 2020</w:t>
            </w:r>
          </w:p>
        </w:tc>
      </w:tr>
      <w:tr>
        <w:trPr>
          <w:trHeight w:val="97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48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24"/>
                <w:szCs w:val="24"/>
                <w:color w:val="auto"/>
              </w:rPr>
            </w:pPr>
          </w:p>
        </w:tc>
        <w:tc>
          <w:tcPr>
            <w:tcW w:w="2060" w:type="dxa"/>
            <w:vAlign w:val="bottom"/>
            <w:gridSpan w:val="4"/>
          </w:tcPr>
          <w:p>
            <w:pPr>
              <w:jc w:val="right"/>
              <w:ind w:right="310"/>
              <w:spacing w:after="0"/>
              <w:rPr>
                <w:sz w:val="20"/>
                <w:szCs w:val="20"/>
                <w:color w:val="auto"/>
              </w:rPr>
            </w:pPr>
            <w:r>
              <w:rPr>
                <w:rFonts w:ascii="Arial" w:cs="Arial" w:eastAsia="Arial" w:hAnsi="Arial"/>
                <w:sz w:val="18"/>
                <w:szCs w:val="18"/>
                <w:color w:val="auto"/>
              </w:rPr>
              <w:t>December 31, 2019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Market</w:t>
            </w: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Value</w:t>
            </w:r>
          </w:p>
        </w:tc>
      </w:tr>
      <w:tr>
        <w:trPr>
          <w:trHeight w:val="27"/>
        </w:trPr>
        <w:tc>
          <w:tcPr>
            <w:tcW w:w="6400" w:type="dxa"/>
            <w:vAlign w:val="bottom"/>
            <w:tcBorders>
              <w:bottom w:val="single" w:sz="8" w:color="CCEEFF"/>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4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Notes, 4.45%, due 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125,591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125,000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126,673</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Notes, 6.1%, due 2041</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170,349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162,666</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Notes, 3.875%, due 2022</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261,013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258,550</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Notes, 4.875%, due 2043</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311,565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291,928</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Notes, 3.8%, due 2046</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328,707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308,307</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Notes, 3.7%, due 2028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336,504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320,685</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Notes, 4.15%, due 2049</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325,410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330,138</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Notes, 2.2%, due 2030</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462,708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8% Series, due 2026</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99,588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96,905</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27,500</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8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33,720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32,543</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9,156</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2,214,012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1,768,050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37"/>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150,000</w:t>
            </w:r>
          </w:p>
        </w:tc>
      </w:tr>
      <w:tr>
        <w:trPr>
          <w:trHeight w:val="27"/>
        </w:trPr>
        <w:tc>
          <w:tcPr>
            <w:tcW w:w="6400" w:type="dxa"/>
            <w:vAlign w:val="bottom"/>
            <w:tcBorders>
              <w:bottom w:val="single" w:sz="8" w:color="CCEEFF"/>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3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Variable-rate bonds: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Tax-exempt Series A, due 2028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2003 Series A, due 2038</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50,000</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2008 Series A, due 2038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w:t>
            </w:r>
          </w:p>
        </w:tc>
      </w:tr>
      <w:tr>
        <w:trPr>
          <w:trHeight w:val="243"/>
        </w:trPr>
        <w:tc>
          <w:tcPr>
            <w:tcW w:w="60" w:type="dxa"/>
            <w:vAlign w:val="bottom"/>
          </w:tcPr>
          <w:p>
            <w:pPr>
              <w:spacing w:after="0"/>
              <w:rPr>
                <w:sz w:val="21"/>
                <w:szCs w:val="21"/>
                <w:color w:val="auto"/>
              </w:rPr>
            </w:pPr>
          </w:p>
        </w:tc>
        <w:tc>
          <w:tcPr>
            <w:tcW w:w="6340" w:type="dxa"/>
            <w:vAlign w:val="bottom"/>
            <w:gridSpan w:val="3"/>
          </w:tcPr>
          <w:p>
            <w:pPr>
              <w:ind w:left="60"/>
              <w:spacing w:after="0"/>
              <w:rPr>
                <w:sz w:val="20"/>
                <w:szCs w:val="20"/>
                <w:color w:val="auto"/>
              </w:rPr>
            </w:pPr>
            <w:r>
              <w:rPr>
                <w:rFonts w:ascii="Arial" w:cs="Arial" w:eastAsia="Arial" w:hAnsi="Arial"/>
                <w:sz w:val="18"/>
                <w:szCs w:val="18"/>
                <w:color w:val="auto"/>
              </w:rPr>
              <w:t>2009 Series A, due 2039</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50,000</w:t>
            </w:r>
          </w:p>
        </w:tc>
      </w:tr>
      <w:tr>
        <w:trPr>
          <w:trHeight w:val="27"/>
        </w:trPr>
        <w:tc>
          <w:tcPr>
            <w:tcW w:w="60" w:type="dxa"/>
            <w:vAlign w:val="bottom"/>
          </w:tcPr>
          <w:p>
            <w:pPr>
              <w:spacing w:after="0"/>
              <w:rPr>
                <w:sz w:val="2"/>
                <w:szCs w:val="2"/>
                <w:color w:val="auto"/>
              </w:rPr>
            </w:pPr>
          </w:p>
        </w:tc>
        <w:tc>
          <w:tcPr>
            <w:tcW w:w="6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3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198,406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198,283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400" w:type="dxa"/>
            <w:vAlign w:val="bottom"/>
            <w:tcBorders>
              <w:bottom w:val="single" w:sz="8" w:color="CCEEFF"/>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3"/>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37"/>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2,287,418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7"/>
              </w:rPr>
              <w:t>1,991,333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400" w:type="dxa"/>
            <w:vAlign w:val="bottom"/>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17"/>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Centuri:</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Centuri term loan facility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230,991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235,906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244,812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252,182</w:t>
            </w:r>
          </w:p>
        </w:tc>
      </w:tr>
      <w:tr>
        <w:trPr>
          <w:trHeight w:val="27"/>
        </w:trPr>
        <w:tc>
          <w:tcPr>
            <w:tcW w:w="64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230,031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243,711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4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60,057</w:t>
            </w: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Centuri other debt obligations</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101,891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104,500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43,929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44,787</w:t>
            </w:r>
          </w:p>
        </w:tc>
      </w:tr>
      <w:tr>
        <w:trPr>
          <w:trHeight w:val="27"/>
        </w:trPr>
        <w:tc>
          <w:tcPr>
            <w:tcW w:w="64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6"/>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351,899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309,149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400" w:type="dxa"/>
            <w:vAlign w:val="bottom"/>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17"/>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Consolidated Southwest Gas Holdings, Inc.:</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2,412,418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2,116,333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40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Centuri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347,661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(163,512)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400" w:type="dxa"/>
            <w:vAlign w:val="bottom"/>
            <w:tcBorders>
              <w:bottom w:val="single" w:sz="8" w:color="CCEEFF"/>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89"/>
        </w:trPr>
        <w:tc>
          <w:tcPr>
            <w:tcW w:w="6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2,639,317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2,300,482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$400 million credit facility, for which it has designated $150 million of associated capacity as long-term debt and the remaining $250 million, for working capital purposes. Interest rates for the credit facility are calculated at either the LIBOR or an “alternate base rate,” plus in each case an applicable margin that is determined based on Southwest’s senior unsecured debt rating. At June 30, 2020, the applicable margin is 1% for loans bearing interest with reference to LIBOR and</w:t>
      </w:r>
    </w:p>
    <w:p>
      <w:pPr>
        <w:sectPr>
          <w:pgSz w:w="11900" w:h="16838" w:orient="portrait"/>
          <w:cols w:equalWidth="0" w:num="1">
            <w:col w:w="11240"/>
          </w:cols>
          <w:pgMar w:left="320" w:top="162" w:right="3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047"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 for loans bearing interest with reference to the alternative base rate. At June 30, 2020, there were no outstanding amounts on the long-term portion of the facility.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10, 2020, Southwest amended its credit facility agreement; total borrowing capacity under the amended agreement remains $400 million. The amended agreement extended the maturity date from March 2022 to April 2025. Under the amended agreement, the applicable margin will range from 0.750% to 1.500% for loans bearing interest with reference to LIBOR and from 0.000% to 0.500% for loans bearing interest with reference to an alternate base rate. Upon the occurrence of certain events providing for a transition away from LIBOR, or if LIBOR is no longer a widely recognized benchmark rate, Southwest may further amend the credit facility with a replacement rate as set forth in the amended agreement. Southwest is also required to pay a commitment fee on the unfunded portion of the commitments based on its senior unsecured long-term debt rating. The commitment fee ranges from 0.075% to 0.200% per annum. The amended agreement contains certain representations and warranties and affirmative and negative covenants similar to those contained in the previous agreement. In addition, the amended agreement contains a financial covenant requiring Southwest to maintain a ratio of funded debt to total capitalization not to exceed 0.70 to 1.00 as of the end of any quarter of any fiscal year.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June 30, 2020, no borrowings were outstanding under the commercial paper program.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2020, Southwest issued $450 million aggregate principal amount of 2.20% Senior Notes at a discount of 0.126%. The notes will mature in June 2030. A portion of the net proceeds was used to reduce borrowings under Southwest’s credit facility. Additionally, Southwest intends to use a portion of the net proceeds from the issuance of the 2.20% Senior Notes to redeem the 4.45% $125 million Notes due in December 2020. On July 31, 2020, Southwest provided notice to the holders of the 4.45% Notes of Southwest’s intention to redeem the notes in full on September 1, 2020 at a redemption price of 100% plus accrued and unpaid interest.</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has a $590 million senior secured revolving credit and term loan facility, scheduled to expire in November 2023. The capacity of the line of credit portion of the facility is $325 million; related amounts borrowed and repaid are available to be re-borrowed. The term loan portion of the facility has a limit of approximately $265 million. The $590 million facility is secured by substantially all of Centuri’s assets except those explicitly excluded under the terms of the agreement (including owned real estate and certain certificated vehicles). Centuri’s assets securing the facility at June 30, 2020 totaled $1.3 billion. At June 30, 2020, $298 million in borrowings were outstanding under Centuri’s combined secured revolving credit and term loan facility. Centuri also received proceeds of $70 million in equipment loans in 2020, which were used for repayment of outstanding borrowings on the line of credit.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primarily used for short-term financing needs. There was $58 million outstanding under this credit facility as of June 30, 2020.</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10, 2020, Southwest Gas Holdings, Inc. amended its existing credit facility, extending the maturity date to April 2025. The revolving borrowing capacity under the amended agreement remains at $100 million. Interest rates for the amended facility are calculated at either LIBOR or an “alternate base rate,” plus in each case an applicable margin that is determined based on Southwest Gas Holdings, Inc.’s senior unsecured long-term debt rating. The applicable margin under the amended agreement ranges from 0.750% to 1.500% for loans bearing interest with reference to LIBOR and from 0.000% to 0.500% for loans bearing interest with reference to the alternate base rate. Upon the occurrence of certain events providing for a transition away from LIBOR, or if LIBOR is no longer a widely recognized benchmark rate, Southwest Gas Holdings, Inc. may amend the credit facility agreement with a replacement rate, as set forth in the amended agreement. Southwest Gas Holdings, Inc. is also required to pay a commitment fee on the unfunded portion of the commitments based on its senior unsecured long-term debt rating. The commitment fee ranges from 0.075% to 0.200% per annum. The amended agreement contains certain representations and warranties and affirmative and negative covenants similar to those contained in the previous agreement. In addition, the amended agreement contains a financial covenant requiring Southwest Gas Holdings, Inc. to maintain a ratio of funded debt to total capitalization not to exceed 0.70 to 1.00 as of the end of any quarter of any fiscal year.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discussed previously, under Southwest’s $400 million credit facility, $250 million has been designated by management for working capital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Southwest had no short-term borrowings outstanding at June 30, 2020 under this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 is currently anticipated that LIBOR may be discontinued as a benchmark or reference rate after 2021. As of June 30, 2020, $58 million and $188 million, respectively, for the holding company and Centuri, was outstanding under credit facilities whereby interest was with reference to LIBOR and for which maturity dates extend beyond 2021; no such borrowings were outstanding for Southwest. As of June 30, 2020, these LIBOR-based borrowings approximately 9% of total debt (including current maturities) for the Company overall. Southwest and Southwest Gas Holdings, Inc., in accordance with the April 2020 amendments to their respective facilities, may make further amendments with replacement rates if LIBOR is discontinued. However, replacement rates are not currently determinable. In order to mitigate the impact of a discontinuance on the Company’s and Southwest’s financial condition and results of operations, management will continue to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4"/>
                <w:szCs w:val="14"/>
                <w:color w:val="auto"/>
              </w:rPr>
              <w:t>Three Months Ended June 30, 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color w:val="auto"/>
              </w:rPr>
              <w:t>Three Months Ended June 30, 2019</w:t>
            </w: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3"/>
                <w:szCs w:val="13"/>
                <w:color w:val="auto"/>
              </w:rPr>
            </w:pPr>
          </w:p>
        </w:tc>
        <w:tc>
          <w:tcPr>
            <w:tcW w:w="700" w:type="dxa"/>
            <w:vAlign w:val="bottom"/>
          </w:tcPr>
          <w:p>
            <w:pPr>
              <w:jc w:val="center"/>
              <w:ind w:right="68"/>
              <w:spacing w:after="0" w:line="156" w:lineRule="exact"/>
              <w:rPr>
                <w:sz w:val="20"/>
                <w:szCs w:val="20"/>
                <w:color w:val="auto"/>
              </w:rPr>
            </w:pPr>
            <w:r>
              <w:rPr>
                <w:rFonts w:ascii="Arial" w:cs="Arial" w:eastAsia="Arial" w:hAnsi="Arial"/>
                <w:sz w:val="14"/>
                <w:szCs w:val="14"/>
                <w:color w:val="auto"/>
              </w:rPr>
              <w:t>Net-of-</w:t>
            </w: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5"/>
              </w:rPr>
              <w:t>Tax</w:t>
            </w:r>
          </w:p>
        </w:tc>
      </w:tr>
      <w:tr>
        <w:trPr>
          <w:trHeight w:val="188"/>
        </w:trPr>
        <w:tc>
          <w:tcPr>
            <w:tcW w:w="532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r>
      <w:tr>
        <w:trPr>
          <w:trHeight w:val="188"/>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197"/>
        </w:trPr>
        <w:tc>
          <w:tcPr>
            <w:tcW w:w="5320" w:type="dxa"/>
            <w:vAlign w:val="bottom"/>
          </w:tcPr>
          <w:p>
            <w:pPr>
              <w:ind w:left="12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242</w:t>
            </w:r>
          </w:p>
        </w:tc>
      </w:tr>
      <w:tr>
        <w:trPr>
          <w:trHeight w:val="208"/>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4,441</w:t>
            </w:r>
          </w:p>
        </w:tc>
      </w:tr>
      <w:tr>
        <w:trPr>
          <w:trHeight w:val="197"/>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(4,064)</w:t>
            </w:r>
          </w:p>
        </w:tc>
      </w:tr>
      <w:tr>
        <w:trPr>
          <w:trHeight w:val="202"/>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619</w:t>
            </w:r>
          </w:p>
        </w:tc>
      </w:tr>
      <w:tr>
        <w:trPr>
          <w:trHeight w:val="196"/>
        </w:trPr>
        <w:tc>
          <w:tcPr>
            <w:tcW w:w="532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636</w:t>
            </w:r>
          </w:p>
        </w:tc>
      </w:tr>
      <w:tr>
        <w:trPr>
          <w:trHeight w:val="196"/>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636</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1,255</w:t>
            </w:r>
          </w:p>
        </w:tc>
      </w:tr>
      <w:tr>
        <w:trPr>
          <w:trHeight w:val="176"/>
        </w:trPr>
        <w:tc>
          <w:tcPr>
            <w:tcW w:w="53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787</w:t>
            </w:r>
          </w:p>
        </w:tc>
      </w:tr>
      <w:tr>
        <w:trPr>
          <w:trHeight w:val="196"/>
        </w:trPr>
        <w:tc>
          <w:tcPr>
            <w:tcW w:w="532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787</w:t>
            </w:r>
          </w:p>
        </w:tc>
      </w:tr>
      <w:tr>
        <w:trPr>
          <w:trHeight w:val="227"/>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2,042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0"/>
        </w:trPr>
        <w:tc>
          <w:tcPr>
            <w:tcW w:w="5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color w:val="auto"/>
              </w:rPr>
              <w:t>Six Months Ended June 30, 2020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color w:val="auto"/>
              </w:rPr>
              <w:t>Six Months Ended June 30, 2019</w:t>
            </w: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3"/>
                <w:szCs w:val="13"/>
                <w:color w:val="auto"/>
              </w:rPr>
            </w:pPr>
          </w:p>
        </w:tc>
        <w:tc>
          <w:tcPr>
            <w:tcW w:w="700" w:type="dxa"/>
            <w:vAlign w:val="bottom"/>
          </w:tcPr>
          <w:p>
            <w:pPr>
              <w:jc w:val="center"/>
              <w:ind w:right="68"/>
              <w:spacing w:after="0" w:line="156" w:lineRule="exact"/>
              <w:rPr>
                <w:sz w:val="20"/>
                <w:szCs w:val="20"/>
                <w:color w:val="auto"/>
              </w:rPr>
            </w:pPr>
            <w:r>
              <w:rPr>
                <w:rFonts w:ascii="Arial" w:cs="Arial" w:eastAsia="Arial" w:hAnsi="Arial"/>
                <w:sz w:val="14"/>
                <w:szCs w:val="14"/>
                <w:color w:val="auto"/>
              </w:rPr>
              <w:t>Net-of-</w:t>
            </w:r>
          </w:p>
        </w:tc>
      </w:t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85"/>
              </w:rPr>
              <w:t>Tax</w:t>
            </w:r>
          </w:p>
        </w:tc>
      </w:tr>
      <w:tr>
        <w:trPr>
          <w:trHeight w:val="188"/>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r>
      <w:tr>
        <w:trPr>
          <w:trHeight w:val="18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r>
      <w:tr>
        <w:trPr>
          <w:trHeight w:val="196"/>
        </w:trPr>
        <w:tc>
          <w:tcPr>
            <w:tcW w:w="5320" w:type="dxa"/>
            <w:vAlign w:val="bottom"/>
          </w:tcPr>
          <w:p>
            <w:pPr>
              <w:ind w:left="12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483</w:t>
            </w:r>
          </w:p>
        </w:tc>
      </w:tr>
      <w:tr>
        <w:trPr>
          <w:trHeight w:val="20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8,883</w:t>
            </w:r>
          </w:p>
        </w:tc>
      </w:tr>
      <w:tr>
        <w:trPr>
          <w:trHeight w:val="196"/>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(16,790)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(12,760)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9"/>
              </w:rPr>
              <w:t>(10,695)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(8,128)</w:t>
            </w:r>
          </w:p>
        </w:tc>
      </w:tr>
      <w:tr>
        <w:trPr>
          <w:trHeight w:val="202"/>
        </w:trPr>
        <w:tc>
          <w:tcPr>
            <w:tcW w:w="5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1,238</w:t>
            </w:r>
          </w:p>
        </w:tc>
      </w:tr>
      <w:tr>
        <w:trPr>
          <w:trHeight w:val="196"/>
        </w:trPr>
        <w:tc>
          <w:tcPr>
            <w:tcW w:w="532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1,271</w:t>
            </w:r>
          </w:p>
        </w:tc>
      </w:tr>
      <w:tr>
        <w:trPr>
          <w:trHeight w:val="19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1,271</w:t>
            </w:r>
          </w:p>
        </w:tc>
      </w:tr>
      <w:tr>
        <w:trPr>
          <w:trHeight w:val="202"/>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2,509</w:t>
            </w:r>
          </w:p>
        </w:tc>
      </w:tr>
      <w:tr>
        <w:trPr>
          <w:trHeight w:val="177"/>
        </w:trPr>
        <w:tc>
          <w:tcPr>
            <w:tcW w:w="53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8"/>
        </w:trPr>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1,578</w:t>
            </w:r>
          </w:p>
        </w:tc>
      </w:tr>
      <w:tr>
        <w:trPr>
          <w:trHeight w:val="190"/>
        </w:trPr>
        <w:tc>
          <w:tcPr>
            <w:tcW w:w="532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1,578</w:t>
            </w:r>
          </w:p>
        </w:tc>
      </w:tr>
      <w:tr>
        <w:trPr>
          <w:trHeight w:val="221"/>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4,087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3"/>
          </w:tcPr>
          <w:p>
            <w:pPr>
              <w:jc w:val="center"/>
              <w:ind w:left="2"/>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June 30, 2020</w:t>
            </w:r>
          </w:p>
        </w:tc>
      </w:tr>
      <w:tr>
        <w:trPr>
          <w:trHeight w:val="933"/>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2"/>
              </w:rPr>
              <w:t>Twelve Months Ended June 30, 2020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2"/>
              </w:rPr>
              <w:t>Twelve Months Ended June 30, 2019</w:t>
            </w:r>
          </w:p>
        </w:tc>
      </w:tr>
      <w:tr>
        <w:trPr>
          <w:trHeight w:val="156"/>
        </w:trPr>
        <w:tc>
          <w:tcPr>
            <w:tcW w:w="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6"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8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3"/>
                <w:szCs w:val="13"/>
                <w:color w:val="auto"/>
              </w:rPr>
            </w:pPr>
          </w:p>
        </w:tc>
        <w:tc>
          <w:tcPr>
            <w:tcW w:w="980" w:type="dxa"/>
            <w:vAlign w:val="bottom"/>
          </w:tcPr>
          <w:p>
            <w:pPr>
              <w:jc w:val="center"/>
              <w:ind w:right="47"/>
              <w:spacing w:after="0" w:line="156"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68"/>
              <w:spacing w:after="0" w:line="156" w:lineRule="exact"/>
              <w:rPr>
                <w:sz w:val="20"/>
                <w:szCs w:val="20"/>
                <w:color w:val="auto"/>
              </w:rPr>
            </w:pPr>
            <w:r>
              <w:rPr>
                <w:rFonts w:ascii="Arial" w:cs="Arial" w:eastAsia="Arial" w:hAnsi="Arial"/>
                <w:sz w:val="14"/>
                <w:szCs w:val="14"/>
                <w:color w:val="auto"/>
                <w:w w:val="98"/>
              </w:rPr>
              <w:t>Net-of-</w:t>
            </w: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980" w:type="dxa"/>
            <w:vAlign w:val="bottom"/>
          </w:tcPr>
          <w:p>
            <w:pPr>
              <w:jc w:val="center"/>
              <w:ind w:right="47"/>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5300" w:type="dxa"/>
            <w:vAlign w:val="bottom"/>
            <w:gridSpan w:val="4"/>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980" w:type="dxa"/>
            <w:vAlign w:val="bottom"/>
          </w:tcPr>
          <w:p>
            <w:pPr>
              <w:jc w:val="center"/>
              <w:ind w:right="47"/>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w w:val="99"/>
              </w:rPr>
              <w:t>Amount</w:t>
            </w:r>
          </w:p>
        </w:tc>
      </w:tr>
      <w:tr>
        <w:trPr>
          <w:trHeight w:val="188"/>
        </w:trPr>
        <w:tc>
          <w:tcPr>
            <w:tcW w:w="53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5240" w:type="dxa"/>
            <w:vAlign w:val="bottom"/>
            <w:gridSpan w:val="3"/>
          </w:tcPr>
          <w:p>
            <w:pPr>
              <w:ind w:left="6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(71,087)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17,061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(54,026)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(20,426)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7"/>
              <w:spacing w:after="0"/>
              <w:rPr>
                <w:sz w:val="20"/>
                <w:szCs w:val="20"/>
                <w:color w:val="auto"/>
              </w:rPr>
            </w:pPr>
            <w:r>
              <w:rPr>
                <w:rFonts w:ascii="Arial" w:cs="Arial" w:eastAsia="Arial" w:hAnsi="Arial"/>
                <w:sz w:val="14"/>
                <w:szCs w:val="14"/>
                <w:color w:val="auto"/>
              </w:rPr>
              <w:t>4,902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w w:val="99"/>
              </w:rPr>
              <w:t>(15,524)</w:t>
            </w:r>
          </w:p>
        </w:tc>
      </w:tr>
      <w:tr>
        <w:trPr>
          <w:trHeight w:val="208"/>
        </w:trPr>
        <w:tc>
          <w:tcPr>
            <w:tcW w:w="6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w:t>
            </w:r>
          </w:p>
        </w:tc>
      </w:tr>
      <w:tr>
        <w:trPr>
          <w:trHeight w:val="197"/>
        </w:trPr>
        <w:tc>
          <w:tcPr>
            <w:tcW w:w="60" w:type="dxa"/>
            <w:vAlign w:val="bottom"/>
          </w:tcPr>
          <w:p>
            <w:pPr>
              <w:spacing w:after="0"/>
              <w:rPr>
                <w:sz w:val="17"/>
                <w:szCs w:val="17"/>
                <w:color w:val="auto"/>
              </w:rPr>
            </w:pPr>
          </w:p>
        </w:tc>
        <w:tc>
          <w:tcPr>
            <w:tcW w:w="5240" w:type="dxa"/>
            <w:vAlign w:val="bottom"/>
            <w:gridSpan w:val="3"/>
          </w:tcPr>
          <w:p>
            <w:pPr>
              <w:ind w:left="6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30,603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23,258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28,497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7"/>
              <w:spacing w:after="0"/>
              <w:rPr>
                <w:sz w:val="20"/>
                <w:szCs w:val="20"/>
                <w:color w:val="auto"/>
              </w:rPr>
            </w:pPr>
            <w:r>
              <w:rPr>
                <w:rFonts w:ascii="Arial" w:cs="Arial" w:eastAsia="Arial" w:hAnsi="Arial"/>
                <w:sz w:val="14"/>
                <w:szCs w:val="14"/>
                <w:color w:val="auto"/>
              </w:rPr>
              <w:t>(6,839)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21,658</w:t>
            </w:r>
          </w:p>
        </w:tc>
      </w:tr>
      <w:tr>
        <w:trPr>
          <w:trHeight w:val="208"/>
        </w:trPr>
        <w:tc>
          <w:tcPr>
            <w:tcW w:w="6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6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6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23,445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(2,895)</w:t>
            </w:r>
          </w:p>
        </w:tc>
      </w:tr>
      <w:tr>
        <w:trPr>
          <w:trHeight w:val="202"/>
        </w:trPr>
        <w:tc>
          <w:tcPr>
            <w:tcW w:w="6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4,229</w:t>
            </w:r>
          </w:p>
        </w:tc>
      </w:tr>
      <w:tr>
        <w:trPr>
          <w:trHeight w:val="196"/>
        </w:trPr>
        <w:tc>
          <w:tcPr>
            <w:tcW w:w="5300" w:type="dxa"/>
            <w:vAlign w:val="bottom"/>
            <w:gridSpan w:val="4"/>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2,541</w:t>
            </w:r>
          </w:p>
        </w:tc>
      </w:tr>
      <w:tr>
        <w:trPr>
          <w:trHeight w:val="196"/>
        </w:trPr>
        <w:tc>
          <w:tcPr>
            <w:tcW w:w="6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(803)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2,541</w:t>
            </w:r>
          </w:p>
        </w:tc>
      </w:tr>
      <w:tr>
        <w:trPr>
          <w:trHeight w:val="202"/>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8,908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6,770</w:t>
            </w:r>
          </w:p>
        </w:tc>
      </w:tr>
      <w:tr>
        <w:trPr>
          <w:trHeight w:val="177"/>
        </w:trPr>
        <w:tc>
          <w:tcPr>
            <w:tcW w:w="5300" w:type="dxa"/>
            <w:vAlign w:val="bottom"/>
            <w:gridSpan w:val="4"/>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3"/>
        </w:trPr>
        <w:tc>
          <w:tcPr>
            <w:tcW w:w="6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169</w:t>
            </w:r>
          </w:p>
        </w:tc>
      </w:tr>
      <w:tr>
        <w:trPr>
          <w:trHeight w:val="196"/>
        </w:trPr>
        <w:tc>
          <w:tcPr>
            <w:tcW w:w="6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169</w:t>
            </w:r>
          </w:p>
        </w:tc>
      </w:tr>
      <w:tr>
        <w:trPr>
          <w:trHeight w:val="222"/>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6,939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the earnings of Centuri’s Canadian subsidiaries in Canada,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Approximately $2 million of realized losses (net of tax) related to Southwest’s forward-starting interest rate swaps (“FSIRS”), included in AOCI at June 30, 2020, will be reclassified into interest expense within the next 12 months as the related interest payments on long-term debt occur.</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5"/>
          </w:tcPr>
          <w:p>
            <w:pPr>
              <w:jc w:val="center"/>
              <w:spacing w:after="0"/>
              <w:rPr>
                <w:sz w:val="20"/>
                <w:szCs w:val="20"/>
                <w:color w:val="auto"/>
              </w:rPr>
            </w:pPr>
            <w:r>
              <w:rPr>
                <w:rFonts w:ascii="Arial" w:cs="Arial" w:eastAsia="Arial" w:hAnsi="Arial"/>
                <w:sz w:val="13"/>
                <w:szCs w:val="13"/>
                <w:color w:val="auto"/>
                <w:w w:val="89"/>
              </w:rPr>
              <w:t>Defined Benefit Plans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83"/>
              </w:rPr>
              <w:t>FSIRS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7"/>
          </w:tcPr>
          <w:p>
            <w:pPr>
              <w:jc w:val="center"/>
              <w:ind w:right="240"/>
              <w:spacing w:after="0"/>
              <w:rPr>
                <w:sz w:val="20"/>
                <w:szCs w:val="20"/>
                <w:color w:val="auto"/>
              </w:rPr>
            </w:pPr>
            <w:r>
              <w:rPr>
                <w:rFonts w:ascii="Arial" w:cs="Arial" w:eastAsia="Arial" w:hAnsi="Arial"/>
                <w:sz w:val="13"/>
                <w:szCs w:val="13"/>
                <w:color w:val="auto"/>
                <w:w w:val="88"/>
              </w:rPr>
              <w:t>Foreign Currency Items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right="240"/>
              <w:spacing w:after="0" w:line="148" w:lineRule="exact"/>
              <w:rPr>
                <w:sz w:val="20"/>
                <w:szCs w:val="20"/>
                <w:color w:val="auto"/>
              </w:rPr>
            </w:pPr>
            <w:r>
              <w:rPr>
                <w:rFonts w:ascii="Arial" w:cs="Arial" w:eastAsia="Arial" w:hAnsi="Arial"/>
                <w:sz w:val="13"/>
                <w:szCs w:val="13"/>
                <w:color w:val="auto"/>
                <w:w w:val="82"/>
              </w:rPr>
              <w:t>Tax</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240"/>
              <w:spacing w:after="0" w:line="135" w:lineRule="exact"/>
              <w:rPr>
                <w:sz w:val="20"/>
                <w:szCs w:val="20"/>
                <w:color w:val="auto"/>
              </w:rPr>
            </w:pPr>
            <w:r>
              <w:rPr>
                <w:rFonts w:ascii="Arial" w:cs="Arial" w:eastAsia="Arial" w:hAnsi="Arial"/>
                <w:sz w:val="13"/>
                <w:szCs w:val="13"/>
                <w:color w:val="auto"/>
                <w:w w:val="84"/>
              </w:rPr>
              <w:t>(Expense)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(Thousands of dollars)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9"/>
              </w:rPr>
              <w:t>Benefit (4)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After-Tax</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87"/>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9"/>
              </w:rPr>
              <w:t>Benefit (4)</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After-Tax</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90"/>
              </w:rPr>
              <w:t>Before-Tax</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3"/>
              </w:rPr>
              <w:t>Benefit</w:t>
            </w: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After-Tax</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2019</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1"/>
              </w:rPr>
              <w:t>$ (66,601)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15,985</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4"/>
              </w:rPr>
              <w:t>(50,616)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2"/>
              </w:rPr>
              <w:t>(5,966)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2"/>
              </w:rPr>
              <w:t>$ (4,535)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2"/>
              </w:rPr>
              <w:t>(1,581)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2"/>
              </w:rPr>
              <w:t>$ (1,581)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(56,732)</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Translation adjustments</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(2,211)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140"/>
              <w:spacing w:after="0" w:line="108" w:lineRule="exact"/>
              <w:rPr>
                <w:sz w:val="20"/>
                <w:szCs w:val="20"/>
                <w:color w:val="auto"/>
              </w:rPr>
            </w:pPr>
            <w:r>
              <w:rPr>
                <w:rFonts w:ascii="Arial" w:cs="Arial" w:eastAsia="Arial" w:hAnsi="Arial"/>
                <w:sz w:val="12"/>
                <w:szCs w:val="12"/>
                <w:color w:val="auto"/>
              </w:rPr>
              <w:t>Other comprehensive income (loss) before</w:t>
            </w:r>
          </w:p>
        </w:tc>
        <w:tc>
          <w:tcPr>
            <w:tcW w:w="6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92"/>
              </w:rPr>
              <w:t>(2,211)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(2,211)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reclassifications</w:t>
            </w: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3"/>
                <w:szCs w:val="13"/>
                <w:color w:val="auto"/>
              </w:rPr>
              <w:t>FSIRS amounts reclassified from AOCI (1)</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1,673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1,271</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(2)</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81"/>
        </w:trPr>
        <w:tc>
          <w:tcPr>
            <w:tcW w:w="3160" w:type="dxa"/>
            <w:vAlign w:val="bottom"/>
          </w:tcPr>
          <w:p>
            <w:pPr>
              <w:ind w:left="20"/>
              <w:spacing w:after="0"/>
              <w:rPr>
                <w:sz w:val="20"/>
                <w:szCs w:val="20"/>
                <w:color w:val="auto"/>
              </w:rPr>
            </w:pPr>
            <w:r>
              <w:rPr>
                <w:rFonts w:ascii="Arial" w:cs="Arial" w:eastAsia="Arial" w:hAnsi="Arial"/>
                <w:sz w:val="13"/>
                <w:szCs w:val="13"/>
                <w:color w:val="auto"/>
              </w:rPr>
              <w:t>Amortization of net actuarial loss (2)</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18,915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(4,540)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14,375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14,375</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(3)</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(16,790)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4,030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4"/>
              </w:rPr>
              <w:t>(12,760)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(12,760)</w:t>
            </w:r>
          </w:p>
        </w:tc>
        <w:tc>
          <w:tcPr>
            <w:tcW w:w="0" w:type="dxa"/>
            <w:vAlign w:val="bottom"/>
          </w:tcPr>
          <w:p>
            <w:pPr>
              <w:spacing w:after="0"/>
              <w:rPr>
                <w:sz w:val="1"/>
                <w:szCs w:val="1"/>
                <w:color w:val="auto"/>
              </w:rPr>
            </w:pPr>
          </w:p>
        </w:tc>
      </w:tr>
      <w:tr>
        <w:trPr>
          <w:trHeight w:val="101"/>
        </w:trPr>
        <w:tc>
          <w:tcPr>
            <w:tcW w:w="3160" w:type="dxa"/>
            <w:vAlign w:val="bottom"/>
          </w:tcPr>
          <w:p>
            <w:pPr>
              <w:ind w:left="20"/>
              <w:spacing w:after="0" w:line="102" w:lineRule="exact"/>
              <w:rPr>
                <w:sz w:val="20"/>
                <w:szCs w:val="20"/>
                <w:color w:val="auto"/>
              </w:rPr>
            </w:pPr>
            <w:r>
              <w:rPr>
                <w:rFonts w:ascii="Arial" w:cs="Arial" w:eastAsia="Arial" w:hAnsi="Arial"/>
                <w:sz w:val="10"/>
                <w:szCs w:val="10"/>
                <w:color w:val="auto"/>
              </w:rPr>
              <w:t>Net current period other comprehensive income (loss)</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2,703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(648)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1,673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8"/>
                <w:szCs w:val="8"/>
                <w:color w:val="auto"/>
              </w:rPr>
            </w:pPr>
          </w:p>
        </w:tc>
        <w:tc>
          <w:tcPr>
            <w:tcW w:w="620" w:type="dxa"/>
            <w:vAlign w:val="bottom"/>
            <w:vMerge w:val="restart"/>
          </w:tcPr>
          <w:p>
            <w:pPr>
              <w:jc w:val="right"/>
              <w:ind w:right="7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color w:val="auto"/>
                <w:w w:val="92"/>
              </w:rPr>
              <w:t>(2,211)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8"/>
                <w:szCs w:val="8"/>
                <w:color w:val="auto"/>
              </w:rPr>
            </w:pPr>
          </w:p>
        </w:tc>
        <w:tc>
          <w:tcPr>
            <w:tcW w:w="600" w:type="dxa"/>
            <w:vAlign w:val="bottom"/>
            <w:vMerge w:val="restart"/>
          </w:tcPr>
          <w:p>
            <w:pPr>
              <w:jc w:val="right"/>
              <w:ind w:right="37"/>
              <w:spacing w:after="0"/>
              <w:rPr>
                <w:sz w:val="20"/>
                <w:szCs w:val="20"/>
                <w:color w:val="auto"/>
              </w:rPr>
            </w:pPr>
            <w:r>
              <w:rPr>
                <w:rFonts w:ascii="Arial" w:cs="Arial" w:eastAsia="Arial" w:hAnsi="Arial"/>
                <w:sz w:val="13"/>
                <w:szCs w:val="13"/>
                <w:color w:val="auto"/>
              </w:rPr>
              <w:t>(2,211)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color w:val="auto"/>
              </w:rPr>
              <w:t>1,115</w:t>
            </w: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attributable to Southwest Gas Holdings, Inc.</w:t>
            </w: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Balance AOCI June 30, 2020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1"/>
              </w:rPr>
              <w:t>$ (63,898)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15,337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(48,561)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(4,293)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2"/>
              </w:rPr>
              <w:t>$ (3,264)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(3,792)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 (3,792)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(55,617)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87"/>
              </w:rPr>
              <w:t>Defined Benefit Plans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FSIRS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(Thousands of dollars)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Before-Tax</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9"/>
              </w:rPr>
              <w:t>Benefit (8)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After-Tax</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Before-Tax</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89"/>
              </w:rPr>
              <w:t>Benefit (8)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After-Tax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AOCI</w:t>
            </w: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(66,601)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15,985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9"/>
              </w:rPr>
              <w:t>(50,616)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(5,966)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(4,535)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4"/>
              </w:rPr>
              <w:t>(55,151)</w:t>
            </w:r>
          </w:p>
        </w:tc>
      </w:tr>
      <w:tr>
        <w:trPr>
          <w:trHeight w:val="175"/>
        </w:trPr>
        <w:tc>
          <w:tcPr>
            <w:tcW w:w="5020" w:type="dxa"/>
            <w:vAlign w:val="bottom"/>
          </w:tcPr>
          <w:p>
            <w:pPr>
              <w:ind w:left="20"/>
              <w:spacing w:after="0"/>
              <w:rPr>
                <w:sz w:val="20"/>
                <w:szCs w:val="20"/>
                <w:color w:val="auto"/>
              </w:rPr>
            </w:pPr>
            <w:r>
              <w:rPr>
                <w:rFonts w:ascii="Arial" w:cs="Arial" w:eastAsia="Arial" w:hAnsi="Arial"/>
                <w:sz w:val="13"/>
                <w:szCs w:val="13"/>
                <w:color w:val="auto"/>
              </w:rPr>
              <w:t>FSIRS amounts reclassified from AOCI (5)</w:t>
            </w: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1,271</w:t>
            </w:r>
          </w:p>
        </w:tc>
      </w:tr>
      <w:tr>
        <w:trPr>
          <w:trHeight w:val="197"/>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440</w:t>
            </w:r>
          </w:p>
        </w:tc>
      </w:tr>
      <w:tr>
        <w:trPr>
          <w:trHeight w:val="181"/>
        </w:trPr>
        <w:tc>
          <w:tcPr>
            <w:tcW w:w="5020" w:type="dxa"/>
            <w:vAlign w:val="bottom"/>
          </w:tcPr>
          <w:p>
            <w:pPr>
              <w:ind w:left="20"/>
              <w:spacing w:after="0"/>
              <w:rPr>
                <w:sz w:val="20"/>
                <w:szCs w:val="20"/>
                <w:color w:val="auto"/>
              </w:rPr>
            </w:pPr>
            <w:r>
              <w:rPr>
                <w:rFonts w:ascii="Arial" w:cs="Arial" w:eastAsia="Arial" w:hAnsi="Arial"/>
                <w:sz w:val="13"/>
                <w:szCs w:val="13"/>
                <w:color w:val="auto"/>
              </w:rPr>
              <w:t>Amortization of net actuarial loss (6)</w:t>
            </w: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18,915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(4,540)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14,375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14,375</w:t>
            </w:r>
          </w:p>
        </w:tc>
      </w:tr>
      <w:tr>
        <w:trPr>
          <w:trHeight w:val="197"/>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(7)</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(16,790)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9"/>
              </w:rPr>
              <w:t>(12,760)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(12,760)</w:t>
            </w:r>
          </w:p>
        </w:tc>
      </w:tr>
      <w:tr>
        <w:trPr>
          <w:trHeight w:val="176"/>
        </w:trPr>
        <w:tc>
          <w:tcPr>
            <w:tcW w:w="502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w w:val="95"/>
              </w:rPr>
              <w:t>Net current period other comprehensive income attributable to Southwest Gas Corporation</w:t>
            </w: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(648)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2,055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1,673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(402)</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1,271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3,326</w:t>
            </w: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Balance AOCI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(63,898)</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9"/>
              </w:rPr>
              <w:t>(48,561)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4"/>
              </w:rPr>
              <w:t>(51,825)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00" w:hanging="230"/>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2"/>
                <w:szCs w:val="22"/>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2"/>
                <w:szCs w:val="22"/>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43"/>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(483,074)</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(3,641)</w:t>
            </w: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403,324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420,114</w:t>
            </w:r>
          </w:p>
        </w:tc>
      </w:tr>
      <w:tr>
        <w:trPr>
          <w:trHeight w:val="264"/>
        </w:trPr>
        <w:tc>
          <w:tcPr>
            <w:tcW w:w="710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(63,898)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(66,601)</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2"/>
                <w:szCs w:val="22"/>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22"/>
                <w:szCs w:val="22"/>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2019</w:t>
            </w:r>
          </w:p>
        </w:tc>
      </w:tr>
      <w:tr>
        <w:trPr>
          <w:trHeight w:val="28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17,364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15,235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22"/>
                <w:szCs w:val="22"/>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3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457,890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720,324</w:t>
            </w:r>
          </w:p>
        </w:tc>
        <w:tc>
          <w:tcPr>
            <w:tcW w:w="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36,923</w:t>
            </w:r>
          </w:p>
        </w:tc>
        <w:tc>
          <w:tcPr>
            <w:tcW w:w="40" w:type="dxa"/>
            <w:vAlign w:val="bottom"/>
          </w:tcPr>
          <w:p>
            <w:pPr>
              <w:spacing w:after="0"/>
              <w:rPr>
                <w:sz w:val="23"/>
                <w:szCs w:val="23"/>
                <w:color w:val="auto"/>
              </w:rPr>
            </w:pPr>
          </w:p>
        </w:tc>
      </w:tr>
      <w:tr>
        <w:trPr>
          <w:trHeight w:val="263"/>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262,434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494,813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757,247</w:t>
            </w:r>
          </w:p>
        </w:tc>
        <w:tc>
          <w:tcPr>
            <w:tcW w:w="40" w:type="dxa"/>
            <w:vAlign w:val="bottom"/>
          </w:tcPr>
          <w:p>
            <w:pPr>
              <w:spacing w:after="0"/>
              <w:rPr>
                <w:sz w:val="22"/>
                <w:szCs w:val="22"/>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26,267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37,965</w:t>
            </w:r>
          </w:p>
        </w:tc>
        <w:tc>
          <w:tcPr>
            <w:tcW w:w="40" w:type="dxa"/>
            <w:vAlign w:val="bottom"/>
          </w:tcPr>
          <w:p>
            <w:pPr>
              <w:spacing w:after="0"/>
              <w:rPr>
                <w:sz w:val="24"/>
                <w:szCs w:val="24"/>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405,218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663,929</w:t>
            </w:r>
          </w:p>
        </w:tc>
        <w:tc>
          <w:tcPr>
            <w:tcW w:w="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49,082</w:t>
            </w:r>
          </w:p>
        </w:tc>
        <w:tc>
          <w:tcPr>
            <w:tcW w:w="40" w:type="dxa"/>
            <w:vAlign w:val="bottom"/>
          </w:tcPr>
          <w:p>
            <w:pPr>
              <w:spacing w:after="0"/>
              <w:rPr>
                <w:sz w:val="23"/>
                <w:szCs w:val="23"/>
                <w:color w:val="auto"/>
              </w:rPr>
            </w:pPr>
          </w:p>
        </w:tc>
      </w:tr>
      <w:tr>
        <w:trPr>
          <w:trHeight w:val="264"/>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454,300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713,011</w:t>
            </w:r>
          </w:p>
        </w:tc>
        <w:tc>
          <w:tcPr>
            <w:tcW w:w="40" w:type="dxa"/>
            <w:vAlign w:val="bottom"/>
          </w:tcPr>
          <w:p>
            <w:pPr>
              <w:spacing w:after="0"/>
              <w:rPr>
                <w:sz w:val="22"/>
                <w:szCs w:val="22"/>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18,918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22,056</w:t>
            </w:r>
          </w:p>
        </w:tc>
        <w:tc>
          <w:tcPr>
            <w:tcW w:w="40" w:type="dxa"/>
            <w:vAlign w:val="bottom"/>
          </w:tcPr>
          <w:p>
            <w:pPr>
              <w:spacing w:after="0"/>
              <w:rPr>
                <w:sz w:val="24"/>
                <w:szCs w:val="24"/>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rPr>
              <w:t>Utility</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Natural Gas</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Infrastructure</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Operations</w:t>
            </w:r>
          </w:p>
        </w:tc>
        <w:tc>
          <w:tcPr>
            <w:tcW w:w="20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Services</w:t>
            </w:r>
          </w:p>
        </w:tc>
        <w:tc>
          <w:tcPr>
            <w:tcW w:w="320" w:type="dxa"/>
            <w:vAlign w:val="bottom"/>
          </w:tcPr>
          <w:p>
            <w:pPr>
              <w:spacing w:after="0"/>
              <w:rPr>
                <w:sz w:val="22"/>
                <w:szCs w:val="22"/>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3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758,181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1,523,442</w:t>
            </w:r>
          </w:p>
        </w:tc>
        <w:tc>
          <w:tcPr>
            <w:tcW w:w="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70,125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70,125</w:t>
            </w:r>
          </w:p>
        </w:tc>
        <w:tc>
          <w:tcPr>
            <w:tcW w:w="40" w:type="dxa"/>
            <w:vAlign w:val="bottom"/>
          </w:tcPr>
          <w:p>
            <w:pPr>
              <w:spacing w:after="0"/>
              <w:rPr>
                <w:sz w:val="23"/>
                <w:szCs w:val="23"/>
                <w:color w:val="auto"/>
              </w:rPr>
            </w:pPr>
          </w:p>
        </w:tc>
      </w:tr>
      <w:tr>
        <w:trPr>
          <w:trHeight w:val="237"/>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828,306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1,593,567</w:t>
            </w:r>
          </w:p>
        </w:tc>
        <w:tc>
          <w:tcPr>
            <w:tcW w:w="4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95,541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16,063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110,507</w:t>
            </w:r>
          </w:p>
        </w:tc>
        <w:tc>
          <w:tcPr>
            <w:tcW w:w="40" w:type="dxa"/>
            <w:vAlign w:val="bottom"/>
          </w:tcPr>
          <w:p>
            <w:pPr>
              <w:spacing w:after="0"/>
              <w:rPr>
                <w:sz w:val="24"/>
                <w:szCs w:val="24"/>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779,388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679,407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1,458,795</w:t>
            </w:r>
          </w:p>
        </w:tc>
        <w:tc>
          <w:tcPr>
            <w:tcW w:w="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87,755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87,755</w:t>
            </w:r>
          </w:p>
        </w:tc>
        <w:tc>
          <w:tcPr>
            <w:tcW w:w="40" w:type="dxa"/>
            <w:vAlign w:val="bottom"/>
          </w:tcPr>
          <w:p>
            <w:pPr>
              <w:spacing w:after="0"/>
              <w:rPr>
                <w:sz w:val="23"/>
                <w:szCs w:val="23"/>
                <w:color w:val="auto"/>
              </w:rPr>
            </w:pPr>
          </w:p>
        </w:tc>
      </w:tr>
      <w:tr>
        <w:trPr>
          <w:trHeight w:val="237"/>
        </w:trPr>
        <w:tc>
          <w:tcPr>
            <w:tcW w:w="47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779,388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767,162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1,546,550</w:t>
            </w:r>
          </w:p>
        </w:tc>
        <w:tc>
          <w:tcPr>
            <w:tcW w:w="4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106,758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10,887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116,865</w:t>
            </w:r>
          </w:p>
        </w:tc>
        <w:tc>
          <w:tcPr>
            <w:tcW w:w="40" w:type="dxa"/>
            <w:vAlign w:val="bottom"/>
          </w:tcPr>
          <w:p>
            <w:pPr>
              <w:spacing w:after="0"/>
              <w:rPr>
                <w:sz w:val="24"/>
                <w:szCs w:val="24"/>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8"/>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Form 10-Q</w:t>
            </w: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June 30, 2020</w:t>
            </w:r>
          </w:p>
        </w:tc>
      </w:tr>
      <w:tr>
        <w:trPr>
          <w:trHeight w:val="96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rPr>
              <w:t>Utility</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Infrastructure</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22"/>
                <w:szCs w:val="22"/>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Services</w:t>
            </w:r>
          </w:p>
        </w:tc>
        <w:tc>
          <w:tcPr>
            <w:tcW w:w="340" w:type="dxa"/>
            <w:vAlign w:val="bottom"/>
          </w:tcPr>
          <w:p>
            <w:pPr>
              <w:spacing w:after="0"/>
              <w:rPr>
                <w:sz w:val="22"/>
                <w:szCs w:val="22"/>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Total</w:t>
            </w:r>
          </w:p>
        </w:tc>
      </w:tr>
      <w:tr>
        <w:trPr>
          <w:trHeight w:val="230"/>
        </w:trPr>
        <w:tc>
          <w:tcPr>
            <w:tcW w:w="40" w:type="dxa"/>
            <w:vAlign w:val="bottom"/>
          </w:tcPr>
          <w:p>
            <w:pPr>
              <w:spacing w:after="0"/>
              <w:rPr>
                <w:sz w:val="20"/>
                <w:szCs w:val="20"/>
                <w:color w:val="auto"/>
              </w:rPr>
            </w:pPr>
          </w:p>
        </w:tc>
        <w:tc>
          <w:tcPr>
            <w:tcW w:w="47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Twelve Months Ended June 30, 2020</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1,354,812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1,671,026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3,025,838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4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141,096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141,096</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1,354,812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1,812,122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3,166,934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40" w:type="dxa"/>
            <w:vAlign w:val="bottom"/>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151,954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207,578</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Twelve Months Ended June 30, 2019</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1,367,124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1,470,787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2,837,911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4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163,439</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1,367,124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1,634,226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3,001,350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740" w:type="dxa"/>
            <w:vAlign w:val="bottom"/>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47,629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198,500</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3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of June 30, 2020, Southwest had 2,102,000 residential, commercial, industrial, and other natural gas customers, of which 1,121,000 customers were located in Arizona, 781,000 in Nevada, and 200,000 in California. </w:t>
      </w:r>
      <w:r>
        <w:rPr>
          <w:rFonts w:ascii="Arial" w:cs="Arial" w:eastAsia="Arial" w:hAnsi="Arial"/>
          <w:sz w:val="17"/>
          <w:szCs w:val="17"/>
          <w:color w:val="212529"/>
        </w:rPr>
        <w:t>Over the past twelve months, first time meter sets were approximately 36,000, compared</w:t>
      </w:r>
      <w:r>
        <w:rPr>
          <w:rFonts w:ascii="Arial" w:cs="Arial" w:eastAsia="Arial" w:hAnsi="Arial"/>
          <w:sz w:val="17"/>
          <w:szCs w:val="17"/>
          <w:color w:val="auto"/>
        </w:rPr>
        <w:t xml:space="preserve"> </w:t>
      </w:r>
      <w:r>
        <w:rPr>
          <w:rFonts w:ascii="Arial" w:cs="Arial" w:eastAsia="Arial" w:hAnsi="Arial"/>
          <w:sz w:val="17"/>
          <w:szCs w:val="17"/>
          <w:color w:val="212529"/>
        </w:rPr>
        <w:t xml:space="preserve">to 33,000 for the twelve months ending June 2019. The remaining increase in active customer accounts compared to the June 30, 2019 total of 2,061,000 was primarily due to a management-initiated moratorium on disconnections as a result of the COVID-19 pandemic. As utility service is an essential service to the residents in the states in which Southwest operates, it implemented the temporary moratorium in March 2020 and also ceased charging late fees until further notice. We can provide no assurances as to when the moratorium will be lifted. </w:t>
      </w:r>
      <w:r>
        <w:rPr>
          <w:rFonts w:ascii="Arial" w:cs="Arial" w:eastAsia="Arial" w:hAnsi="Arial"/>
          <w:sz w:val="17"/>
          <w:szCs w:val="17"/>
          <w:color w:val="000000"/>
        </w:rPr>
        <w:t>Residential and small commercial customers represented over 99%</w:t>
      </w:r>
      <w:r>
        <w:rPr>
          <w:rFonts w:ascii="Arial" w:cs="Arial" w:eastAsia="Arial" w:hAnsi="Arial"/>
          <w:sz w:val="17"/>
          <w:szCs w:val="17"/>
          <w:color w:val="212529"/>
        </w:rPr>
        <w:t xml:space="preserve"> </w:t>
      </w:r>
      <w:r>
        <w:rPr>
          <w:rFonts w:ascii="Arial" w:cs="Arial" w:eastAsia="Arial" w:hAnsi="Arial"/>
          <w:sz w:val="17"/>
          <w:szCs w:val="17"/>
          <w:color w:val="000000"/>
        </w:rPr>
        <w:t>of the total customer base. During the twelve months ended June 30, 2020,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global COVID-19 pandemic, as discussed further below, could impact these statistics and associated patterns in the short term.</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such as with the current Arizona general rate case, whereby hearings were deferred amidst the current pandemic, and both a decision and new rate establishment are expected to occur later than originally expected. Refer to the Summary Operating Results table for a reconciliation of revenues to operating margin, and refer to </w:t>
      </w:r>
      <w:r>
        <w:rPr>
          <w:rFonts w:ascii="Arial" w:cs="Arial" w:eastAsia="Arial" w:hAnsi="Arial"/>
          <w:sz w:val="17"/>
          <w:szCs w:val="17"/>
          <w:i w:val="1"/>
          <w:iCs w:val="1"/>
          <w:color w:val="auto"/>
        </w:rPr>
        <w:t>Rates and Regulatory Proceedings</w:t>
      </w:r>
      <w:r>
        <w:rPr>
          <w:rFonts w:ascii="Arial" w:cs="Arial" w:eastAsia="Arial" w:hAnsi="Arial"/>
          <w:sz w:val="17"/>
          <w:szCs w:val="17"/>
          <w:color w:val="auto"/>
        </w:rPr>
        <w:t xml:space="preserve"> in this Management’s Discussion and Analysis.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54 primary locations across 40 states and provinces in the United States (“U.S.”) and Canada. Centuri operates in the U.S. primarily as NPL, Neuco, and Linetec, and in Canada primarily as NPL Canada.</w:t>
      </w: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activity can be impacted by changes in infrastructure replacement programs of utilities, weather, and local and federal regulation (including tax rates and incentives). During the past few years, utilities have implemented or modified system integrity management programs to enhance safety pursuant to federal and state mandates. These programs have resulted in a significant increase following those mandates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In March 2020, the World Health Organization categorized the novel coronavirus (“COVID-19”) as a pandemic, and President Donald Trump declared the COVID-19 outbreak a national emergency. The outbreak resulted in government officials implementing stringent measures to help control the spread of the virus, including quarantines, “shelter in place” and “stay at home” orders, travel restrictions, business curtailments, school closures, and other measures. Certain jurisdictions have begun re-opening only to return to further restrictions in the face of new COVID-19 cases. In addition, governments and central banks in several parts of the world enacted fiscal and monetary stimulus measures to mitigate financial impacts of COVID-19 on individuals and businesses.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Our utility operations are considered an essential service and Southwest continues to provide services to meet the demand of its customers, even while many other types of businesses were or are closed. Consistent with federal and state guidelines, Southwest has continued to operate across its territories. Similarly, the majority of Centuri’s largest clients issued essential service letters to Centuri businesses in keeping with the federal definition of “essential” set out by the Department of Homeland Security. This allowed Centuri to similarly continue nearly all operations from the outset of the pandemic in the U.S., and demand has not significantly diminished. The ability to work may be impacted by individuals contracting or being exposed to COVID-19, governmental requirements to postpone certain non-essential services, or by management imposed restrictions for safety precautions; to date, these factors have not had a significant impact on the Company’s ability to maintain operations. The Company has instructed employees at many offices (including corporate headquarters) to work from home on a temporary basis and implemented travel restrictions. Both segments implemented business continuity plans, including the deployment of technology to conduct administrative and critical functions remotely, where possible, and employees and management teams have been in place to communicate and respond to changes quickly and effectively. To date, there has not been a significant disruption in the Company’s supply chains, transportation network, or ability to serve customers.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12529"/>
        </w:rPr>
        <w:t xml:space="preserve">As an essential service provider, Southwest implemented several important measures with regard to its customers. As noted above, it initiated a temporary moratorium on natural gas disconnections for non-payment; it is working with customers who are experiencing financial hardship through flexible payment arrangements; and it also ceased charging late fees until further notice. Management does not expect a material increase to the allowance for uncollectibles from such measures as during warmer months, such as the summer season, monthly utility bills for natural gas are substantially reduced. Should the pandemic continue into the winter season, the potential impact could be more significant. See </w:t>
      </w:r>
      <w:r>
        <w:rPr>
          <w:rFonts w:ascii="Arial" w:cs="Arial" w:eastAsia="Arial" w:hAnsi="Arial"/>
          <w:sz w:val="16"/>
          <w:szCs w:val="16"/>
          <w:i w:val="1"/>
          <w:iCs w:val="1"/>
          <w:color w:val="212529"/>
        </w:rPr>
        <w:t>Accounts receivable, net of allowances</w:t>
      </w:r>
      <w:r>
        <w:rPr>
          <w:rFonts w:ascii="Arial" w:cs="Arial" w:eastAsia="Arial" w:hAnsi="Arial"/>
          <w:sz w:val="16"/>
          <w:szCs w:val="16"/>
          <w:color w:val="212529"/>
        </w:rPr>
        <w:t xml:space="preserve"> in </w:t>
      </w:r>
      <w:r>
        <w:rPr>
          <w:rFonts w:ascii="Arial" w:cs="Arial" w:eastAsia="Arial" w:hAnsi="Arial"/>
          <w:sz w:val="16"/>
          <w:szCs w:val="16"/>
          <w:b w:val="1"/>
          <w:bCs w:val="1"/>
          <w:color w:val="212529"/>
        </w:rPr>
        <w:t>Note 1 –</w:t>
      </w:r>
      <w:r>
        <w:rPr>
          <w:rFonts w:ascii="Arial" w:cs="Arial" w:eastAsia="Arial" w:hAnsi="Arial"/>
          <w:sz w:val="16"/>
          <w:szCs w:val="16"/>
          <w:color w:val="212529"/>
        </w:rPr>
        <w:t xml:space="preserve"> </w:t>
      </w:r>
      <w:r>
        <w:rPr>
          <w:rFonts w:ascii="Arial" w:cs="Arial" w:eastAsia="Arial" w:hAnsi="Arial"/>
          <w:sz w:val="16"/>
          <w:szCs w:val="16"/>
          <w:b w:val="1"/>
          <w:bCs w:val="1"/>
          <w:color w:val="212529"/>
        </w:rPr>
        <w:t>Background, Organization, and Summary of Significant Accounting Policies</w:t>
      </w:r>
      <w:r>
        <w:rPr>
          <w:rFonts w:ascii="Arial" w:cs="Arial" w:eastAsia="Arial" w:hAnsi="Arial"/>
          <w:sz w:val="16"/>
          <w:szCs w:val="16"/>
          <w:color w:val="212529"/>
        </w:rPr>
        <w:t>. In the utility infrastructure services segment, a limited number of Centuri</w:t>
      </w:r>
      <w:r>
        <w:rPr>
          <w:rFonts w:ascii="Arial" w:cs="Arial" w:eastAsia="Arial" w:hAnsi="Arial"/>
          <w:sz w:val="16"/>
          <w:szCs w:val="16"/>
          <w:b w:val="1"/>
          <w:bCs w:val="1"/>
          <w:color w:val="212529"/>
        </w:rPr>
        <w:t xml:space="preserve"> </w:t>
      </w:r>
      <w:r>
        <w:rPr>
          <w:rFonts w:ascii="Arial" w:cs="Arial" w:eastAsia="Arial" w:hAnsi="Arial"/>
          <w:sz w:val="16"/>
          <w:szCs w:val="16"/>
          <w:color w:val="212529"/>
        </w:rPr>
        <w:t>customers delayed some projects primarily in response to local governmental restrictions. Project delays, whether due to governmental restrictions or reassessments of timing by Centuri’s customers, resulted in temporary reductions of workforce crews. Some crew reductions are ongoing in specific areas and the associated revenue impacts have not been significant. Management is monitoring the dynamic nature of these circumstances, the full future impacts of which are not currently known, including the impact from business curtailments, weak market conditions, or governmental restrictions, including any restrictions which could limit the fulfillment by Centuri of its contractual obligations.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The Company has incurred additional expenses in connection with its response to these conditions, including costs of disinfecting work locations and equipment, costs related to enabling employees to support customers while working remotely, and impacts from the moratorium on customer disconnection and late fee assessment. These additional costs were not material to the Company’s fiscal 2020 results to date, and certain of Southwest’s regulatory commissions have implemented measures to mitigate impacts of these conditions on Southwest. See </w:t>
      </w:r>
      <w:r>
        <w:rPr>
          <w:rFonts w:ascii="Arial" w:cs="Arial" w:eastAsia="Arial" w:hAnsi="Arial"/>
          <w:sz w:val="18"/>
          <w:szCs w:val="18"/>
          <w:i w:val="1"/>
          <w:iCs w:val="1"/>
          <w:color w:val="212529"/>
        </w:rPr>
        <w:t>Rates and Regulatory Proceedings</w:t>
      </w:r>
      <w:r>
        <w:rPr>
          <w:rFonts w:ascii="Arial" w:cs="Arial" w:eastAsia="Arial" w:hAnsi="Arial"/>
          <w:sz w:val="18"/>
          <w:szCs w:val="18"/>
          <w:color w:val="212529"/>
        </w:rPr>
        <w:t xml:space="preserve"> below for additional detail.</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12529"/>
        </w:rPr>
        <w:t xml:space="preserve">On March 27, 2020, the Coronavirus Aid, Relief and Economic Security (“CARES”) Act was enacted, as discussed in </w:t>
      </w:r>
      <w:r>
        <w:rPr>
          <w:rFonts w:ascii="Arial" w:cs="Arial" w:eastAsia="Arial" w:hAnsi="Arial"/>
          <w:sz w:val="18"/>
          <w:szCs w:val="18"/>
          <w:b w:val="1"/>
          <w:bCs w:val="1"/>
          <w:color w:val="212529"/>
        </w:rPr>
        <w:t>Note 1 – Background,</w:t>
      </w:r>
      <w:r>
        <w:rPr>
          <w:rFonts w:ascii="Arial" w:cs="Arial" w:eastAsia="Arial" w:hAnsi="Arial"/>
          <w:sz w:val="18"/>
          <w:szCs w:val="18"/>
          <w:color w:val="212529"/>
        </w:rPr>
        <w:t xml:space="preserve"> </w:t>
      </w:r>
      <w:r>
        <w:rPr>
          <w:rFonts w:ascii="Arial" w:cs="Arial" w:eastAsia="Arial" w:hAnsi="Arial"/>
          <w:sz w:val="18"/>
          <w:szCs w:val="18"/>
          <w:b w:val="1"/>
          <w:bCs w:val="1"/>
          <w:color w:val="212529"/>
        </w:rPr>
        <w:t>Organization, and Summary of Significant Accounting Policies</w:t>
      </w:r>
      <w:r>
        <w:rPr>
          <w:rFonts w:ascii="Arial" w:cs="Arial" w:eastAsia="Arial" w:hAnsi="Arial"/>
          <w:sz w:val="18"/>
          <w:szCs w:val="18"/>
          <w:color w:val="212529"/>
        </w:rPr>
        <w:t>. The CARES Act to date has not, and m</w:t>
      </w:r>
      <w:r>
        <w:rPr>
          <w:rFonts w:ascii="Arial" w:cs="Arial" w:eastAsia="Arial" w:hAnsi="Arial"/>
          <w:sz w:val="18"/>
          <w:szCs w:val="18"/>
          <w:color w:val="000000"/>
        </w:rPr>
        <w:t>anagement anticipates that it will not, have a</w:t>
      </w:r>
      <w:r>
        <w:rPr>
          <w:rFonts w:ascii="Arial" w:cs="Arial" w:eastAsia="Arial" w:hAnsi="Arial"/>
          <w:sz w:val="18"/>
          <w:szCs w:val="18"/>
          <w:b w:val="1"/>
          <w:bCs w:val="1"/>
          <w:color w:val="212529"/>
        </w:rPr>
        <w:t xml:space="preserve"> </w:t>
      </w:r>
      <w:r>
        <w:rPr>
          <w:rFonts w:ascii="Arial" w:cs="Arial" w:eastAsia="Arial" w:hAnsi="Arial"/>
          <w:sz w:val="18"/>
          <w:szCs w:val="18"/>
          <w:color w:val="000000"/>
        </w:rPr>
        <w:t>material effect on the Company’s or Southwest’s results of operations, financial position, or liquidity. In Canada, Centuri received $3.4 million of wage subsidies from the Canadian government as part of a COVID-19 relief program. Management does not expect these subsidies, if any, to be significant in future periods.</w:t>
      </w: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The extent to which COVID-19 may adversely impact the Company’s business depends on future developments, including the timing of, or continued deferment by government officials related to, the resumption of commerce across the service territories of all our businesses, the magnitude of further spread of the virus in advance of and following such resumption, impacts of these conditions on our customers, the state of the North American economy following that resumption, and possibly other unmitigated effects related to the virus. Management does not currently expect the impact of these conditions to be material to the Company’s liquidity and financial position; however, the current level of uncertainty over the economic and operational impacts of COVID-19 means the related financial impact cannot be fully estimated at this time, and management cannot predict whether future periods will be impacted differently than the impacts reflected in the six months ended June 30, 2020. In anticipation of a redeployment of employees to their normal work locations, management has created a multi-phase reintegration plan to safeguard the well-being of our teams, including hygiene, sanitization, and social distancing practices, as well as the use of personal protective equipment for employees and visitors. Management will continue to monitor developments affecting the Company’s employees, customers, and operations, and take additional steps to address the COVID-19 pandemic and its impacts, as necessary. Events and changes in circumstances arising after June 30, 2020, including those resulting from the impacts of COVID-19, will be reflected in management’s estimates for future periods.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the notes thereto included in this Quarterly Report on Form 10-Q and the audited financial statements and the notes thereto, as well as MD&amp;A, included in the 2019 Annual Report to Shareholders, which is incorporated by reference into the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75%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140"/>
              <w:spacing w:after="0"/>
              <w:rPr>
                <w:sz w:val="20"/>
                <w:szCs w:val="20"/>
                <w:color w:val="auto"/>
              </w:rPr>
            </w:pPr>
            <w:r>
              <w:rPr>
                <w:rFonts w:ascii="Arial" w:cs="Arial" w:eastAsia="Arial" w:hAnsi="Arial"/>
                <w:sz w:val="18"/>
                <w:szCs w:val="18"/>
                <w:color w:val="auto"/>
              </w:rPr>
              <w:t>Period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Six Months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88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rPr>
              <w:t>Contribution to net income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4"/>
              </w:rPr>
              <w:t>Natural gas operations</w:t>
            </w:r>
          </w:p>
        </w:tc>
        <w:tc>
          <w:tcPr>
            <w:tcW w:w="19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11,942</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3,369</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95,541</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89"/>
              </w:rPr>
              <w:t>106,758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151,954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152,629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37,965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22,056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110,507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116,865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207,578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198,500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55,462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55,386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53,654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8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8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color w:val="auto"/>
              </w:rPr>
              <w:t>Natural Gas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388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Reconciliation of Revenue to Operating Margin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(Non-GAAP measure)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4"/>
          </w:tcPr>
          <w:p>
            <w:pPr>
              <w:ind w:left="200"/>
              <w:spacing w:after="0"/>
              <w:rPr>
                <w:sz w:val="20"/>
                <w:szCs w:val="20"/>
                <w:color w:val="auto"/>
              </w:rPr>
            </w:pPr>
            <w:r>
              <w:rPr>
                <w:rFonts w:ascii="Arial" w:cs="Arial" w:eastAsia="Arial" w:hAnsi="Arial"/>
                <w:sz w:val="18"/>
                <w:szCs w:val="18"/>
                <w:color w:val="auto"/>
              </w:rPr>
              <w:t>Gas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262,434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765,261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779,388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1,354,812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4"/>
              </w:rPr>
              <w:t>1,367,124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Less: Net cost of gas sold</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67,473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228,294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257,786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407,976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gridSpan w:val="4"/>
          </w:tcPr>
          <w:p>
            <w:pPr>
              <w:ind w:left="200"/>
              <w:spacing w:after="0"/>
              <w:rPr>
                <w:sz w:val="20"/>
                <w:szCs w:val="20"/>
                <w:color w:val="auto"/>
              </w:rPr>
            </w:pPr>
            <w:r>
              <w:rPr>
                <w:rFonts w:ascii="Arial" w:cs="Arial" w:eastAsia="Arial" w:hAnsi="Arial"/>
                <w:sz w:val="18"/>
                <w:szCs w:val="18"/>
                <w:color w:val="auto"/>
              </w:rPr>
              <w:t>Operating margin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194,961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193,529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536,967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521,602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999,140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959,148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2nd Quarter 2020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Natural gas operations highlights include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36,000 first-time meters sets (1.7% growth rate) occurred over the past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Operations and maintenance expense decreased $5.7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Company-Owned Life Insurance (“COLI”) income increased $8.6 million between quarters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$450 million in 2.2% 10-year Notes (a record low fixed rate for Southwest)</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 second quarter net income of $26.3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$41 million, or 8.9%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$28 million, or 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purchases during the past 12 months resulted in a $3 million increase in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4"/>
              </w:rPr>
              <w:t>June 30, 2020</w:t>
            </w:r>
          </w:p>
        </w:tc>
      </w:tr>
      <w:tr>
        <w:trPr>
          <w:trHeight w:val="938"/>
        </w:trPr>
        <w:tc>
          <w:tcPr>
            <w:tcW w:w="744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74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1"/>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r>
      <w:tr>
        <w:trPr>
          <w:trHeight w:val="27"/>
        </w:trPr>
        <w:tc>
          <w:tcPr>
            <w:tcW w:w="7440" w:type="dxa"/>
            <w:vAlign w:val="bottom"/>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7"/>
        </w:trPr>
        <w:tc>
          <w:tcPr>
            <w:tcW w:w="744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262,434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258,711</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67,473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65,182</w:t>
            </w:r>
          </w:p>
        </w:tc>
      </w:tr>
      <w:tr>
        <w:trPr>
          <w:trHeight w:val="27"/>
        </w:trPr>
        <w:tc>
          <w:tcPr>
            <w:tcW w:w="6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0" w:type="dxa"/>
            <w:vAlign w:val="bottom"/>
            <w:shd w:val="clear" w:color="auto" w:fill="CCEEFF"/>
          </w:tcPr>
          <w:p>
            <w:pPr>
              <w:spacing w:after="0"/>
              <w:rPr>
                <w:sz w:val="22"/>
                <w:szCs w:val="22"/>
                <w:color w:val="auto"/>
              </w:rPr>
            </w:pPr>
          </w:p>
        </w:tc>
        <w:tc>
          <w:tcPr>
            <w:tcW w:w="73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194,961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193,529</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99,320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104,991</w:t>
            </w:r>
          </w:p>
        </w:tc>
      </w:tr>
      <w:tr>
        <w:trPr>
          <w:trHeight w:val="27"/>
        </w:trPr>
        <w:tc>
          <w:tcPr>
            <w:tcW w:w="74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53,198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49,343</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15,342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15,126</w:t>
            </w:r>
          </w:p>
        </w:tc>
      </w:tr>
      <w:tr>
        <w:trPr>
          <w:trHeight w:val="27"/>
        </w:trPr>
        <w:tc>
          <w:tcPr>
            <w:tcW w:w="6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 w:type="dxa"/>
            <w:vAlign w:val="bottom"/>
            <w:shd w:val="clear" w:color="auto" w:fill="CCEEFF"/>
          </w:tcPr>
          <w:p>
            <w:pPr>
              <w:spacing w:after="0"/>
              <w:rPr>
                <w:sz w:val="22"/>
                <w:szCs w:val="22"/>
                <w:color w:val="auto"/>
              </w:rPr>
            </w:pPr>
          </w:p>
        </w:tc>
        <w:tc>
          <w:tcPr>
            <w:tcW w:w="73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27,101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24,069</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1,592</w:t>
            </w:r>
          </w:p>
        </w:tc>
      </w:tr>
      <w:tr>
        <w:trPr>
          <w:trHeight w:val="27"/>
        </w:trPr>
        <w:tc>
          <w:tcPr>
            <w:tcW w:w="74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23,991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23,345</w:t>
            </w:r>
          </w:p>
        </w:tc>
      </w:tr>
      <w:tr>
        <w:trPr>
          <w:trHeight w:val="263"/>
        </w:trPr>
        <w:tc>
          <w:tcPr>
            <w:tcW w:w="60" w:type="dxa"/>
            <w:vAlign w:val="bottom"/>
          </w:tcPr>
          <w:p>
            <w:pPr>
              <w:spacing w:after="0"/>
              <w:rPr>
                <w:sz w:val="22"/>
                <w:szCs w:val="22"/>
                <w:color w:val="auto"/>
              </w:rPr>
            </w:pPr>
          </w:p>
        </w:tc>
        <w:tc>
          <w:tcPr>
            <w:tcW w:w="7380" w:type="dxa"/>
            <w:vAlign w:val="bottom"/>
            <w:gridSpan w:val="4"/>
          </w:tcPr>
          <w:p>
            <w:pPr>
              <w:ind w:left="1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2,316</w:t>
            </w:r>
          </w:p>
        </w:tc>
      </w:tr>
      <w:tr>
        <w:trPr>
          <w:trHeight w:val="27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63"/>
        </w:trPr>
        <w:tc>
          <w:tcPr>
            <w:tcW w:w="60" w:type="dxa"/>
            <w:vAlign w:val="bottom"/>
          </w:tcPr>
          <w:p>
            <w:pPr>
              <w:spacing w:after="0"/>
              <w:rPr>
                <w:sz w:val="22"/>
                <w:szCs w:val="22"/>
                <w:color w:val="auto"/>
              </w:rPr>
            </w:pPr>
          </w:p>
        </w:tc>
        <w:tc>
          <w:tcPr>
            <w:tcW w:w="7380" w:type="dxa"/>
            <w:vAlign w:val="bottom"/>
            <w:gridSpan w:val="4"/>
          </w:tcPr>
          <w:p>
            <w:pPr>
              <w:ind w:left="12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11,942</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3,369</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increased $8.6 million between the second quarters of 2020 and 2019. The increase was primarily due to an increase in Other income, customer growth, and lower Operations and maintenance expense, offset by an increase in Depreciation and amortization.</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margin increased $1.4 million. Customer growth provided approximately $2.5 million of incremental margin from 36,000 first-time meter sets during the last twelve months. Rate relief contributed approximately $400,000 in incremental operating margin. Offsetting the increase were other items, including the impact of the temporary moratorium on late fees and lower connection/re-connection charges during the COVID-19 pandemic.</w:t>
      </w:r>
    </w:p>
    <w:p>
      <w:pPr>
        <w:spacing w:after="0" w:line="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Operations and maintenance expense decreased $5.7 million between quarters primarily due to the impacts of COVID-19 on training and travel costs and reductions in other service and maintenance costs. Overall, the variance between 2019 and 2020 is expected to narrow in the second half of 2020.</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$3.9 million, or 8%, between quarters, primarily due to a $684 million, or 9%, increase in average gas plant in service compared to the corresponding quarter a year ago, offset by a decrease in regulatory account amortization. The increase in gas plant was attributable to pipeline capacity reinforcement work, franchise requirements, scheduled pipe replacement activities, and new infrastructure.</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income improved $6.2 million between quarters primarily due to an increase in income from company-owned life insurance (“COLI”) policies. The current quarter reflects a $12 million increase in COLI policy cash surrender values, while the prior-year quarter reflected a $3.4 million increase in COLI policy cash surrender values. These values are significantly impacted by fluctuations in the values of equity securities associated with the cash surrender values, and values in both periods were impacted directionally consistent with the broader securities markets. Offsetting these impacts were higher non-service-related costs associated with employee pension and other postretirement benefits and lower interest income on regulatory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0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1"/>
              </w:rPr>
              <w:t>June 30, 2020</w:t>
            </w:r>
          </w:p>
        </w:tc>
      </w:tr>
      <w:tr>
        <w:trPr>
          <w:trHeight w:val="938"/>
        </w:trPr>
        <w:tc>
          <w:tcPr>
            <w:tcW w:w="756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7560" w:type="dxa"/>
            <w:vAlign w:val="bottom"/>
            <w:gridSpan w:val="5"/>
          </w:tcPr>
          <w:p>
            <w:pPr>
              <w:spacing w:after="0"/>
              <w:rPr>
                <w:sz w:val="20"/>
                <w:szCs w:val="20"/>
                <w:color w:val="auto"/>
              </w:rPr>
            </w:pPr>
            <w:r>
              <w:rPr>
                <w:rFonts w:ascii="Arial" w:cs="Arial" w:eastAsia="Arial" w:hAnsi="Arial"/>
                <w:sz w:val="18"/>
                <w:szCs w:val="18"/>
                <w:color w:val="auto"/>
              </w:rPr>
              <w:t>Six-Months Analysis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27"/>
        </w:trPr>
        <w:tc>
          <w:tcPr>
            <w:tcW w:w="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3"/>
          </w:tcPr>
          <w:p>
            <w:pPr>
              <w:jc w:val="right"/>
              <w:ind w:right="33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r>
      <w:tr>
        <w:trPr>
          <w:trHeight w:val="27"/>
        </w:trPr>
        <w:tc>
          <w:tcPr>
            <w:tcW w:w="7560" w:type="dxa"/>
            <w:vAlign w:val="bottom"/>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560" w:type="dxa"/>
            <w:vAlign w:val="bottom"/>
            <w:gridSpan w:val="5"/>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color w:val="auto"/>
                <w:w w:val="94"/>
              </w:rPr>
              <w:t>2019</w:t>
            </w:r>
          </w:p>
        </w:tc>
      </w:tr>
      <w:tr>
        <w:trPr>
          <w:trHeight w:val="27"/>
        </w:trPr>
        <w:tc>
          <w:tcPr>
            <w:tcW w:w="7560" w:type="dxa"/>
            <w:vAlign w:val="bottom"/>
            <w:tcBorders>
              <w:bottom w:val="single" w:sz="8" w:color="CCEEFF"/>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765,261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779,388</w:t>
            </w:r>
          </w:p>
        </w:tc>
      </w:tr>
      <w:tr>
        <w:trPr>
          <w:trHeight w:val="243"/>
        </w:trPr>
        <w:tc>
          <w:tcPr>
            <w:tcW w:w="7560" w:type="dxa"/>
            <w:vAlign w:val="bottom"/>
            <w:gridSpan w:val="5"/>
          </w:tcPr>
          <w:p>
            <w:pPr>
              <w:ind w:left="20"/>
              <w:spacing w:after="0"/>
              <w:rPr>
                <w:sz w:val="20"/>
                <w:szCs w:val="20"/>
                <w:color w:val="auto"/>
              </w:rPr>
            </w:pPr>
            <w:r>
              <w:rPr>
                <w:rFonts w:ascii="Arial" w:cs="Arial" w:eastAsia="Arial" w:hAnsi="Arial"/>
                <w:sz w:val="18"/>
                <w:szCs w:val="18"/>
                <w:color w:val="auto"/>
              </w:rPr>
              <w:t>Net cost of gas sold</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228,294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257,786</w:t>
            </w:r>
          </w:p>
        </w:tc>
      </w:tr>
      <w:tr>
        <w:trPr>
          <w:trHeight w:val="27"/>
        </w:trPr>
        <w:tc>
          <w:tcPr>
            <w:tcW w:w="6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0" w:type="dxa"/>
            <w:vAlign w:val="bottom"/>
            <w:shd w:val="clear" w:color="auto" w:fill="CCEEFF"/>
          </w:tcPr>
          <w:p>
            <w:pPr>
              <w:spacing w:after="0"/>
              <w:rPr>
                <w:sz w:val="22"/>
                <w:szCs w:val="22"/>
                <w:color w:val="auto"/>
              </w:rPr>
            </w:pPr>
          </w:p>
        </w:tc>
        <w:tc>
          <w:tcPr>
            <w:tcW w:w="75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margin</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536,967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521,602</w:t>
            </w:r>
          </w:p>
        </w:tc>
      </w:tr>
      <w:tr>
        <w:trPr>
          <w:trHeight w:val="243"/>
        </w:trPr>
        <w:tc>
          <w:tcPr>
            <w:tcW w:w="7560" w:type="dxa"/>
            <w:vAlign w:val="bottom"/>
            <w:gridSpan w:val="5"/>
          </w:tcPr>
          <w:p>
            <w:pPr>
              <w:ind w:left="20"/>
              <w:spacing w:after="0"/>
              <w:rPr>
                <w:sz w:val="20"/>
                <w:szCs w:val="20"/>
                <w:color w:val="auto"/>
              </w:rPr>
            </w:pPr>
            <w:r>
              <w:rPr>
                <w:rFonts w:ascii="Arial" w:cs="Arial" w:eastAsia="Arial" w:hAnsi="Arial"/>
                <w:sz w:val="18"/>
                <w:szCs w:val="18"/>
                <w:color w:val="auto"/>
              </w:rPr>
              <w:t>Operations and maintenance expense</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202,408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210,533</w:t>
            </w:r>
          </w:p>
        </w:tc>
      </w:tr>
      <w:tr>
        <w:trPr>
          <w:trHeight w:val="27"/>
        </w:trPr>
        <w:tc>
          <w:tcPr>
            <w:tcW w:w="7560" w:type="dxa"/>
            <w:vAlign w:val="bottom"/>
            <w:gridSpan w:val="5"/>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117,923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106,955</w:t>
            </w:r>
          </w:p>
        </w:tc>
      </w:tr>
      <w:tr>
        <w:trPr>
          <w:trHeight w:val="243"/>
        </w:trPr>
        <w:tc>
          <w:tcPr>
            <w:tcW w:w="7560" w:type="dxa"/>
            <w:vAlign w:val="bottom"/>
            <w:gridSpan w:val="5"/>
          </w:tcPr>
          <w:p>
            <w:pPr>
              <w:ind w:left="20"/>
              <w:spacing w:after="0"/>
              <w:rPr>
                <w:sz w:val="20"/>
                <w:szCs w:val="20"/>
                <w:color w:val="auto"/>
              </w:rPr>
            </w:pPr>
            <w:r>
              <w:rPr>
                <w:rFonts w:ascii="Arial" w:cs="Arial" w:eastAsia="Arial" w:hAnsi="Arial"/>
                <w:sz w:val="18"/>
                <w:szCs w:val="18"/>
                <w:color w:val="auto"/>
              </w:rPr>
              <w:t>Taxes other than income taxes</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31,720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31,332</w:t>
            </w:r>
          </w:p>
        </w:tc>
      </w:tr>
      <w:tr>
        <w:trPr>
          <w:trHeight w:val="27"/>
        </w:trPr>
        <w:tc>
          <w:tcPr>
            <w:tcW w:w="6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60" w:type="dxa"/>
            <w:vAlign w:val="bottom"/>
            <w:shd w:val="clear" w:color="auto" w:fill="CCEEFF"/>
          </w:tcPr>
          <w:p>
            <w:pPr>
              <w:spacing w:after="0"/>
              <w:rPr>
                <w:sz w:val="22"/>
                <w:szCs w:val="22"/>
                <w:color w:val="auto"/>
              </w:rPr>
            </w:pPr>
          </w:p>
        </w:tc>
        <w:tc>
          <w:tcPr>
            <w:tcW w:w="75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184,916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172,782</w:t>
            </w:r>
          </w:p>
        </w:tc>
      </w:tr>
      <w:tr>
        <w:trPr>
          <w:trHeight w:val="243"/>
        </w:trPr>
        <w:tc>
          <w:tcPr>
            <w:tcW w:w="756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(12,698)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7,538</w:t>
            </w:r>
          </w:p>
        </w:tc>
      </w:tr>
      <w:tr>
        <w:trPr>
          <w:trHeight w:val="27"/>
        </w:trPr>
        <w:tc>
          <w:tcPr>
            <w:tcW w:w="7560" w:type="dxa"/>
            <w:vAlign w:val="bottom"/>
            <w:gridSpan w:val="5"/>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46,444</w:t>
            </w:r>
          </w:p>
        </w:tc>
      </w:tr>
      <w:tr>
        <w:trPr>
          <w:trHeight w:val="264"/>
        </w:trPr>
        <w:tc>
          <w:tcPr>
            <w:tcW w:w="60" w:type="dxa"/>
            <w:vAlign w:val="bottom"/>
          </w:tcPr>
          <w:p>
            <w:pPr>
              <w:spacing w:after="0"/>
              <w:rPr>
                <w:sz w:val="22"/>
                <w:szCs w:val="22"/>
                <w:color w:val="auto"/>
              </w:rPr>
            </w:pPr>
          </w:p>
        </w:tc>
        <w:tc>
          <w:tcPr>
            <w:tcW w:w="7500" w:type="dxa"/>
            <w:vAlign w:val="bottom"/>
            <w:gridSpan w:val="4"/>
          </w:tcPr>
          <w:p>
            <w:pPr>
              <w:ind w:left="12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123,169</w:t>
            </w: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133,876</w:t>
            </w:r>
          </w:p>
        </w:tc>
      </w:tr>
      <w:tr>
        <w:trPr>
          <w:trHeight w:val="270"/>
        </w:trPr>
        <w:tc>
          <w:tcPr>
            <w:tcW w:w="75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27,628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27,118</w:t>
            </w:r>
          </w:p>
        </w:tc>
      </w:tr>
      <w:tr>
        <w:trPr>
          <w:trHeight w:val="264"/>
        </w:trPr>
        <w:tc>
          <w:tcPr>
            <w:tcW w:w="60" w:type="dxa"/>
            <w:vAlign w:val="bottom"/>
          </w:tcPr>
          <w:p>
            <w:pPr>
              <w:spacing w:after="0"/>
              <w:rPr>
                <w:sz w:val="22"/>
                <w:szCs w:val="22"/>
                <w:color w:val="auto"/>
              </w:rPr>
            </w:pPr>
          </w:p>
        </w:tc>
        <w:tc>
          <w:tcPr>
            <w:tcW w:w="7500" w:type="dxa"/>
            <w:vAlign w:val="bottom"/>
            <w:gridSpan w:val="4"/>
          </w:tcPr>
          <w:p>
            <w:pPr>
              <w:ind w:left="120"/>
              <w:spacing w:after="0"/>
              <w:rPr>
                <w:sz w:val="20"/>
                <w:szCs w:val="20"/>
                <w:color w:val="auto"/>
              </w:rPr>
            </w:pPr>
            <w:r>
              <w:rPr>
                <w:rFonts w:ascii="Arial" w:cs="Arial" w:eastAsia="Arial" w:hAnsi="Arial"/>
                <w:sz w:val="18"/>
                <w:szCs w:val="18"/>
                <w:color w:val="auto"/>
              </w:rPr>
              <w:t>Contribution to consolidated net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95,541</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106,758</w:t>
            </w:r>
          </w:p>
        </w:tc>
      </w:tr>
      <w:tr>
        <w:trPr>
          <w:trHeight w:val="20"/>
        </w:trPr>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operations to consolidated net income decreased $11.2 million between the first six months of 2020 and 2019. The decline was primarily due to a decrease in Other income and increases in Depreciation and amortization, partially offset by an increase in Operating margin and lower Operations and maintenance expense.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$15 million, including $8 million attributable to customer growth. Rate relief, primarily in California, contributed an additional $1 million in operating margin. The prior-year period included an approximate $5 million reduction in margin resulting from a one-time adjustment by the Arizona Corporation Commission to reflect the impacts of U.S. tax reform on the Arizona decoupling mechanism. The remaining increase primarily resulted from the net recovery of regulatory program balances (collectively, having an offsetting impact in amortization expense), in addition to margin from customers outside the decoupling mechanisms, offset by lower late fees and connect/re-connect charges during the current moratorium noted previously.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decreased $8.1 million, or 4%, between periods. Reductions in training and travel costs due to the COVID-19 environment, as well as lower legal claims-related costs, and decreases in other service and maintenance costs contributed to the decline between periods. Overall, the variance between 2019 and 2020 is expected to narrow in the second half of 2020.</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$11 million, or 10%, between periods primarily due to a $684 million, or 9%, increase in average gas plant in service between periods. The increase in gas plant was attributable to pipeline capacity reinforcement work, franchise requirements, scheduled pipe replacement activities, and new infrastructure. Regulatory account surcharges, as noted above, also resulted in increases in amortization expense in the current period.</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decreased $20.2 million overall between periods. The current period reflects a $3.5 million decline in COLI policy cash surrender values, while the prior-year period reflected $11 million of COLI-related income. The non-service cost components of employee pension and other postretirement benefits costs were $2.5 million higher between periods. Additionally, lower interest on regulatory balances contributed to the decrease between periods.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$2.6 million between periods, primarily due to higher interest associated with the issuance of $300 million of Senior Notes in May 2019 and higher debt balances outstanding in the current period.</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4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June 30, 2020</w:t>
            </w:r>
          </w:p>
        </w:tc>
      </w:tr>
      <w:tr>
        <w:trPr>
          <w:trHeight w:val="938"/>
        </w:trPr>
        <w:tc>
          <w:tcPr>
            <w:tcW w:w="732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73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5"/>
        </w:trPr>
        <w:tc>
          <w:tcPr>
            <w:tcW w:w="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5"/>
          </w:tcPr>
          <w:p>
            <w:pPr>
              <w:jc w:val="right"/>
              <w:ind w:right="840"/>
              <w:spacing w:after="0"/>
              <w:rPr>
                <w:sz w:val="20"/>
                <w:szCs w:val="20"/>
                <w:color w:val="auto"/>
              </w:rPr>
            </w:pPr>
            <w:r>
              <w:rPr>
                <w:rFonts w:ascii="Arial" w:cs="Arial" w:eastAsia="Arial" w:hAnsi="Arial"/>
                <w:sz w:val="18"/>
                <w:szCs w:val="18"/>
                <w:color w:val="auto"/>
              </w:rPr>
              <w:t>Twelve Months Ended June 30,</w:t>
            </w:r>
          </w:p>
        </w:tc>
      </w:tr>
      <w:tr>
        <w:trPr>
          <w:trHeight w:val="27"/>
        </w:trPr>
        <w:tc>
          <w:tcPr>
            <w:tcW w:w="7320" w:type="dxa"/>
            <w:vAlign w:val="bottom"/>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7320" w:type="dxa"/>
            <w:vAlign w:val="bottom"/>
            <w:gridSpan w:val="5"/>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7"/>
        </w:trPr>
        <w:tc>
          <w:tcPr>
            <w:tcW w:w="732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7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1,354,812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1,367,124</w:t>
            </w:r>
          </w:p>
        </w:tc>
        <w:tc>
          <w:tcPr>
            <w:tcW w:w="120" w:type="dxa"/>
            <w:vAlign w:val="bottom"/>
          </w:tcPr>
          <w:p>
            <w:pPr>
              <w:spacing w:after="0"/>
              <w:rPr>
                <w:sz w:val="21"/>
                <w:szCs w:val="21"/>
                <w:color w:val="auto"/>
              </w:rPr>
            </w:pPr>
          </w:p>
        </w:tc>
      </w:tr>
      <w:tr>
        <w:trPr>
          <w:trHeight w:val="243"/>
        </w:trPr>
        <w:tc>
          <w:tcPr>
            <w:tcW w:w="7320" w:type="dxa"/>
            <w:vAlign w:val="bottom"/>
            <w:gridSpan w:val="5"/>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355,672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407,976</w:t>
            </w:r>
          </w:p>
        </w:tc>
        <w:tc>
          <w:tcPr>
            <w:tcW w:w="12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0" w:type="dxa"/>
            <w:vAlign w:val="bottom"/>
            <w:shd w:val="clear" w:color="auto" w:fill="CCEEFF"/>
          </w:tcPr>
          <w:p>
            <w:pPr>
              <w:spacing w:after="0"/>
              <w:rPr>
                <w:sz w:val="22"/>
                <w:szCs w:val="22"/>
                <w:color w:val="auto"/>
              </w:rPr>
            </w:pPr>
          </w:p>
        </w:tc>
        <w:tc>
          <w:tcPr>
            <w:tcW w:w="7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999,140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959,148</w:t>
            </w:r>
          </w:p>
        </w:tc>
        <w:tc>
          <w:tcPr>
            <w:tcW w:w="120" w:type="dxa"/>
            <w:vAlign w:val="bottom"/>
          </w:tcPr>
          <w:p>
            <w:pPr>
              <w:spacing w:after="0"/>
              <w:rPr>
                <w:sz w:val="22"/>
                <w:szCs w:val="22"/>
                <w:color w:val="auto"/>
              </w:rPr>
            </w:pPr>
          </w:p>
        </w:tc>
      </w:tr>
      <w:tr>
        <w:trPr>
          <w:trHeight w:val="243"/>
        </w:trPr>
        <w:tc>
          <w:tcPr>
            <w:tcW w:w="7320" w:type="dxa"/>
            <w:vAlign w:val="bottom"/>
            <w:gridSpan w:val="5"/>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414,049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407,948</w:t>
            </w:r>
          </w:p>
        </w:tc>
        <w:tc>
          <w:tcPr>
            <w:tcW w:w="120" w:type="dxa"/>
            <w:vAlign w:val="bottom"/>
          </w:tcPr>
          <w:p>
            <w:pPr>
              <w:spacing w:after="0"/>
              <w:rPr>
                <w:sz w:val="21"/>
                <w:szCs w:val="21"/>
                <w:color w:val="auto"/>
              </w:rPr>
            </w:pPr>
          </w:p>
        </w:tc>
      </w:tr>
      <w:tr>
        <w:trPr>
          <w:trHeight w:val="27"/>
        </w:trPr>
        <w:tc>
          <w:tcPr>
            <w:tcW w:w="732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201,146</w:t>
            </w:r>
          </w:p>
        </w:tc>
        <w:tc>
          <w:tcPr>
            <w:tcW w:w="120" w:type="dxa"/>
            <w:vAlign w:val="bottom"/>
          </w:tcPr>
          <w:p>
            <w:pPr>
              <w:spacing w:after="0"/>
              <w:rPr>
                <w:sz w:val="21"/>
                <w:szCs w:val="21"/>
                <w:color w:val="auto"/>
              </w:rPr>
            </w:pPr>
          </w:p>
        </w:tc>
      </w:tr>
      <w:tr>
        <w:trPr>
          <w:trHeight w:val="243"/>
        </w:trPr>
        <w:tc>
          <w:tcPr>
            <w:tcW w:w="7320" w:type="dxa"/>
            <w:vAlign w:val="bottom"/>
            <w:gridSpan w:val="5"/>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62,716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61,307</w:t>
            </w:r>
          </w:p>
        </w:tc>
        <w:tc>
          <w:tcPr>
            <w:tcW w:w="12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0" w:type="dxa"/>
            <w:vAlign w:val="bottom"/>
            <w:shd w:val="clear" w:color="auto" w:fill="CCEEFF"/>
          </w:tcPr>
          <w:p>
            <w:pPr>
              <w:spacing w:after="0"/>
              <w:rPr>
                <w:sz w:val="22"/>
                <w:szCs w:val="22"/>
                <w:color w:val="auto"/>
              </w:rPr>
            </w:pPr>
          </w:p>
        </w:tc>
        <w:tc>
          <w:tcPr>
            <w:tcW w:w="7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295,787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288,747</w:t>
            </w:r>
          </w:p>
        </w:tc>
        <w:tc>
          <w:tcPr>
            <w:tcW w:w="120" w:type="dxa"/>
            <w:vAlign w:val="bottom"/>
          </w:tcPr>
          <w:p>
            <w:pPr>
              <w:spacing w:after="0"/>
              <w:rPr>
                <w:sz w:val="22"/>
                <w:szCs w:val="22"/>
                <w:color w:val="auto"/>
              </w:rPr>
            </w:pPr>
          </w:p>
        </w:tc>
      </w:tr>
      <w:tr>
        <w:trPr>
          <w:trHeight w:val="243"/>
        </w:trPr>
        <w:tc>
          <w:tcPr>
            <w:tcW w:w="732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1"/>
                <w:szCs w:val="21"/>
                <w:color w:val="auto"/>
              </w:rPr>
            </w:pPr>
          </w:p>
        </w:tc>
      </w:tr>
      <w:tr>
        <w:trPr>
          <w:trHeight w:val="27"/>
        </w:trPr>
        <w:tc>
          <w:tcPr>
            <w:tcW w:w="732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97,631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88,780</w:t>
            </w:r>
          </w:p>
        </w:tc>
        <w:tc>
          <w:tcPr>
            <w:tcW w:w="12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187,437</w:t>
            </w: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196,962</w:t>
            </w:r>
          </w:p>
        </w:tc>
        <w:tc>
          <w:tcPr>
            <w:tcW w:w="120" w:type="dxa"/>
            <w:vAlign w:val="bottom"/>
          </w:tcPr>
          <w:p>
            <w:pPr>
              <w:spacing w:after="0"/>
              <w:rPr>
                <w:sz w:val="22"/>
                <w:szCs w:val="22"/>
                <w:color w:val="auto"/>
              </w:rPr>
            </w:pPr>
          </w:p>
        </w:tc>
      </w:tr>
      <w:tr>
        <w:trPr>
          <w:trHeight w:val="270"/>
        </w:trPr>
        <w:tc>
          <w:tcPr>
            <w:tcW w:w="7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35,483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44,333</w:t>
            </w:r>
          </w:p>
        </w:tc>
        <w:tc>
          <w:tcPr>
            <w:tcW w:w="120" w:type="dxa"/>
            <w:vAlign w:val="bottom"/>
          </w:tcPr>
          <w:p>
            <w:pPr>
              <w:spacing w:after="0"/>
              <w:rPr>
                <w:sz w:val="23"/>
                <w:szCs w:val="23"/>
                <w:color w:val="auto"/>
              </w:rPr>
            </w:pPr>
          </w:p>
        </w:tc>
      </w:tr>
      <w:tr>
        <w:trPr>
          <w:trHeight w:val="263"/>
        </w:trPr>
        <w:tc>
          <w:tcPr>
            <w:tcW w:w="60" w:type="dxa"/>
            <w:vAlign w:val="bottom"/>
          </w:tcPr>
          <w:p>
            <w:pPr>
              <w:spacing w:after="0"/>
              <w:rPr>
                <w:sz w:val="22"/>
                <w:szCs w:val="22"/>
                <w:color w:val="auto"/>
              </w:rPr>
            </w:pPr>
          </w:p>
        </w:tc>
        <w:tc>
          <w:tcPr>
            <w:tcW w:w="7260" w:type="dxa"/>
            <w:vAlign w:val="bottom"/>
            <w:gridSpan w:val="4"/>
          </w:tcPr>
          <w:p>
            <w:pPr>
              <w:ind w:left="12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151,954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152,629</w:t>
            </w:r>
          </w:p>
        </w:tc>
        <w:tc>
          <w:tcPr>
            <w:tcW w:w="12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operations decreased $700,000 between the twelve-month periods ended June 2020 and 2019. The decline was primarily due to higher Depreciation and amortization expense, Net interest deductions, and lower Other income, partially offset by an increase in operating margin.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$40 million between periods. Customer growth provided $13 million, and combined rate relief, primarily in Nevada and California, provided $7 million of incremental operating margin. The prior-year period included an approximate $5 million reduction in margin resulting from a one-time adjustment to reflect the impacts of U.S. tax reform on the Arizona decoupling mechanism. The remaining net increase resulted from recoveries of regulatory assets (approximately $10 million, offset in amortization expense below), infrastructure replacement mechanisms, and customers outside the decoupling mechanisms.</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Operations and maintenance expense increased $6.1 million (or 1%) between periods primarily due to incremental expenditures for pipeline damage prevention programs and higher legal claim-related costs, partially offset by lower training and travel costs due to the current COVID-19 environment.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$25.4 million, or 13%, between periods primarily due to a $651 million, or 9%, increase in average gas plant in service since the corresponding period in the prior year. Amortization related to regulatory account recoveries increased approximately $10 million between periods.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$7.7 million between the twelve-month periods of 2020 and 2019 primarily due to a decline in COLI policy values. The current period reflects a $2.9 million increase in COLI policy cash surrender values, while the prior year period reflected a $6.5 million increase. Lower interest on regulatory account balances and lower amounts associated with the allowance for equity funds applied to projects during construction also impacted the variance between periods.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$8.9 million between periods primarily due to interest associated with the issuance of $300 million of Senior Notes in May 2019.</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reduction in income taxes between periods reflects lower earnings, as well as lower state income taxes (due to apportionment changes) and an additional $1.2 million in amortization of excess accumulated deferred income taxes following U.S. tax reform, which reduces tax expense.</w:t>
      </w: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4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4"/>
              </w:rPr>
              <w:t>June 30, 2020</w:t>
            </w:r>
          </w:p>
        </w:tc>
      </w:tr>
      <w:tr>
        <w:trPr>
          <w:trHeight w:val="938"/>
        </w:trPr>
        <w:tc>
          <w:tcPr>
            <w:tcW w:w="744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3"/>
        </w:trPr>
        <w:tc>
          <w:tcPr>
            <w:tcW w:w="74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1"/>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r>
      <w:tr>
        <w:trPr>
          <w:trHeight w:val="27"/>
        </w:trPr>
        <w:tc>
          <w:tcPr>
            <w:tcW w:w="7440" w:type="dxa"/>
            <w:vAlign w:val="bottom"/>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color w:val="auto"/>
                <w:w w:val="89"/>
              </w:rPr>
              <w:t>2019</w:t>
            </w:r>
          </w:p>
        </w:tc>
      </w:tr>
      <w:tr>
        <w:trPr>
          <w:trHeight w:val="27"/>
        </w:trPr>
        <w:tc>
          <w:tcPr>
            <w:tcW w:w="744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494,813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454,300</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38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 w:type="dxa"/>
            <w:vAlign w:val="bottom"/>
            <w:shd w:val="clear" w:color="auto" w:fill="CCEEFF"/>
          </w:tcPr>
          <w:p>
            <w:pPr>
              <w:spacing w:after="0"/>
              <w:rPr>
                <w:sz w:val="23"/>
                <w:szCs w:val="23"/>
                <w:color w:val="auto"/>
              </w:rPr>
            </w:pPr>
          </w:p>
        </w:tc>
        <w:tc>
          <w:tcPr>
            <w:tcW w:w="73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430,224</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402,199</w:t>
            </w:r>
          </w:p>
        </w:tc>
      </w:tr>
      <w:tr>
        <w:trPr>
          <w:trHeight w:val="270"/>
        </w:trPr>
        <w:tc>
          <w:tcPr>
            <w:tcW w:w="60" w:type="dxa"/>
            <w:vAlign w:val="bottom"/>
            <w:tcBorders>
              <w:bottom w:val="single" w:sz="8" w:color="CCEEFF"/>
            </w:tcBorders>
          </w:tcPr>
          <w:p>
            <w:pPr>
              <w:spacing w:after="0"/>
              <w:rPr>
                <w:sz w:val="23"/>
                <w:szCs w:val="23"/>
                <w:color w:val="auto"/>
              </w:rPr>
            </w:pPr>
          </w:p>
        </w:tc>
        <w:tc>
          <w:tcPr>
            <w:tcW w:w="738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24,019</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20,999</w:t>
            </w: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40,570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31,102</w:t>
            </w:r>
          </w:p>
        </w:tc>
      </w:tr>
      <w:tr>
        <w:trPr>
          <w:trHeight w:val="24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74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3,457</w:t>
            </w:r>
          </w:p>
        </w:tc>
      </w:tr>
      <w:tr>
        <w:trPr>
          <w:trHeight w:val="237"/>
        </w:trPr>
        <w:tc>
          <w:tcPr>
            <w:tcW w:w="60" w:type="dxa"/>
            <w:vAlign w:val="bottom"/>
          </w:tcPr>
          <w:p>
            <w:pPr>
              <w:spacing w:after="0"/>
              <w:rPr>
                <w:sz w:val="20"/>
                <w:szCs w:val="20"/>
                <w:color w:val="auto"/>
              </w:rPr>
            </w:pPr>
          </w:p>
        </w:tc>
        <w:tc>
          <w:tcPr>
            <w:tcW w:w="7380" w:type="dxa"/>
            <w:vAlign w:val="bottom"/>
            <w:gridSpan w:val="4"/>
          </w:tcPr>
          <w:p>
            <w:pPr>
              <w:ind w:left="28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38,417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27,168</w:t>
            </w:r>
          </w:p>
        </w:tc>
      </w:tr>
      <w:tr>
        <w:trPr>
          <w:trHeight w:val="27"/>
        </w:trPr>
        <w:tc>
          <w:tcPr>
            <w:tcW w:w="74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10,234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7,474</w:t>
            </w:r>
          </w:p>
        </w:tc>
      </w:tr>
      <w:tr>
        <w:trPr>
          <w:trHeight w:val="237"/>
        </w:trPr>
        <w:tc>
          <w:tcPr>
            <w:tcW w:w="60" w:type="dxa"/>
            <w:vAlign w:val="bottom"/>
          </w:tcPr>
          <w:p>
            <w:pPr>
              <w:spacing w:after="0"/>
              <w:rPr>
                <w:sz w:val="20"/>
                <w:szCs w:val="20"/>
                <w:color w:val="auto"/>
              </w:rPr>
            </w:pPr>
          </w:p>
        </w:tc>
        <w:tc>
          <w:tcPr>
            <w:tcW w:w="7380" w:type="dxa"/>
            <w:vAlign w:val="bottom"/>
            <w:gridSpan w:val="4"/>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28,183</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19,694</w:t>
            </w:r>
          </w:p>
        </w:tc>
      </w:tr>
      <w:tr>
        <w:trPr>
          <w:trHeight w:val="27"/>
        </w:trPr>
        <w:tc>
          <w:tcPr>
            <w:tcW w:w="744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r>
      <w:tr>
        <w:trPr>
          <w:trHeight w:val="263"/>
        </w:trPr>
        <w:tc>
          <w:tcPr>
            <w:tcW w:w="7440" w:type="dxa"/>
            <w:vAlign w:val="bottom"/>
            <w:gridSpan w:val="5"/>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26,267</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18,918</w:t>
            </w:r>
          </w:p>
        </w:tc>
      </w:tr>
      <w:tr>
        <w:trPr>
          <w:trHeight w:val="21"/>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Utility infrastructure services revenues increased $40.5 million in the second quarter of 2020 when compared to the prior-year quarter, due to a higher volume of electric infrastructure and pipe replacement work under blanket and bid contracts. Included in this improvement were revenues of $7.3 million in the second quarter of 2020 from storm-related electric services work that did not occur during the same quarter in the prior year. Centuri achieved the overall increase in revenues despite a temporary shut-down for certain crews in response to local government requirements to postpone non-essential business services and precautions to ensure employee safety during the COVID-19 outbreak.</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expenses increased $28 million in the second quarter of 2020 when compared to the prior-year quarter, due primarily to costs to complete additional electric infrastructure and pipe replacement work, partially offset by increased productivity and efficiencies on electrical infrastructure projects and lower fuel and overtime costs. Additionally, Centuri’s mix of work was favorably impacted by certain restrictions on service-line related work due to COVID-19, which allowed for an increase in main line replacement work, and resulted in greater production efficiency and reduced travel time. Centuri also benefited from $3.4 million in wage subsidies from the Canadian government amidst the COVID-19 environment. These funds were recorded as a reduction in wage-related expenses, included within this line item. Offsetting some of these improvements were certain increased costs and workforce inefficiencies associated with the continued impact of the COVID-19 pandemic.</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increased $3 million between quarters attributable to additional equipment purchased to support the growing volume of work being performed, primarily at Linetec.</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$1.2 million between periods due primarily to lower rates associated with outstanding borrowings under the $590 million secured revolving credit and term loan facility.</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Six-Month Analysis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20" w:type="dxa"/>
            <w:vAlign w:val="bottom"/>
          </w:tcPr>
          <w:p>
            <w:pPr>
              <w:spacing w:after="0"/>
              <w:rPr>
                <w:sz w:val="18"/>
                <w:szCs w:val="18"/>
                <w:color w:val="auto"/>
              </w:rPr>
            </w:pPr>
          </w:p>
        </w:tc>
      </w:tr>
      <w:tr>
        <w:trPr>
          <w:trHeight w:val="230"/>
        </w:trPr>
        <w:tc>
          <w:tcPr>
            <w:tcW w:w="7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3"/>
          </w:tcPr>
          <w:p>
            <w:pPr>
              <w:jc w:val="right"/>
              <w:ind w:right="330"/>
              <w:spacing w:after="0"/>
              <w:rPr>
                <w:sz w:val="20"/>
                <w:szCs w:val="20"/>
                <w:color w:val="auto"/>
              </w:rPr>
            </w:pPr>
            <w:r>
              <w:rPr>
                <w:rFonts w:ascii="Arial" w:cs="Arial" w:eastAsia="Arial" w:hAnsi="Arial"/>
                <w:sz w:val="18"/>
                <w:szCs w:val="18"/>
                <w:color w:val="auto"/>
              </w:rPr>
              <w:t>June 30,</w:t>
            </w:r>
          </w:p>
        </w:tc>
        <w:tc>
          <w:tcPr>
            <w:tcW w:w="112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color w:val="auto"/>
                <w:w w:val="94"/>
              </w:rPr>
              <w:t>2019</w:t>
            </w:r>
          </w:p>
        </w:tc>
      </w:tr>
      <w:tr>
        <w:trPr>
          <w:trHeight w:val="27"/>
        </w:trPr>
        <w:tc>
          <w:tcPr>
            <w:tcW w:w="7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828,306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767,162</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Utility infrastructure services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749,538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702,664</w:t>
            </w:r>
          </w:p>
        </w:tc>
      </w:tr>
      <w:tr>
        <w:trPr>
          <w:trHeight w:val="243"/>
        </w:trPr>
        <w:tc>
          <w:tcPr>
            <w:tcW w:w="75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46,947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40,926</w:t>
            </w:r>
          </w:p>
        </w:tc>
      </w:tr>
      <w:tr>
        <w:trPr>
          <w:trHeight w:val="27"/>
        </w:trPr>
        <w:tc>
          <w:tcPr>
            <w:tcW w:w="7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31,821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23,572</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398</w:t>
            </w:r>
          </w:p>
        </w:tc>
      </w:tr>
      <w:tr>
        <w:trPr>
          <w:trHeight w:val="27"/>
        </w:trPr>
        <w:tc>
          <w:tcPr>
            <w:tcW w:w="7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6,726</w:t>
            </w: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26,527</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17,244</w:t>
            </w:r>
          </w:p>
        </w:tc>
      </w:tr>
      <w:tr>
        <w:trPr>
          <w:trHeight w:val="27"/>
        </w:trPr>
        <w:tc>
          <w:tcPr>
            <w:tcW w:w="7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5,006</w:t>
            </w:r>
          </w:p>
        </w:tc>
      </w:tr>
      <w:tr>
        <w:trPr>
          <w:trHeight w:val="237"/>
        </w:trPr>
        <w:tc>
          <w:tcPr>
            <w:tcW w:w="7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12,238</w:t>
            </w:r>
          </w:p>
        </w:tc>
      </w:tr>
      <w:tr>
        <w:trPr>
          <w:trHeight w:val="27"/>
        </w:trPr>
        <w:tc>
          <w:tcPr>
            <w:tcW w:w="7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1,351</w:t>
            </w:r>
          </w:p>
        </w:tc>
      </w:tr>
      <w:tr>
        <w:trPr>
          <w:trHeight w:val="264"/>
        </w:trPr>
        <w:tc>
          <w:tcPr>
            <w:tcW w:w="7560" w:type="dxa"/>
            <w:vAlign w:val="bottom"/>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10,887</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Utility infrastructure services revenues increased $61.1 million during the first six months of 2020 when compared to the same period in the prior year due to a higher volume of electric infrastructure and pipe replacement work under blanket and bid contracts. Electric infrastructure work composed $53.9 million of that increase, including the storm-related work noted earlier. The improvement was achieved despite a temporary shut-down for certain crews in response to local government requirements to postpone non-essential business services and precautions to ensure employee safety during the COVID-19 outbreak. Results during the first six months of 2019 reflected incremental profit from customer requested strike support that did not recur in 2020</w:t>
      </w:r>
      <w:r>
        <w:rPr>
          <w:rFonts w:ascii="Arial" w:cs="Arial" w:eastAsia="Arial" w:hAnsi="Arial"/>
          <w:sz w:val="19"/>
          <w:szCs w:val="19"/>
          <w:color w:val="auto"/>
        </w:rPr>
        <w:t>.</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Utility infrastructure services expenses increased $46.9 million during the first six months of 2020 when compared to the same period in the prior year, due primarily to increased costs to complete additional electric infrastructure and pipe replacement work, partially offset by the increased productivity and efficiencies on electrical infrastructure projects and lower fuel and overtime costs noted for the second quarter of 2020. Additionally, the improved mix of work during the second quarter for main line replacements provided cost efficiencies. Offsetting these favorable impacts were certain increased costs and workforce inefficiencies associated with the continued impact of the COVID-19 pandemic.</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$6 million between periods attributable to additional equipment purchased to support the growing volume of work being performed, primarily at Linetec.</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were lower during 2020 due to lower rates associated with outstanding borrowings under the $590 million secured revolving credit and term loan facility.</w:t>
      </w:r>
    </w:p>
    <w:p>
      <w:pPr>
        <w:spacing w:after="0" w:line="200" w:lineRule="exact"/>
        <w:rPr>
          <w:sz w:val="20"/>
          <w:szCs w:val="20"/>
          <w:color w:val="auto"/>
        </w:rPr>
      </w:pPr>
    </w:p>
    <w:p>
      <w:pPr>
        <w:spacing w:after="0" w:line="3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44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4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June 30, 2020</w:t>
            </w:r>
          </w:p>
        </w:tc>
      </w:tr>
      <w:tr>
        <w:trPr>
          <w:trHeight w:val="938"/>
        </w:trPr>
        <w:tc>
          <w:tcPr>
            <w:tcW w:w="750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3"/>
        </w:trPr>
        <w:tc>
          <w:tcPr>
            <w:tcW w:w="750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8"/>
        </w:trPr>
        <w:tc>
          <w:tcPr>
            <w:tcW w:w="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 Ended June 30,</w:t>
            </w:r>
          </w:p>
        </w:tc>
      </w:tr>
      <w:tr>
        <w:trPr>
          <w:trHeight w:val="27"/>
        </w:trPr>
        <w:tc>
          <w:tcPr>
            <w:tcW w:w="7500" w:type="dxa"/>
            <w:vAlign w:val="bottom"/>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2019</w:t>
            </w:r>
          </w:p>
        </w:tc>
      </w:tr>
      <w:tr>
        <w:trPr>
          <w:trHeight w:val="27"/>
        </w:trPr>
        <w:tc>
          <w:tcPr>
            <w:tcW w:w="750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1,812,122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1,634,226</w:t>
            </w:r>
          </w:p>
        </w:tc>
      </w:tr>
      <w:tr>
        <w:trPr>
          <w:trHeight w:val="243"/>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74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1,620,101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1,478,730</w:t>
            </w:r>
          </w:p>
        </w:tc>
      </w:tr>
      <w:tr>
        <w:trPr>
          <w:trHeight w:val="243"/>
        </w:trPr>
        <w:tc>
          <w:tcPr>
            <w:tcW w:w="60" w:type="dxa"/>
            <w:vAlign w:val="bottom"/>
          </w:tcPr>
          <w:p>
            <w:pPr>
              <w:spacing w:after="0"/>
              <w:rPr>
                <w:sz w:val="21"/>
                <w:szCs w:val="21"/>
                <w:color w:val="auto"/>
              </w:rPr>
            </w:pPr>
          </w:p>
        </w:tc>
        <w:tc>
          <w:tcPr>
            <w:tcW w:w="7440" w:type="dxa"/>
            <w:vAlign w:val="bottom"/>
            <w:gridSpan w:val="4"/>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93,638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72,162</w:t>
            </w:r>
          </w:p>
        </w:tc>
      </w:tr>
      <w:tr>
        <w:trPr>
          <w:trHeight w:val="27"/>
        </w:trPr>
        <w:tc>
          <w:tcPr>
            <w:tcW w:w="6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83,334</w:t>
            </w:r>
          </w:p>
        </w:tc>
      </w:tr>
      <w:tr>
        <w:trPr>
          <w:trHeight w:val="243"/>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529</w:t>
            </w:r>
          </w:p>
        </w:tc>
      </w:tr>
      <w:tr>
        <w:trPr>
          <w:trHeight w:val="27"/>
        </w:trPr>
        <w:tc>
          <w:tcPr>
            <w:tcW w:w="750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14,412</w:t>
            </w:r>
          </w:p>
        </w:tc>
      </w:tr>
      <w:tr>
        <w:trPr>
          <w:trHeight w:val="237"/>
        </w:trPr>
        <w:tc>
          <w:tcPr>
            <w:tcW w:w="60" w:type="dxa"/>
            <w:vAlign w:val="bottom"/>
          </w:tcPr>
          <w:p>
            <w:pPr>
              <w:spacing w:after="0"/>
              <w:rPr>
                <w:sz w:val="20"/>
                <w:szCs w:val="20"/>
                <w:color w:val="auto"/>
              </w:rPr>
            </w:pPr>
          </w:p>
        </w:tc>
        <w:tc>
          <w:tcPr>
            <w:tcW w:w="7440" w:type="dxa"/>
            <w:vAlign w:val="bottom"/>
            <w:gridSpan w:val="4"/>
          </w:tcPr>
          <w:p>
            <w:pPr>
              <w:ind w:left="28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85,797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69,451</w:t>
            </w:r>
          </w:p>
        </w:tc>
      </w:tr>
      <w:tr>
        <w:trPr>
          <w:trHeight w:val="27"/>
        </w:trPr>
        <w:tc>
          <w:tcPr>
            <w:tcW w:w="750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20,299</w:t>
            </w:r>
          </w:p>
        </w:tc>
      </w:tr>
      <w:tr>
        <w:trPr>
          <w:trHeight w:val="237"/>
        </w:trPr>
        <w:tc>
          <w:tcPr>
            <w:tcW w:w="60" w:type="dxa"/>
            <w:vAlign w:val="bottom"/>
          </w:tcPr>
          <w:p>
            <w:pPr>
              <w:spacing w:after="0"/>
              <w:rPr>
                <w:sz w:val="20"/>
                <w:szCs w:val="20"/>
                <w:color w:val="auto"/>
              </w:rPr>
            </w:pPr>
          </w:p>
        </w:tc>
        <w:tc>
          <w:tcPr>
            <w:tcW w:w="7440" w:type="dxa"/>
            <w:vAlign w:val="bottom"/>
            <w:gridSpan w:val="4"/>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61,320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49,152</w:t>
            </w:r>
          </w:p>
        </w:tc>
      </w:tr>
      <w:tr>
        <w:trPr>
          <w:trHeight w:val="27"/>
        </w:trPr>
        <w:tc>
          <w:tcPr>
            <w:tcW w:w="750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1,523</w:t>
            </w:r>
          </w:p>
        </w:tc>
      </w:tr>
      <w:tr>
        <w:trPr>
          <w:trHeight w:val="263"/>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57,581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47,629</w:t>
            </w:r>
          </w:p>
        </w:tc>
      </w:tr>
      <w:tr>
        <w:trPr>
          <w:trHeight w:val="21"/>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revenues increased $177.9 million overall in the current twelve-month period compared to the corresponding period of 2019, primarily due to incremental revenues from Linetec (acquired in November 2018) of $165.5 million, as well as continued growth with existing customers under master service and bid agreements. Partially offsetting these increases were decreased revenues from certain non-routine or non-recurring projects, including customer-requested support in 2018 and early 2019 during strike-related and emergency response situations, in addition to a multi-year water pipe replacement project that expired in July 2019 and was not renewed. The prior-year period also included the settlement of an earlier contract dispute related to that project ($9 million). Implementation of new professional engineering stamp requirements for operating locations within certain eastern states in the U.S. resulted in lower revenues during the current period as Centuri worked with customers to adopt the new requirements.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Utility infrastructure services expenses increased $141.4 million between periods, primarily due to incremental expenses related to Linetec of $137.7 million, along with additional electric infrastructure and pipe replacement work and higher labor-related operating expenses to support growth. Included in total Utility infrastructure services expenses were general and administrative costs, which increased $2 million in the twelve-month period ended June 2020 when compared to the corresponding period ended June 2019. Offsetting impacts include deal costs from the acquisition of Linetec during 2018 ($6.9 million). Net gains on sale of equipment (reflected as an offset to Utility infrastructure services expenses) were $4.9 million and $2.3 million for the twelve-month periods of 2020 and 2019, respectively.</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$21.5 million between the current and prior-year period. The increase was primarily attributable to the incremental assets related to the acquisition of Linetec, providing $15.5 million of the increase in this category. Depreciation on additional property and equipment purchased to support the growing volume of work being performed composes the remainder of the increase.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$1.9 million between periods due primarily to lower rates associated with outstanding borrowings under the $590 million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On May 1, 2019, Southwest filed a general rate case application requesting to increase revenue by approximately $57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to update the cost of service to reflect recent U.S. tax reform changes, including the return of excess deferred income taxes to customers, and to reflect capital investments of approximately $670 million, including certain post-test year additions, including the southern Arizona LNG facility discussed below. The application also includes a proposed 10.3% return on equity (“ROE”) relative to a capital structure of 51.1% equity. At the time of the filing, the Company estimated the return of approximately $20.6 million of excess accumulated deferred income taxes. Following the original filing, in October 2019, Southwest filed an amendment to its application, updating for $5.7 million in actual amortization of accumulated excess deferred income taxes known after the Company’s 2018 federal income tax return was filed in 2019. It was at such point that the actual amount could be computed based on the prescribed methodology for determining the amount that could be returned to customers. The difference of $14.9 million would result in an increase in revenue and income tax expense, thereby having no impact on earnings overall. In association with the amendment, Southwest also included additional post-test year plant in the amount of $124.5 million associated with its COYL and VSP programs, discussed further below. The amendment overall increased the deficiency by $36 million, to $93 million. Through the discovery and testimony exchanges, Southwest updated certain aspects of its cost of service, including a revised proposed ROE of 10.15%, resulting in an updated proposed increase of $90.6 million. The request overall includes the retention of a fully decoupled rate design, other previously approved regulatory mechanisms, and a new infrastructure tracking mechanism for specific plastic pipe. It also includes a proposal for a renewable natural gas program that authorizes Southwest to purchase renewable natural gas for its customers and to recover the cost as part of its purchased gas adjustment mechanism. A hearing in this matter was previously scheduled for April 2020; however, due to the COVID-19 pandemic, the hearing was conducted during June and July. Prior to the start of the hearing, Southwest entered into a stipulation with the parties to the case on a number of issues. As part of the stipulation, the parties agreed to continue the COYL program; to establish a Tax Expense Adjustor Mechanism to track annual changes in the amortization of excess accumulated deferred income taxes (“EADIT”) as well as any future changes in the federal tax rate; to incorporate various tariff proposals; and to include a resolution for a 10-year amortization period for EADIT associated with deemed “unprotected” plant. EADIT associated with “protected” plant relates to timing differences from using accelerated depreciation for tax purposes and another method for book purposes and “unprotected” amounts relate to all other timing differences. Legal briefs will continue through mid-September, with a Commission decision expected during the fourth quarter.</w:t>
      </w:r>
    </w:p>
    <w:p>
      <w:pPr>
        <w:spacing w:after="0" w:line="2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The DCA rate adjustment request filed in April 2018 reflected the December 31, 2017 balance, but was later updated to include the balance at December 31, 2018. After a one-time modification to reflect benefits attributable to the impact of U.S. tax reform on the balance then existing, the ACC approved an annualized recovery of $69 million, with the associated rate effective in May 2019. In the process to address the 2019 activity, in April 2020, Southwest filed a request to adjust the existing rate to consider the 14-month period of January 1, 2019 through February 29, 2020, proposing a rate of $0.00655 per therm based on an ending balance of approximately $3.5 million. Although Commission Staff concurred with Southwest’s proposed rate, the ACC ultimately elected to reduce the rate to zero in an effort to provide some measure of customer relief in light of current issues related to the COVID-19 pandemic, and at the time of both the April filing and the ACC decision, the balance was a liability (in an over-recovered status). Any over-or under-collection will be addressed in Southwest’s next annual filing.</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U.S. tax reform beginning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2018, through one of various means. In April 2018, Southwest filed an application with the ACC, requesting approval for a tax refund process or, in the alternative, the authority to file a general rate case to reflect the impacts of tax reform. Ultimately, Southwest was instructed to refund customers $20 million annually, as compared to rate levels established in the previously concluded general rate case, until cost-of-service rates are updated in association with the pending general rate case. The current method to return this amount (in advance of the conclusion of the current general rate proceeding) is through a per-therm surcredit. Southwest has been tracking monthly differences between amounts expected to be returned and amounts actually returned to customers during 2018 and 2019, and continuing in 2020, which has resulted in an asset balance of $1.6 million as of June 30, 2020.</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Southwest was ultimately granted approval for construction and deferral of costs not to exceed $80 million. Construction began during the third quarter of 2017 and the facility was placed in service in December 2019. Southwest incurred approximately $75.3 million in capital expenditures toward the project (including land acquisition costs), which are considered as part of Southwest’s pending rate case. In addition to tracking the revenue requirement associated with the capital investment in a regulatory asset, operating expenses associated with the plant are also authorized to be included in a regulatory asset, which is also being addressed as part of the pending general rate case.</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Customer-Owned Yard Line (“COYL”) Program. </w:t>
      </w:r>
      <w:r>
        <w:rPr>
          <w:rFonts w:ascii="Arial" w:cs="Arial" w:eastAsia="Arial" w:hAnsi="Arial"/>
          <w:sz w:val="16"/>
          <w:szCs w:val="16"/>
          <w:color w:val="auto"/>
        </w:rPr>
        <w:t>Southwest received approval, in connection with its 2010 Arizona general rate case, to implement a</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to conduct leak surveys, and if leaks were present, to replace and relocate service lines and meters for Arizona customers whose meters were set off from the customer’s home, representing a non-traditional configuration. “Phase II” of the COYL program included the replacement of non-leaking COYLs. The surcharge is designed to collect the annual revenue requirement as the program progresses. In the filing made in February 2019, Southwest requested to increase its surcharge to recover a revenue requirement of $6.7 million (an increase of $3.2 million) related to the revenue requirement associated with $26.6 million in capital projects completed in 2018. The ACC ultimately issued an Order in October 2019 authorizing Southwest to retain the existing annual surcharge of $3.5 million and indicating it would review the program as part of the pending general rate case. As discussed above, the parties to the pending rate case stipulated to continue the COYL program. Southwest also proposed to have the ACC review an estimated $21.1 million of 2019 COYL capital projects, and if authorized, to also render a decision regarding cost recovery as part of the pending rate case. As part of their filed testimony in the current case, the ACC Staff and the consumer advocate recommended recovery of this plant as part of Southwest’s filed post-test year plant adjustment, with inclusion of related amounts in base rates, and also support the continuation of the COYL program.</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Vintage Steel Pipe (“VSP”) Program. </w:t>
      </w:r>
      <w:r>
        <w:rPr>
          <w:rFonts w:ascii="Arial" w:cs="Arial" w:eastAsia="Arial" w:hAnsi="Arial"/>
          <w:sz w:val="17"/>
          <w:szCs w:val="17"/>
          <w:color w:val="auto"/>
        </w:rPr>
        <w:t>Southwest received approval, in connection with its 2016 Arizona general rate case, to implement a VSP</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program. Southwest currently has a substantial amount of pre-1970s vintage steel pipe in Arizona. As part of the program, Southwest proposed to start replacing the pipe on an accelerated basis and to recover the costs through an annual surcharge filing. A surcharge related thereto has been customarily designed to be revised annually as the program progresses to collect the annual revenue requirement associated with the related capital expenditures. In the most recent VSP filing, in February 2019, Southwest requested to increase its surcharge revenue by $9.5 million (to $11.9 million) related to 2018 expenditures. Southwest replaced approximately $100 million of VSP in connection with 2018 VSP capital projects. The ACC issued an Order in October 2019 authorizing Southwest to retain the current annual surcharge of $2.4 million and indicated it would review the program as part of the pending rate general case. Southwest also proposed to have the ACC review an estimated $103.4 million of 2019 VSP capital projects, and if authorized, to also render a decision regarding cost recovery as part of the pending rate case. As part of their filed testimony in the current case, the ACC Staff and the consumer advocate recommended recovery of this plant as part of Southwest’s filed post-test year plan adjustment, with inclusion of related amounts in base rates. The continuation of the VSP is pending a decision in the current general rate proceeding.</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has embarked on an initiative to replace its customer service system and gas transaction systems,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is utilized to support all Southwest service territories. Combined, these undertakings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multi-year initiative. The total cost for the CDMI is estimated at $174 million, approximately $96 million of which would be allocable to the Arizona rate jurisdiction. The initiative is currently expected to be completed in the first half of 2021. A hearing in this matter was held in June 2020. Legal briefs will continue through mid-September, with a Commission decision expected in the fourth quarter.</w:t>
      </w: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Southwest’s existing rates became effective June 2014, and included a Post-Test Year (“PTY”) Ratemaking Mechanism,</w:t>
      </w:r>
      <w:r>
        <w:rPr>
          <w:rFonts w:ascii="Arial" w:cs="Arial" w:eastAsia="Arial" w:hAnsi="Arial"/>
          <w:sz w:val="16"/>
          <w:szCs w:val="16"/>
          <w:i w:val="1"/>
          <w:iCs w:val="1"/>
          <w:color w:val="auto"/>
        </w:rPr>
        <w:t xml:space="preserve"> </w:t>
      </w:r>
      <w:r>
        <w:rPr>
          <w:rFonts w:ascii="Arial" w:cs="Arial" w:eastAsia="Arial" w:hAnsi="Arial"/>
          <w:sz w:val="16"/>
          <w:szCs w:val="16"/>
          <w:color w:val="auto"/>
        </w:rPr>
        <w:t>which allowed for attrition increases of 2.75% annually for 2015 through 2018, after which time new rates from a subsequent rate case cycle would have been expected to be in effect. In December 2016, Southwest filed to modify the earlier (2014) general rate case decision to extend the rate case cycle by two years, and received CPUC approval in June 2017, including extension of the annual 2.75% PTY attrition adjustments for 2019 and 2020.</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30, 2019, Southwest filed the previously deferred general rate case, based on a test year of 2021, seeking authority to increase rates in its California rate jurisdictions. The proposed combined revenue increase of $12.8 million was net of a $10.9 million revenue reduction associated with changes from U.S. tax reform, which included the amortization of $9.8 million (approximately $2 million annually over five years) associated with the difference in authorized income tax expense and actual incurred income tax expense for years 2019 and 2020, which when returned will impact cash flows but would not be expected to have an impact on earnings overall. Southwest has been tracking those amounts, as directed, and reserving them for return to customers. The overall revenue request also included $1.6 million of excess accumulated deferred income taxes proposed to be returned to customers each year until the amount is reset as part of a future rate case. Southwest’s proposal included an ROE of 10.5%, relative to a 53% equity ratio; continuation of annual post-test year margin adjustments of 2.75%; implementation of various safety-related programs, including a targeted pipe replacement program and a meter protection program (with a combination of measures, such as snow sheds, excess flow valves, upgraded meter set piping and upgraded Encoder Receiver Transmitter protocol); as well as an expansion of the COYL replacement program. Ahead of hearings scheduled to begin in late June, Southwest reached an agreement in principle with the Public Advocate’s Office for settlement of the pending general rate case.</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agreement in principle includes a $6.4 million total combined revenue increase with a 10% ROE, relative to a 52% equity ratio. Approximately $4 million of the original proposed increase of $12.8 million is associated with a North Lake Tahoe project that will not be completed by the beginning of 2021; consequently, the parties agreed to remove it from the base rate increase and instead Southwest will recover the cost of the project through a surcharge as described below. The agreement also maintains Southwest’s existing 2.75% annual attrition adjustments, the continuation of the pension balancing account, and approves the proposed increase in the residential basic service charge from the existing $5.00 to $5.75 per month. The parties also agreed to a cumulative total of $119 million over the five-year rate cycle to implement the proposed risk-informed decision making proposals, which consist of a COYL replacement, meter protection and pipe replacement programs. Southwest is also authorized to implement a surcharge annually to recover the cost of these programs. The agreement in principle was filed in early August 2020, and if approved, new rates would be expected to become effective in January 2021.</w:t>
      </w:r>
    </w:p>
    <w:p>
      <w:pPr>
        <w:spacing w:after="0" w:line="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2019, Southwest made its latest annual PTY attrition filing, requesting annual revenue increases of $2.06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$556,000 in northern California, and $278,000 for South Lake Tahoe. This filing was approved in December 2019 and rates were made effective in January 2020. At the same time, rates were updated to recover the regulatory asset associated with the revenue decoupling mechanism, or margin tracker.</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Greenhouse Gas (“GHG”) Compliance. </w:t>
      </w:r>
      <w:r>
        <w:rPr>
          <w:rFonts w:ascii="Arial" w:cs="Arial" w:eastAsia="Arial" w:hAnsi="Arial"/>
          <w:sz w:val="18"/>
          <w:szCs w:val="18"/>
          <w:color w:val="auto"/>
        </w:rPr>
        <w:t>California Assembly Bill Number 32 and the regulations promulgated by the California Air Resources Board,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Amounts distributed in April 2019 and 2020 were comparable. GHG compliance costs recovered through rates (including transportation customer rates) have no impact on earnings.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provisions, seeks to formally allow the inclusion of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(or biomethane) as a potential component of Southwest’s gas supply portfolio through the Biomethane Gas Program (“BGP”). This proposal is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On April 26, 2019, Southwest filed an application with the CPUC seeking authority to establish a two-way,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bearing balancing account to record costs associated with the CDMI to mitigate adverse financial implications associated with this multi-year project. Approximately $19 million of the estimated $174 million cost for the</w:t>
      </w: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CDMI would be allocable to the California rate jurisdiction. Southwest filed a separate request to establish a memorandum account while the CPUC considered its application request to establish a two-way balancing account. Effective October 2019, the CPUC granted Southwest’s memorandum account request, which would allow Southwest to track costs, including operations and maintenance costs and capital-related costs, such as depreciation, taxes, and return associated with California’s portion of the CDMI. The balance tracked in the memorandum account would be transferred to the two-way balancing account, if approved. In January 2020, Southwest and the Public Advocates Office reached a settlement agreement to adopt Southwest’s Application for Authority to Implement the CDMI. The CPUC issued a final decision approving the settlement agreement as filed in July 2020.</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Emergency Relief Program Related to COVID-19. </w:t>
      </w:r>
      <w:r>
        <w:rPr>
          <w:rFonts w:ascii="Arial" w:cs="Arial" w:eastAsia="Arial" w:hAnsi="Arial"/>
          <w:sz w:val="17"/>
          <w:szCs w:val="17"/>
          <w:color w:val="auto"/>
        </w:rPr>
        <w:t>On March 25, 2020, Southwest filed an Advice Letter to establish a memorandum account to track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customer protections under Emergency Relief regulations implemented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filed an Advice Letter to establish a COVID-19 Pandemic Protections Memorandum Account (“CPPMA”) to record all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is effective March 4, 2020 through April 16, 2021. These customer protections focus on flexible payment plan options, additional protections for income-qualified customers, as well as the suspension of disconnections for non-payment and the waiver of deposit and late fee requirements. Tracked amounts will be considered by the CPUC for future recovery.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Nevada General Rate Case. </w:t>
      </w:r>
      <w:r>
        <w:rPr>
          <w:rFonts w:ascii="Arial" w:cs="Arial" w:eastAsia="Arial" w:hAnsi="Arial"/>
          <w:sz w:val="17"/>
          <w:szCs w:val="17"/>
          <w:color w:val="auto"/>
        </w:rPr>
        <w:t>Southwest filed a general rate case application with the PUCN on February 28, 2020, which requested a statewide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rate increase of approximately $38.3 million. The request seeks an ROE of 10% relative to a proposed capital structure of 50% equity and continuation of the General Revenues Adjustment (“GRA”) mechanism (full revenue decoupling). The request also proposes the recovery of previously excluded costs attributable to several software applications. On June 26, 2020, Southwest submitted its certification filing to update certain balances through May 31, 2020, which increased its overall proposed rate increase to $38.5 million. Commission Staff and the Bureau of Consumer Protection filed testimony on July 24, 2020, recommending an overall increase of approximately $21.6 million and approximately $20 million, respectively. A substantial portion of the difference between Southwest’s request and the proposals of these parties relates to differences in the recommended ROE. No party contested the recovery of the remaining balances of the previously excluded software applications or the continuation of the GRA. Included in the Commission’s Staff recommended increase is approximately $585,000 related to incremental operation and maintenance expenses related to Southwest’s CDMI (discussed below), providing an opportunity for recovery of these costs following the denial of Southwest’s request for deferred accounting treatment in 2019. A hearing in this matter is scheduled for August 2020.</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PUCN issued a rate case decision in the previous general rate case application, which authorized a ROE of 9.25% relative to the Company’s proposed capital structure of 49.66% equity applicable to both southern and northern Nevada and provided for an overall revenue increase of $9.5 million in southern Nevada and a revenue decrease in northern Nevada of $2 million. Rates from this proceeding originally became effective in January 2019.</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that proceeding, management filed a request for reconsideration of several rate case issues during the same month of effective rates, and the PUCN Staff also filed for reconsideration, related to technical clarifications on the calculation of the intended results of the decision. The PUCN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an increase in operating income of $7.9 million. The modified rates became effective in March 2019. Management decided to seek judicial review of the PUCN’s rate order, which was considered in January 2020. The District Court Judge deferred to the PUCN’s original findings. In March 2020, Southwest filed an appeal with the Nevada Supreme Court, the resolution of which will likely take 12-24 months. Southwest expects consideration of the appeal to occur concurrently with the proceedings of the 2020 general rate case, a decision which is currently pending.</w:t>
      </w:r>
    </w:p>
    <w:p>
      <w:pPr>
        <w:spacing w:after="0" w:line="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The continuation of the GRA was affirmed as part of the December 2018 rate case decision and is again being requested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Southwest’s pending general rate case application filed in February 2020. In June 2019, Southwest made its 2019 Annual Rate Adjustment (“ARA”) filing in which it requested to update the GRA to reflect the current balances in both southern and northern Nevada. This filing provided for a decrease of approximately $8 million for an over-collected balance in southern Nevada and an increase of approximately $2 million in northern Nevada. The proposed changes were approved, with rates effective January 2020. While there is no impact to net income overall from adjustments to recovery</w:t>
      </w:r>
    </w:p>
    <w:p>
      <w:pPr>
        <w:spacing w:after="0" w:line="200" w:lineRule="exact"/>
        <w:rPr>
          <w:sz w:val="20"/>
          <w:szCs w:val="20"/>
          <w:color w:val="auto"/>
        </w:rPr>
      </w:pPr>
    </w:p>
    <w:p>
      <w:pPr>
        <w:spacing w:after="0" w:line="3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rates associated with the related regulatory balances, operating cash flows are impacted by such changes. In May 2020, Southwest made its 2020 ARA filing, which proposes annualized margin decreases of $5.3 million in southern Nevada and an increase of $1.6 million in northern Nevada.</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Gas Infrastructure Replacement (“GIR”) mechanism which defers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recovers certain costs associated with accelerated replacement of qualifying infrastructure that would not otherwise currently provide incremental revenues. Associated with the replacement of various types of pipe infrastructure under the mechanism (Early Vintage Plastic Pipe, COYL, and VSP), the related regulations provide Southwest with the opportunity to file a GIR “Advance Application” annually, generally in May, to seek preapproval of qualifying replacement projects.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a GIR Rate Application is generally filed each October to reset the GIR recovery surcharge rate related to previously approved and completed projects, with new rates typically becoming effective each January. On October 1, 2019, Southwest filed a Rate Application to reset the recovery surcharge to include cumulative deferrals through August 31, 2019. This surcharge rate became effective February 1, 2020 and is expected to result in a reduction in annual revenue of approximately $5.3 million in southern Nevada and no incremental revenue in northern Nevada</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Conservation and Energy Efficiency (“CEE”). </w:t>
      </w:r>
      <w:r>
        <w:rPr>
          <w:rFonts w:ascii="Arial" w:cs="Arial" w:eastAsia="Arial" w:hAnsi="Arial"/>
          <w:sz w:val="18"/>
          <w:szCs w:val="18"/>
          <w:color w:val="auto"/>
        </w:rPr>
        <w:t>The PUCN allows deferral (and later recovery) of approved conservation and energy efficiency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rates for which are adjusted in association with ARA filings. In June 2019, Southwest made its 2019 ARA filing, which proposed annualized margin increases of $3.2 million and $880,000 in southern and northern Nevada, respectively. However, Southwest entered into a stipulation and agreement to modify these amounts to $6.2 million and $1.1 million in southern and northern Nevada, respectively, which reflected the recovery of a related but separate program balance to be rolled into customer rates with the same effective date. The modification was approved, and rates became effective January 2020. In May 2020, Southwest made its 2020 ARA filing which proposes annualized margin decreases of $313,000 and $55,000 for southern and northern Nevada, respectively.</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2017, Southwest filed for preapproval of a project to extend service to Mesquite, Nevada, in accordance with the SB 151 regulations. Ultimately, the PUCN issued an order approving Southwest’s proposal to expand natural gas infrastructure and service to Mesquite. The order approved a capital investment of approximately $28 million and the construction of approximately 37 miles of distribution pipeline (including the approach main). The annual revenue requirement associated with the project is $2.8 million. A volumetric rate was implemented October 1, 2019 to recover the cost and is applicable to all southern Nevada customers (including new customers in Mesquite). In May 2020, Southwest made its 2020 ARA filing, which proposes an annualized margin increase of $185,000, which reflects the cumulative deferred revenue requirement associated with the Mesquite facilities that have been placed in service through April 30, 2020. Following preliminary design, in February 2019, Southwest began serving certain customers with an approved virtual pipeline network, providing temporary natural gas supply using portions of the approved distribution system and compressed natural gas. It is estimated that construction of the remaining approved distribution system to bring the permanent supply to Mesquite will be placed in service in the first quarter of 2021.</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is estimated to be $61.9 million. A stipulation in this matter was reached with the parties and approved by the PUCN in December 2019, which largely accepted Southwest’s proposal with modifications reflected in the rate recovery allocations split amongst northern Nevada, Elko, and Spring Creek expansion customers. Initial ground-breaking is expected in the summer of 2020.</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March 2019, Southwest filed a request seeking authority to establish a regulatory asset to defer the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related to the CDMI to mitigate the financial attrition associated with this multi-year project. Approximately $59 million of the estimated $174 million cost of the CDMI would be allocable to the Nevada rate jurisdictions. A hearing on this matter was held in August 2019 and the PUCN issued its decision in September 2019, denying Southwest’s request for regulatory asset treatment, finding that a general rate case is the most appropriate venue to address such costs. In response to the PUCN’s decision, Southwest filed a Petition for Reconsideration in October 2019, which was denied. Southwest proposed to establish a level of expense of approximately $1.2 million in rates as part of its pending general rate case</w:t>
      </w: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filing. The project is expected to be moved to production in 2021. As described above, Southwest has a proposal to provide an opportunity to recover these costs as part of its pending rate case.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to track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impacts associated with maintaining service for customers affected by COVID-19, including those whose service would have been otherwise terminated/disconnected, effective March 12, 2020, the date Governor Steve Sisolak declared a state of emergency related to COVID-19. These costs will be considered by the PUCN for future recovery.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Paiute Pipeline Company (“Paiute”), a wholly owned subsidiary of Southwest, filed a general rate case with the FERC in May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filing fulfilled an obligation from the settlement agreement reached in the 2014 Paiute general rate case. In January 2020, Paiute reached an agreement in principle with the FERC Staff and intervenors to settle its general rate case. In addition to continuing the term-differentiated rate structures with its shippers, the agreement requires Paiute’s three largest transportation customers and all of its storage customers to extend their service agreements to have primary terms of at least five years. The settlement will result in a revenue reduction of approximately $700,000 and is based on a 9.90% pre-tax rate of return. Also, as part of this agreement, Paiute agreed not to file a rate case prior to January 1, 2022, but no later than May 31, 2025.</w:t>
      </w:r>
    </w:p>
    <w:p>
      <w:pPr>
        <w:spacing w:after="0" w:line="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January 2020, Paiute requested, and was granted, the authority to place the settlement rates into effect on an interim basis effective February 2020. On March 30, 2020, Paiute filed the proposed settlement agreement with the FERC for review and approval. On July 6, 2020, the FERC issued a letter order approving the settlement. If no party requests rehearing within 30 days, the order will become final on August 5,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As of June 30, 2020, over-collections in each of Southwest’s service territories resulted in a liability of $69.9 million on the Company’s and Southwest’s Condensed Consolidated Balance Sheets.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Arial" w:cs="Arial" w:eastAsia="Arial" w:hAnsi="Arial"/>
                <w:sz w:val="18"/>
                <w:szCs w:val="18"/>
                <w:color w:val="auto"/>
              </w:rPr>
              <w:t>June 30, 2020</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2019</w:t>
            </w:r>
          </w:p>
        </w:tc>
        <w:tc>
          <w:tcPr>
            <w:tcW w:w="34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Arial" w:cs="Arial" w:eastAsia="Arial" w:hAnsi="Arial"/>
                <w:sz w:val="18"/>
                <w:szCs w:val="18"/>
                <w:color w:val="auto"/>
              </w:rPr>
              <w:t>June 30, 2019</w:t>
            </w:r>
          </w:p>
        </w:tc>
      </w:tr>
      <w:tr>
        <w:trPr>
          <w:trHeight w:val="27"/>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(87,692)</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3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9,967</w:t>
            </w:r>
          </w:p>
        </w:tc>
      </w:tr>
      <w:tr>
        <w:trPr>
          <w:trHeight w:val="27"/>
        </w:trPr>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3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48,273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(2,041)</w:t>
            </w:r>
          </w:p>
        </w:tc>
      </w:tr>
      <w:tr>
        <w:trPr>
          <w:trHeight w:val="27"/>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46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cash on hand and cash flows from operations have provided a substantial portion of cash used in investing activities (primarily for construction expenditures and property additions). In recent years, the Company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maintain investment-grade credit ratings, which should minimize interest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$97 million in the first six months of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2019. The improvement in cash flows primarily resulted from collections of amounts under purchased gas adjustment mechanisms (compared to amounts refunded in the prior year), an increase in</w:t>
      </w: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collections ($39 million) related to the Arizona decoupling mechanism balance between six-month periods, as well as increases from other working capital components. These impacts were partially offset by a $50 million supplemental contribution for pension funding made in January 2020 (included in Changes in other liabilities and deferred credits in the Condensed Consolidated Statements of Cash Flows of both the Company and Southwest). Customarily, differences between amounts Southwest pays to gas suppliers and amount included in customer rates to recover the cost of purchased gas under the purchased gas cost mechanisms has provided significant variability in operating cash flows between periods.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consolidated investing activities decreased $66 million in the first six months of 2020 as compared to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2019. The change was primarily due to a decrease in capital expenditures in both reportable segments in the first six months of 2020. Additionally, the prior-year period included $19.5 million for the remittance of purchase consideration previously held back in association with the 2018 Linetec acquisition.</w:t>
      </w:r>
    </w:p>
    <w:p>
      <w:pPr>
        <w:spacing w:after="0" w:line="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increased $35 million in the first six months of 2020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period of 2019. The change was primarily due to net proceeds of $447 million (after discount and fees) from the issuance of $450 million Senior Notes in June 2020 by Southwest, in which the funds were partially used to reduce the amounts then outstanding under its credit facility ($309 million); and in the prior year, Southwest used a portion of the net proceeds from the $300 million Senior Notes issued in May 2019 to reduce amounts then outstanding under its credit facility and commercial paper program. Additionally, there was a decrease ($48 million) in issuances of common stock under the Company’s Equity Shelf Program in the first half of 2020 compared to issuances under programs in the prior-year period. See </w:t>
      </w:r>
      <w:r>
        <w:rPr>
          <w:rFonts w:ascii="Arial" w:cs="Arial" w:eastAsia="Arial" w:hAnsi="Arial"/>
          <w:sz w:val="17"/>
          <w:szCs w:val="17"/>
          <w:b w:val="1"/>
          <w:bCs w:val="1"/>
          <w:color w:val="auto"/>
        </w:rPr>
        <w:t>Note 4 – Common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5 – Debt</w:t>
      </w:r>
      <w:r>
        <w:rPr>
          <w:rFonts w:ascii="Arial" w:cs="Arial" w:eastAsia="Arial" w:hAnsi="Arial"/>
          <w:sz w:val="17"/>
          <w:szCs w:val="17"/>
          <w:color w:val="auto"/>
        </w:rPr>
        <w:t>. Other outflows include the combined impacts of repayment and borrowings by Centuri under its secured credit and revolving credit facility, offset by $70 million in equipment loan proceeds.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the Company issued 86,000 shares of common stock through the Dividend Reinvestment and Stock Purchase Plan, raising approximately $6 million, similar to amounts raised in the prior year period.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 or other external financing sources. See </w:t>
      </w:r>
      <w:r>
        <w:rPr>
          <w:rFonts w:ascii="Arial" w:cs="Arial" w:eastAsia="Arial" w:hAnsi="Arial"/>
          <w:sz w:val="18"/>
          <w:szCs w:val="18"/>
          <w:b w:val="1"/>
          <w:bCs w:val="1"/>
          <w:color w:val="auto"/>
        </w:rPr>
        <w:t>Note 4 – Common Stock</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$92 million in the first six months of 2020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improvement in operating cash flows was attributable to collections of deferred purchased gas costs and recoveries related to the Arizona decoupling mechanism noted above, as well as other working capital components overall, partially offset by the supplemental contribution for pension funding described earlier.</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Cash used in investing activities decreased $6 million in the first six months of 2020 as compared to the same period of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change was primarily due to a decrease in capital expenditures in 2020 offset by a decrease in utility customer advances toward capital projects.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$53 million in the first six months of 2020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The increase was primarily due to the issuance of $450 million Senior Notes in the current period, net of amounts used to reduce the amounts outstanding under Southwest’s credit facility, compared to the prior year $300 million Senior Notes issuance and related credit facility and commercial paper program repayments. See </w:t>
      </w:r>
      <w:r>
        <w:rPr>
          <w:rFonts w:ascii="Arial" w:cs="Arial" w:eastAsia="Arial" w:hAnsi="Arial"/>
          <w:sz w:val="18"/>
          <w:szCs w:val="18"/>
          <w:b w:val="1"/>
          <w:bCs w:val="1"/>
          <w:color w:val="auto"/>
        </w:rPr>
        <w:t>Note 5 – Debt</w:t>
      </w:r>
      <w:r>
        <w:rPr>
          <w:rFonts w:ascii="Arial" w:cs="Arial" w:eastAsia="Arial" w:hAnsi="Arial"/>
          <w:sz w:val="18"/>
          <w:szCs w:val="18"/>
          <w:color w:val="auto"/>
        </w:rPr>
        <w:t>. The combined impact of dividends and contributions to/from the parent holding company resulted in a reduction in financing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June 30, 2020, construction expenditures for the natural gas operations segment were $768 million. The majority of these expenditures represented costs associated with scheduled and accelerated replacement of existing transmission, distribution, and general plant. Cash flows from operating activities of Southwest were $460 million during this time, and provided approximately 53% of construction expenditures and dividend requirements.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2022 will be approximately $2.1 billion. Of this amount, approximately $700 million is scheduled to be incurred in 2020. Southwest plans to continue to request regulatory support as necessary and appropriate to accelerate projects that improve system flexibility and reliability. Southwest may expand existing, or initiate new, programs. Significant replacement activities are currently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VSP programs, and Spring Creek in Nevada. During the three-year period, cash flows from operating activities of Southwest are expected to provide approximately 50% of the funding for gas operations total</w:t>
      </w: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construction expenditures and dividend requirements. 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noted earlier, in June 2020, Southwest issued $450 million aggregate principal amount of 2.20% Senior Notes at a discount of 0.126%. The notes will mature in June 2030. A portion of the net proceeds was used to reduce borrowings under Southwest’s credit facility. Additionally, Southwest intends to use a portion of the net proceeds from the issuance to redeem the 4.45% Notes. On July 31, 2020, holders of the 4.45% Notes due in December 2020 were notified of Southwest’s intention to redeem the notes in full on September 1, 2020 at a redemption price of 100% plus accrued and unpaid interest.</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The Company issued $50 million under this multi-year program during the second quarter of 2020; approximately $126 million is available under the program as of June 30, 2020.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twelve months ended June 30, 2020, 1,325,796 shares were issued in at-the-market offerings at an average price of $74.93 per share with gross proceeds of $99.3 million, agent commissions of $993,000, and net proceeds of $98.3 million under the Company’s Equity Shelf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$10 million of federal income taxes for 2020, none of which relates to utility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2020, the Board elected to increase the quarterly dividend from $0.545 to $0.570 per share, representing a 4.6% increase, effective with the June 2020 payment.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remains focused on the safety and well-being of our employees and on the service to our customers. The Company continues to review and assess the ongoing impacts of the COVID-19 pandemic, including those on our customers, suppliers, and business. As of June 30, 2020, the Company’s Cash and cash equivalents were $200 million (which is intended to redeem Southwest’s $125 million 4.45% Notes on September 1, 2020), and the Company had access to $679 million of borrowing capacity under the Company’s various credit facilities, which management believes will help manage the impacts of the COVID-19 pandemic on its business and address related liquidity needs if they should arise.</w:t>
      </w: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2020, the combined balance in the PGA accounts totaled an over-collection of $70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credit facility with a borrowing capacity of $100 million; on April 10, 2020, the existing credit facility was amended to extend the maturity date to April 10, 2025, while maintaining the borrowing capacity at $100 million. The Company intends to utilize this facility for short-term financing needs. At June 30, 2020, $58 million was outstanding under this facility.</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Southwest has a credit facility, with a borrowing capacity of $400 million; on April 10, 2020, Southwest amended the credit facility agreement which extended the maturity date to April 10, 2025. The revolving borrowing capacity under the amended credit facility agreement remains at $400 million following that amendment. Southwest designated $150 million of the facility for long-term borrowing needs and the remaining $250 million for working capital purposes. The maximum amount outstanding on the long-term portion of the credit facility (including a commercial paper program, as noted below) during the first six months of 2020 was $150 million. As of June 30, 2020, no amount was outstanding under the long-term portion of the facility. Additionally, the maximum amount outstanding on the short-term portion of the credit facility during the first six months of 2020 was $161 million. As of June 30, 2020, no amount was outstanding on the short-term portion of this credit facility. The credit facility can be used as necessary to meet liquidity requirements, including temporarily financing under-collected PGA balances, if any, or meeting the refund needs of over-collected balances. It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2020 will be designated as long-term debt. Interest rates for the commercial paper program are calculated at the current commercial paper rate during the borrowing term. At June 30, 2020, there were no borrowings outstanding under this program.</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Centuri has a senior secured revolving credit and term loan facility with borrowing capacity of $590 million (refer to </w:t>
      </w:r>
      <w:r>
        <w:rPr>
          <w:rFonts w:ascii="Arial" w:cs="Arial" w:eastAsia="Arial" w:hAnsi="Arial"/>
          <w:sz w:val="18"/>
          <w:szCs w:val="18"/>
          <w:b w:val="1"/>
          <w:bCs w:val="1"/>
          <w:color w:val="auto"/>
        </w:rPr>
        <w:t>Note 5 – Debt</w:t>
      </w:r>
      <w:r>
        <w:rPr>
          <w:rFonts w:ascii="Arial" w:cs="Arial" w:eastAsia="Arial" w:hAnsi="Arial"/>
          <w:sz w:val="18"/>
          <w:szCs w:val="18"/>
          <w:color w:val="auto"/>
        </w:rPr>
        <w:t>). The line of credit portion of the facility is $325 million; amounts borrowed and repaid under the revolving credit facility are available to be re-borrowed. The term loan facility portion has a limit of approximately $265 million. The $590 million credit and term loan facility expires in November 30, 2023. It is secured by substantially all of Centuri’s assets except those explicitly excluded under the terms of the agreement (including owned real estate and certain certificated vehicles). Centuri assets securing the facility at June 30, 2020 totaled $1.3 billion. The maximum amount outstanding on the facility during the first six months of 2020 was $312 million, of which $235 million was outstanding on the term portion. As of June 30, 2020, $77 million was outstanding on the revolving credit facility and $231 million was outstanding on the term loan portion of the facility. Also at June 30, 2020, there was approximately $237 million, net of letters of credit, available under the line of credit.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On April 10, 2020, the holding company and Southwest amended their respective credit facility agreements (see above). Interest rates for the amended credit facilities are calculated at either LIBOR or an “alternate base rate,” plus in each case an applicable margin that is determined based on each entities’ respective senior unsecured long-term debt rating. Upon the occurrence of certain events providing for a transition away from LIBOR, or if LIBOR is no longer a widely recognized benchmark rate, each entity may amend their respective credit facility with a replacement rate as set forth in the amended credit facility agreement. It is currently anticipated that LIBOR may be discontinued as a benchmark or reference rate after 2021. As of June 30, 2020, $58 million borrowings were outstanding for the holding company under its credit facility (see </w:t>
      </w:r>
      <w:r>
        <w:rPr>
          <w:rFonts w:ascii="Arial" w:cs="Arial" w:eastAsia="Arial" w:hAnsi="Arial"/>
          <w:sz w:val="17"/>
          <w:szCs w:val="17"/>
          <w:b w:val="1"/>
          <w:bCs w:val="1"/>
          <w:color w:val="auto"/>
        </w:rPr>
        <w:t>Note 5 – Debt</w:t>
      </w:r>
      <w:r>
        <w:rPr>
          <w:rFonts w:ascii="Arial" w:cs="Arial" w:eastAsia="Arial" w:hAnsi="Arial"/>
          <w:sz w:val="17"/>
          <w:szCs w:val="17"/>
          <w:color w:val="auto"/>
        </w:rPr>
        <w:t>), and $188 million of Centuri’s indebtedness under its facility have interest rates with reference to LIBOR and maturity dates that extend beyond 2021. Southwest had no borrowings outstanding under its amended credit facility as of June 30, 2020. The above amounts that were outstanding for the holding company and for Centuri reflect approximately 9% of total debt (including current maturities) for the Company overall. In order to mitigate the impact of the discontinuation on the Company’s financial condition and results of operations, management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impacts from the novel Coronavirus (COVID-19), including on our employees, customers, supply chain, transportation network, our financial position, revenue, earnings, cash flows, debt covenants, operations, regulatory recovery, work deployment or resumption and related uncertainties stemming from this pandemic, expected impacts of valuation adjustments associated with the redeemable noncontrolling interest in Linetec, the impacts of U.S. tax reform including disposition in regulatory proceedings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2020 or future period revenues from regulatory rate proceedings including amounts requested or preliminarily settled from the recently filed and ongoing general rate cases, the outcome of judicial review of the previous Nevada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Equity Shelf Program or otherwise,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the ongoing general rate cases and the final resolution for recovery of the CDMI in all jurisdictions, and statements regarding approvals are forward-looking statements. All forward-looking statements are intended to be subject to the safe harbor protection provided by the Reform Act.</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sustained restriction on commerce by government officials or otherwise, including impacts on employment in our territories, the health impacts to our customers and employees due to the persistence of the virus, the ability to collect on customer accounts due to the current or an extended moratorium on late fees or service disconnection, the ability to obtain regulatory recovery of all costs and financial impacts resulting from this pandemic, the ability of infrastructure services business to resume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following the resumption of commerce in our territories, and decisions of Centuri customers as to whether to pursue capital projects due to economic impacts resulting from the pandemic or otherwise,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the impact of weather on Centuri’s operations, future acquisition-related costs, impacts of changes in value of the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w:t>
      </w:r>
    </w:p>
    <w:p>
      <w:pPr>
        <w:spacing w:after="0" w:line="200" w:lineRule="exact"/>
        <w:rPr>
          <w:sz w:val="20"/>
          <w:szCs w:val="20"/>
          <w:color w:val="auto"/>
        </w:rPr>
      </w:pPr>
    </w:p>
    <w:p>
      <w:pPr>
        <w:spacing w:after="0" w:line="3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7"/>
          <w:szCs w:val="17"/>
          <w:b w:val="1"/>
          <w:bCs w:val="1"/>
          <w:color w:val="auto"/>
        </w:rPr>
        <w:t>Item 1A. Risk Factors and Item 7A. Quantitative and Qualitative Disclosures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About Market Risk </w:t>
      </w:r>
      <w:r>
        <w:rPr>
          <w:rFonts w:ascii="Arial" w:cs="Arial" w:eastAsia="Arial" w:hAnsi="Arial"/>
          <w:sz w:val="17"/>
          <w:szCs w:val="17"/>
          <w:color w:val="auto"/>
        </w:rPr>
        <w:t>in the Annual Report on Form 10-K for the year ended December 31, 2019, and</w:t>
      </w:r>
      <w:r>
        <w:rPr>
          <w:rFonts w:ascii="Arial" w:cs="Arial" w:eastAsia="Arial" w:hAnsi="Arial"/>
          <w:sz w:val="17"/>
          <w:szCs w:val="17"/>
          <w:b w:val="1"/>
          <w:bCs w:val="1"/>
          <w:color w:val="auto"/>
        </w:rPr>
        <w:t xml:space="preserve"> Item 1A. Risk Factors, </w:t>
      </w:r>
      <w:r>
        <w:rPr>
          <w:rFonts w:ascii="Arial" w:cs="Arial" w:eastAsia="Arial" w:hAnsi="Arial"/>
          <w:sz w:val="17"/>
          <w:szCs w:val="17"/>
          <w:color w:val="auto"/>
        </w:rPr>
        <w:t>as updated in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Quarterly Report on Form 10-Q for the quarter ended March 31, 2020.</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2019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June 30, 2020,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second quarter of 2020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June 30, 2020,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Southwest’s internal control over financial reporting (as defined in Rules 13a-15(f) and 15d-15(f) of the Exchange Act) during the second quarter of 2020 that have materially affected, or are likely to materially affect Southwest’s internal control over financial reporting.</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900" w:type="dxa"/>
            <w:vAlign w:val="bottom"/>
            <w:gridSpan w:val="7"/>
          </w:tcPr>
          <w:p>
            <w:pPr>
              <w:spacing w:after="0"/>
              <w:rPr>
                <w:sz w:val="20"/>
                <w:szCs w:val="20"/>
                <w:color w:val="auto"/>
              </w:rPr>
            </w:pPr>
            <w:r>
              <w:rPr>
                <w:rFonts w:ascii="Arial" w:cs="Arial" w:eastAsia="Arial" w:hAnsi="Arial"/>
                <w:sz w:val="18"/>
                <w:szCs w:val="18"/>
                <w:color w:val="auto"/>
              </w:rPr>
              <w:t>SOUTHWEST GAS HOLDINGS, INC.</w:t>
            </w:r>
          </w:p>
        </w:tc>
        <w:tc>
          <w:tcPr>
            <w:tcW w:w="2280" w:type="dxa"/>
            <w:vAlign w:val="bottom"/>
            <w:gridSpan w:val="4"/>
          </w:tcPr>
          <w:p>
            <w:pPr>
              <w:jc w:val="right"/>
              <w:ind w:right="60"/>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8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6000" w:type="dxa"/>
            <w:vAlign w:val="bottom"/>
            <w:gridSpan w:val="3"/>
          </w:tcPr>
          <w:p>
            <w:pPr>
              <w:spacing w:after="0"/>
              <w:rPr>
                <w:sz w:val="21"/>
                <w:szCs w:val="21"/>
                <w:color w:val="auto"/>
              </w:rPr>
            </w:pPr>
          </w:p>
        </w:tc>
        <w:tc>
          <w:tcPr>
            <w:tcW w:w="2280" w:type="dxa"/>
            <w:vAlign w:val="bottom"/>
            <w:gridSpan w:val="4"/>
          </w:tcPr>
          <w:p>
            <w:pPr>
              <w:jc w:val="right"/>
              <w:ind w:right="60"/>
              <w:spacing w:after="0"/>
              <w:rPr>
                <w:sz w:val="20"/>
                <w:szCs w:val="20"/>
                <w:color w:val="auto"/>
              </w:rPr>
            </w:pPr>
            <w:r>
              <w:rPr>
                <w:rFonts w:ascii="Arial" w:cs="Arial" w:eastAsia="Arial" w:hAnsi="Arial"/>
                <w:sz w:val="18"/>
                <w:szCs w:val="18"/>
                <w:color w:val="auto"/>
              </w:rPr>
              <w:t>June 30, 2020</w:t>
            </w:r>
          </w:p>
        </w:tc>
      </w:tr>
      <w:tr>
        <w:trPr>
          <w:trHeight w:val="93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960" w:type="dxa"/>
            <w:vAlign w:val="bottom"/>
            <w:gridSpan w:val="8"/>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0"/>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4.01</w:t>
            </w:r>
          </w:p>
        </w:tc>
        <w:tc>
          <w:tcPr>
            <w:tcW w:w="9620" w:type="dxa"/>
            <w:vAlign w:val="bottom"/>
            <w:gridSpan w:val="10"/>
          </w:tcPr>
          <w:p>
            <w:pPr>
              <w:ind w:left="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5">
              <w:r>
                <w:rPr>
                  <w:rFonts w:ascii="Arial" w:cs="Arial" w:eastAsia="Arial" w:hAnsi="Arial"/>
                  <w:sz w:val="18"/>
                  <w:szCs w:val="18"/>
                  <w:color w:val="0000FF"/>
                  <w:w w:val="92"/>
                </w:rPr>
                <w:t>Indenture, dated June 4, 2020, by and between Southwest Gas Corporation and The Bank of New York Mellon Trust Company,</w:t>
              </w:r>
            </w:hyperlink>
          </w:p>
        </w:tc>
      </w:tr>
      <w:tr>
        <w:trPr>
          <w:trHeight w:val="224"/>
        </w:trPr>
        <w:tc>
          <w:tcPr>
            <w:tcW w:w="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tcBorders>
              <w:top w:val="single" w:sz="8" w:color="0000FF"/>
            </w:tcBorders>
            <w:gridSpan w:val="7"/>
          </w:tcPr>
          <w:p>
            <w:pPr>
              <w:spacing w:after="0"/>
              <w:rPr>
                <w:rFonts w:ascii="Arial" w:cs="Arial" w:eastAsia="Arial" w:hAnsi="Arial"/>
                <w:sz w:val="18"/>
                <w:szCs w:val="18"/>
                <w:u w:val="single" w:color="auto"/>
                <w:color w:val="0000FF"/>
                <w:w w:val="98"/>
              </w:rPr>
            </w:pPr>
            <w:hyperlink r:id="rId75">
              <w:r>
                <w:rPr>
                  <w:rFonts w:ascii="Arial" w:cs="Arial" w:eastAsia="Arial" w:hAnsi="Arial"/>
                  <w:sz w:val="18"/>
                  <w:szCs w:val="18"/>
                  <w:u w:val="single" w:color="auto"/>
                  <w:color w:val="0000FF"/>
                  <w:w w:val="98"/>
                </w:rPr>
                <w:t>N.A., as Trustee. Incorporated herein by reference to Exhibit 4.1 to Form 8-K dated June 1, 2020. File No. 001-07850.</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4.02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6"/>
          </w:tcPr>
          <w:p>
            <w:pPr>
              <w:spacing w:after="0" w:line="195"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First Supplemental Indenture, dated June 4, 2020, by and between Southwest Gas Corporation and The Bank of New York</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40" w:type="dxa"/>
            <w:vAlign w:val="bottom"/>
            <w:tcBorders>
              <w:bottom w:val="single" w:sz="8" w:color="0000FF"/>
            </w:tcBorders>
            <w:gridSpan w:val="6"/>
          </w:tcPr>
          <w:p>
            <w:pPr>
              <w:spacing w:after="0" w:line="15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Mellon Trust Company, N.A., as Trustee. Incorporated herein by reference to Exhibit 4.2 to Form 8-K dated June 1, 2020.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Borders>
              <w:bottom w:val="single" w:sz="8" w:color="0000FF"/>
            </w:tcBorders>
            <w:gridSpan w:val="3"/>
          </w:tcPr>
          <w:p>
            <w:pPr>
              <w:spacing w:after="0" w:line="15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No. 001-07850.</w:t>
              </w:r>
            </w:hyperlink>
          </w:p>
        </w:tc>
        <w:tc>
          <w:tcPr>
            <w:tcW w:w="5900" w:type="dxa"/>
            <w:vAlign w:val="bottom"/>
            <w:gridSpan w:val="2"/>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4.03</w:t>
            </w:r>
          </w:p>
        </w:tc>
        <w:tc>
          <w:tcPr>
            <w:tcW w:w="9620" w:type="dxa"/>
            <w:vAlign w:val="bottom"/>
            <w:gridSpan w:val="10"/>
          </w:tcPr>
          <w:p>
            <w:pPr>
              <w:ind w:left="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6">
              <w:r>
                <w:rPr>
                  <w:rFonts w:ascii="Arial" w:cs="Arial" w:eastAsia="Arial" w:hAnsi="Arial"/>
                  <w:sz w:val="18"/>
                  <w:szCs w:val="18"/>
                  <w:color w:val="0000FF"/>
                  <w:w w:val="95"/>
                </w:rPr>
                <w:t>Form of 2.200% Senior Note due 2030. Incorporated herein by reference to Exhibit 4.3 to Form 8-K dated June 1, 2020. File</w:t>
              </w:r>
            </w:hyperlink>
          </w:p>
        </w:tc>
      </w:tr>
      <w:tr>
        <w:trPr>
          <w:trHeight w:val="156"/>
        </w:trPr>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No. 001-07850.</w:t>
              </w:r>
            </w:hyperlink>
          </w:p>
        </w:tc>
        <w:tc>
          <w:tcPr>
            <w:tcW w:w="5900" w:type="dxa"/>
            <w:vAlign w:val="bottom"/>
            <w:tcBorders>
              <w:top w:val="single" w:sz="8" w:color="0000FF"/>
            </w:tcBorders>
            <w:gridSpan w:val="2"/>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10.01</w:t>
            </w:r>
          </w:p>
        </w:tc>
        <w:tc>
          <w:tcPr>
            <w:tcW w:w="9620" w:type="dxa"/>
            <w:vAlign w:val="bottom"/>
            <w:gridSpan w:val="10"/>
          </w:tcPr>
          <w:p>
            <w:pPr>
              <w:ind w:left="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7">
              <w:r>
                <w:rPr>
                  <w:rFonts w:ascii="Arial" w:cs="Arial" w:eastAsia="Arial" w:hAnsi="Arial"/>
                  <w:sz w:val="18"/>
                  <w:szCs w:val="18"/>
                  <w:color w:val="0000FF"/>
                  <w:w w:val="94"/>
                </w:rPr>
                <w:t>Southwest Gas Holdings, Inc.</w:t>
              </w:r>
              <w:r>
                <w:rPr>
                  <w:rFonts w:ascii="Arial" w:cs="Arial" w:eastAsia="Arial" w:hAnsi="Arial"/>
                  <w:sz w:val="18"/>
                  <w:szCs w:val="18"/>
                  <w:color w:val="auto"/>
                  <w:w w:val="94"/>
                </w:rPr>
                <w:t xml:space="preserve">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100 million Credit Facility. Incorporated herein by reference to Exhibit 10.1 to Form 8-K dated</w:t>
              </w:r>
            </w:hyperlink>
          </w:p>
        </w:tc>
      </w:tr>
      <w:tr>
        <w:trPr>
          <w:trHeight w:val="156"/>
        </w:trPr>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April 10, 2020. File No. 001-37976.</w:t>
              </w:r>
            </w:hyperlink>
          </w:p>
        </w:tc>
        <w:tc>
          <w:tcPr>
            <w:tcW w:w="44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10.02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8"/>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 xml:space="preserve">Southwest Gas Corporation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400 million Credit Facility. Incorporated herein by reference to Exhibit 10.2 to Form 8-K dated</w:t>
              </w:r>
            </w:hyperlink>
          </w:p>
        </w:tc>
        <w:tc>
          <w:tcPr>
            <w:tcW w:w="40" w:type="dxa"/>
            <w:vAlign w:val="bottom"/>
          </w:tcPr>
          <w:p>
            <w:pPr>
              <w:spacing w:after="0"/>
              <w:rPr>
                <w:sz w:val="24"/>
                <w:szCs w:val="24"/>
                <w:color w:val="auto"/>
              </w:rPr>
            </w:pPr>
          </w:p>
        </w:tc>
      </w:tr>
      <w:tr>
        <w:trPr>
          <w:trHeight w:val="156"/>
        </w:trPr>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tcBorders>
              <w:bottom w:val="single" w:sz="8" w:color="0000FF"/>
            </w:tcBorders>
            <w:gridSpan w:val="4"/>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April 10, 2020. File No. 001-07850.</w:t>
              </w:r>
            </w:hyperlink>
          </w:p>
        </w:tc>
        <w:tc>
          <w:tcPr>
            <w:tcW w:w="4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45"/>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31.01</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040" w:type="dxa"/>
            <w:vAlign w:val="bottom"/>
            <w:gridSpan w:val="5"/>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Section 302 Certifications–Southwest Gas Holdings, Inc.</w:t>
              </w:r>
            </w:hyperlink>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31.02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040" w:type="dxa"/>
            <w:vAlign w:val="bottom"/>
            <w:gridSpan w:val="5"/>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Section 302 Certifications–Southwest Gas Corporation</w:t>
              </w:r>
            </w:hyperlink>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32.01</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040" w:type="dxa"/>
            <w:vAlign w:val="bottom"/>
            <w:gridSpan w:val="5"/>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Section 906 Certifications–Southwest Gas Holdings, Inc.</w:t>
              </w:r>
            </w:hyperlink>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32.02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040" w:type="dxa"/>
            <w:vAlign w:val="bottom"/>
            <w:gridSpan w:val="5"/>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Section 906 Certifications–Southwest Gas Corporation</w:t>
              </w:r>
            </w:hyperlink>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101.INS</w:t>
            </w:r>
          </w:p>
        </w:tc>
        <w:tc>
          <w:tcPr>
            <w:tcW w:w="9620" w:type="dxa"/>
            <w:vAlign w:val="bottom"/>
            <w:gridSpan w:val="10"/>
          </w:tcPr>
          <w:p>
            <w:pPr>
              <w:ind w:left="60"/>
              <w:spacing w:after="0"/>
              <w:rPr>
                <w:sz w:val="20"/>
                <w:szCs w:val="20"/>
                <w:color w:val="auto"/>
              </w:rPr>
            </w:pPr>
            <w:r>
              <w:rPr>
                <w:rFonts w:ascii="Arial" w:cs="Arial" w:eastAsia="Arial" w:hAnsi="Arial"/>
                <w:sz w:val="18"/>
                <w:szCs w:val="18"/>
                <w:color w:val="auto"/>
                <w:w w:val="96"/>
              </w:rPr>
              <w:t>-  XBRL Instance Document - the instance document does not appear in the Interactive Data File because its XBRL tags are</w:t>
            </w:r>
          </w:p>
        </w:tc>
      </w:tr>
      <w:tr>
        <w:trPr>
          <w:trHeight w:val="230"/>
        </w:trPr>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4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101SCH</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040" w:type="dxa"/>
            <w:vAlign w:val="bottom"/>
            <w:gridSpan w:val="5"/>
          </w:tcPr>
          <w:p>
            <w:pPr>
              <w:spacing w:after="0"/>
              <w:rPr>
                <w:sz w:val="20"/>
                <w:szCs w:val="20"/>
                <w:color w:val="auto"/>
              </w:rPr>
            </w:pPr>
            <w:r>
              <w:rPr>
                <w:rFonts w:ascii="Arial" w:cs="Arial" w:eastAsia="Arial" w:hAnsi="Arial"/>
                <w:sz w:val="18"/>
                <w:szCs w:val="18"/>
                <w:color w:val="auto"/>
              </w:rPr>
              <w:t>XBRL Schema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101.CAL</w:t>
            </w:r>
          </w:p>
        </w:tc>
        <w:tc>
          <w:tcPr>
            <w:tcW w:w="7340" w:type="dxa"/>
            <w:vAlign w:val="bottom"/>
            <w:gridSpan w:val="6"/>
          </w:tcPr>
          <w:p>
            <w:pPr>
              <w:ind w:left="60"/>
              <w:spacing w:after="0"/>
              <w:rPr>
                <w:sz w:val="20"/>
                <w:szCs w:val="20"/>
                <w:color w:val="auto"/>
              </w:rPr>
            </w:pPr>
            <w:r>
              <w:rPr>
                <w:rFonts w:ascii="Arial" w:cs="Arial" w:eastAsia="Arial" w:hAnsi="Arial"/>
                <w:sz w:val="18"/>
                <w:szCs w:val="18"/>
                <w:color w:val="auto"/>
              </w:rPr>
              <w:t>-  XBRL Calculation Linkbase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101.DEF</w:t>
            </w:r>
          </w:p>
        </w:tc>
        <w:tc>
          <w:tcPr>
            <w:tcW w:w="7340" w:type="dxa"/>
            <w:vAlign w:val="bottom"/>
            <w:gridSpan w:val="6"/>
          </w:tcPr>
          <w:p>
            <w:pPr>
              <w:ind w:left="60"/>
              <w:spacing w:after="0"/>
              <w:rPr>
                <w:sz w:val="20"/>
                <w:szCs w:val="20"/>
                <w:color w:val="auto"/>
              </w:rPr>
            </w:pPr>
            <w:r>
              <w:rPr>
                <w:rFonts w:ascii="Arial" w:cs="Arial" w:eastAsia="Arial" w:hAnsi="Arial"/>
                <w:sz w:val="18"/>
                <w:szCs w:val="18"/>
                <w:color w:val="auto"/>
              </w:rPr>
              <w:t>-  XBRL Definition Linkbase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101.LAB</w:t>
            </w:r>
          </w:p>
        </w:tc>
        <w:tc>
          <w:tcPr>
            <w:tcW w:w="7340" w:type="dxa"/>
            <w:vAlign w:val="bottom"/>
            <w:gridSpan w:val="6"/>
          </w:tcPr>
          <w:p>
            <w:pPr>
              <w:ind w:left="60"/>
              <w:spacing w:after="0"/>
              <w:rPr>
                <w:sz w:val="20"/>
                <w:szCs w:val="20"/>
                <w:color w:val="auto"/>
              </w:rPr>
            </w:pPr>
            <w:r>
              <w:rPr>
                <w:rFonts w:ascii="Arial" w:cs="Arial" w:eastAsia="Arial" w:hAnsi="Arial"/>
                <w:sz w:val="18"/>
                <w:szCs w:val="18"/>
                <w:color w:val="auto"/>
              </w:rPr>
              <w:t>-  XBRL Label Linkbase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101.PRE</w:t>
            </w:r>
          </w:p>
        </w:tc>
        <w:tc>
          <w:tcPr>
            <w:tcW w:w="7340" w:type="dxa"/>
            <w:vAlign w:val="bottom"/>
            <w:gridSpan w:val="6"/>
          </w:tcPr>
          <w:p>
            <w:pPr>
              <w:ind w:left="60"/>
              <w:spacing w:after="0"/>
              <w:rPr>
                <w:sz w:val="20"/>
                <w:szCs w:val="20"/>
                <w:color w:val="auto"/>
              </w:rPr>
            </w:pPr>
            <w:r>
              <w:rPr>
                <w:rFonts w:ascii="Arial" w:cs="Arial" w:eastAsia="Arial" w:hAnsi="Arial"/>
                <w:sz w:val="18"/>
                <w:szCs w:val="18"/>
                <w:color w:val="auto"/>
              </w:rPr>
              <w:t>-  XBRL Presentation Linkbase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Exhibit 104</w:t>
            </w:r>
          </w:p>
        </w:tc>
        <w:tc>
          <w:tcPr>
            <w:tcW w:w="7340" w:type="dxa"/>
            <w:vAlign w:val="bottom"/>
            <w:gridSpan w:val="6"/>
          </w:tcPr>
          <w:p>
            <w:pPr>
              <w:ind w:left="60"/>
              <w:spacing w:after="0"/>
              <w:rPr>
                <w:sz w:val="20"/>
                <w:szCs w:val="20"/>
                <w:color w:val="auto"/>
              </w:rPr>
            </w:pPr>
            <w:r>
              <w:rPr>
                <w:rFonts w:ascii="Arial" w:cs="Arial" w:eastAsia="Arial" w:hAnsi="Arial"/>
                <w:sz w:val="18"/>
                <w:szCs w:val="18"/>
                <w:color w:val="auto"/>
              </w:rPr>
              <w:t>-  Cover Page Interactive Data File (embedded within the Inline XBRL document).</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61"/>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40" w:type="dxa"/>
            <w:vAlign w:val="bottom"/>
            <w:gridSpan w:val="5"/>
          </w:tcPr>
          <w:p>
            <w:pPr>
              <w:ind w:left="3740"/>
              <w:spacing w:after="0"/>
              <w:rPr>
                <w:sz w:val="20"/>
                <w:szCs w:val="20"/>
                <w:color w:val="auto"/>
              </w:rPr>
            </w:pPr>
            <w:r>
              <w:rPr>
                <w:rFonts w:ascii="Arial" w:cs="Arial" w:eastAsia="Arial" w:hAnsi="Arial"/>
                <w:sz w:val="18"/>
                <w:szCs w:val="18"/>
                <w:color w:val="auto"/>
              </w:rPr>
              <w:t>53</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4600" w:type="dxa"/>
            <w:vAlign w:val="bottom"/>
          </w:tcPr>
          <w:p>
            <w:pPr>
              <w:jc w:val="right"/>
              <w:spacing w:after="0"/>
              <w:rPr>
                <w:sz w:val="20"/>
                <w:szCs w:val="20"/>
                <w:color w:val="auto"/>
              </w:rPr>
            </w:pPr>
            <w:r>
              <w:rPr>
                <w:rFonts w:ascii="Arial" w:cs="Arial" w:eastAsia="Arial" w:hAnsi="Arial"/>
                <w:sz w:val="18"/>
                <w:szCs w:val="18"/>
                <w:color w:val="auto"/>
              </w:rPr>
              <w:t>June 30, 2020</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160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14"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571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1602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28"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31750</wp:posOffset>
            </wp:positionV>
            <wp:extent cx="25717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6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August 6, 2020</w:t>
      </w:r>
    </w:p>
    <w:p>
      <w:pPr>
        <w:spacing w:after="0" w:line="15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August 6, 2020</w:t>
      </w:r>
    </w:p>
    <w:p>
      <w:pPr>
        <w:spacing w:after="0" w:line="15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1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4" w:lineRule="exact"/>
        <w:rPr>
          <w:rFonts w:ascii="Arial" w:cs="Arial" w:eastAsia="Arial" w:hAnsi="Arial"/>
          <w:sz w:val="17"/>
          <w:szCs w:val="17"/>
          <w:color w:val="auto"/>
        </w:rPr>
      </w:pPr>
    </w:p>
    <w:p>
      <w:pPr>
        <w:ind w:left="940" w:hanging="325"/>
        <w:spacing w:after="0" w:line="258" w:lineRule="auto"/>
        <w:tabs>
          <w:tab w:leader="none" w:pos="9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40" w:hanging="325"/>
        <w:spacing w:after="0" w:line="260" w:lineRule="auto"/>
        <w:tabs>
          <w:tab w:leader="none" w:pos="9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15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2020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June 30, 2020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2020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20" w:hanging="329"/>
        <w:spacing w:after="0" w:line="260"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June 30, 2020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20" w:hanging="329"/>
        <w:spacing w:after="0" w:line="260"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31750</wp:posOffset>
            </wp:positionV>
            <wp:extent cx="28117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5"/>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75" Type="http://schemas.openxmlformats.org/officeDocument/2006/relationships/hyperlink" Target="http://www.sec.gov/Archives/edgar/data/92416/000119312520160698/d939354dex11.htm" TargetMode="External"/><Relationship Id="rId76" Type="http://schemas.openxmlformats.org/officeDocument/2006/relationships/hyperlink" Target="http://www.sec.gov/Archives/edgar/data/92416/000119312520160698/d939354dex42.htm" TargetMode="External"/><Relationship Id="rId77" Type="http://schemas.openxmlformats.org/officeDocument/2006/relationships/hyperlink" Target="http://www.sec.gov/Archives/edgar/data/92416/000119312520107089/d902383dex101.htm" TargetMode="External"/><Relationship Id="rId78" Type="http://schemas.openxmlformats.org/officeDocument/2006/relationships/hyperlink" Target="https://www.sec.gov/Archives/edgar/data/92416/000119312520107089/d90238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2020-08-06T16:25:05Z</dcterms:created>
  <dcterms:modified xsi:type="dcterms:W3CDTF">2020-08-06T16:25:05Z</dcterms:modified>
</cp:coreProperties>
</file>