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0" w:lineRule="exact"/>
        <w:rPr>
          <w:sz w:val="24"/>
          <w:szCs w:val="24"/>
          <w:color w:val="auto"/>
        </w:rPr>
      </w:pPr>
    </w:p>
    <w:p>
      <w:pPr>
        <w:spacing w:after="0" w:line="2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385" w:lineRule="exact"/>
        <w:rPr>
          <w:sz w:val="24"/>
          <w:szCs w:val="24"/>
          <w:color w:val="auto"/>
        </w:rPr>
      </w:pPr>
    </w:p>
    <w:p>
      <w:pPr>
        <w:ind w:left="620" w:hanging="406"/>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period ended December 31, 2024</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55" w:lineRule="exact"/>
        <w:rPr>
          <w:sz w:val="24"/>
          <w:szCs w:val="24"/>
          <w:color w:val="auto"/>
        </w:rPr>
      </w:pPr>
    </w:p>
    <w:p>
      <w:pPr>
        <w:ind w:left="620" w:hanging="406"/>
        <w:spacing w:after="0"/>
        <w:tabs>
          <w:tab w:leader="none" w:pos="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ind w:left="220"/>
              <w:spacing w:after="0"/>
              <w:rPr>
                <w:sz w:val="20"/>
                <w:szCs w:val="20"/>
                <w:color w:val="auto"/>
              </w:rPr>
            </w:pPr>
            <w:r>
              <w:rPr>
                <w:rFonts w:ascii="Times New Roman" w:cs="Times New Roman" w:eastAsia="Times New Roman" w:hAnsi="Times New Roman"/>
                <w:sz w:val="14"/>
                <w:szCs w:val="14"/>
                <w:i w:val="1"/>
                <w:iCs w:val="1"/>
                <w:color w:val="auto"/>
              </w:rPr>
              <w:t>Commission</w:t>
            </w:r>
          </w:p>
        </w:tc>
        <w:tc>
          <w:tcPr>
            <w:tcW w:w="5120" w:type="dxa"/>
            <w:vAlign w:val="bottom"/>
            <w:gridSpan w:val="3"/>
          </w:tcPr>
          <w:p>
            <w:pPr>
              <w:ind w:left="180"/>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 and</w:t>
            </w:r>
          </w:p>
        </w:tc>
        <w:tc>
          <w:tcPr>
            <w:tcW w:w="2580" w:type="dxa"/>
            <w:vAlign w:val="bottom"/>
          </w:tcPr>
          <w:p>
            <w:pPr>
              <w:jc w:val="center"/>
              <w:ind w:left="724"/>
              <w:spacing w:after="0"/>
              <w:rPr>
                <w:sz w:val="20"/>
                <w:szCs w:val="20"/>
                <w:color w:val="auto"/>
              </w:rPr>
            </w:pPr>
            <w:r>
              <w:rPr>
                <w:rFonts w:ascii="Times New Roman" w:cs="Times New Roman" w:eastAsia="Times New Roman" w:hAnsi="Times New Roman"/>
                <w:sz w:val="14"/>
                <w:szCs w:val="14"/>
                <w:i w:val="1"/>
                <w:iCs w:val="1"/>
                <w:color w:val="auto"/>
                <w:w w:val="98"/>
              </w:rPr>
              <w:t>State of</w:t>
            </w:r>
          </w:p>
        </w:tc>
        <w:tc>
          <w:tcPr>
            <w:tcW w:w="2420" w:type="dxa"/>
            <w:vAlign w:val="bottom"/>
          </w:tcPr>
          <w:p>
            <w:pPr>
              <w:jc w:val="center"/>
              <w:ind w:left="64"/>
              <w:spacing w:after="0"/>
              <w:rPr>
                <w:sz w:val="20"/>
                <w:szCs w:val="20"/>
                <w:color w:val="auto"/>
              </w:rPr>
            </w:pPr>
            <w:r>
              <w:rPr>
                <w:rFonts w:ascii="Times New Roman" w:cs="Times New Roman" w:eastAsia="Times New Roman" w:hAnsi="Times New Roman"/>
                <w:sz w:val="14"/>
                <w:szCs w:val="14"/>
                <w:i w:val="1"/>
                <w:iCs w:val="1"/>
                <w:color w:val="auto"/>
              </w:rPr>
              <w:t>I.R.S.</w:t>
            </w:r>
          </w:p>
        </w:tc>
      </w:tr>
      <w:tr>
        <w:trPr>
          <w:trHeight w:val="193"/>
        </w:trPr>
        <w:tc>
          <w:tcPr>
            <w:tcW w:w="1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i w:val="1"/>
                <w:iCs w:val="1"/>
                <w:color w:val="auto"/>
              </w:rPr>
              <w:t>File Number</w:t>
            </w:r>
          </w:p>
        </w:tc>
        <w:tc>
          <w:tcPr>
            <w:tcW w:w="32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i w:val="1"/>
                <w:iCs w:val="1"/>
                <w:color w:val="auto"/>
              </w:rPr>
              <w:t>principal office address and telephone number</w:t>
            </w:r>
          </w:p>
        </w:tc>
        <w:tc>
          <w:tcPr>
            <w:tcW w:w="19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tcPr>
          <w:p>
            <w:pPr>
              <w:jc w:val="center"/>
              <w:ind w:left="744"/>
              <w:spacing w:after="0"/>
              <w:rPr>
                <w:sz w:val="20"/>
                <w:szCs w:val="20"/>
                <w:color w:val="auto"/>
              </w:rPr>
            </w:pPr>
            <w:r>
              <w:rPr>
                <w:rFonts w:ascii="Times New Roman" w:cs="Times New Roman" w:eastAsia="Times New Roman" w:hAnsi="Times New Roman"/>
                <w:sz w:val="14"/>
                <w:szCs w:val="14"/>
                <w:i w:val="1"/>
                <w:iCs w:val="1"/>
                <w:color w:val="auto"/>
              </w:rPr>
              <w:t>Incorporation</w:t>
            </w:r>
          </w:p>
        </w:tc>
        <w:tc>
          <w:tcPr>
            <w:tcW w:w="2420" w:type="dxa"/>
            <w:vAlign w:val="bottom"/>
            <w:tcBorders>
              <w:bottom w:val="single" w:sz="8" w:color="auto"/>
            </w:tcBorders>
          </w:tcPr>
          <w:p>
            <w:pPr>
              <w:jc w:val="center"/>
              <w:ind w:left="64"/>
              <w:spacing w:after="0"/>
              <w:rPr>
                <w:sz w:val="20"/>
                <w:szCs w:val="20"/>
                <w:color w:val="auto"/>
              </w:rPr>
            </w:pPr>
            <w:r>
              <w:rPr>
                <w:rFonts w:ascii="Times New Roman" w:cs="Times New Roman" w:eastAsia="Times New Roman" w:hAnsi="Times New Roman"/>
                <w:sz w:val="14"/>
                <w:szCs w:val="14"/>
                <w:i w:val="1"/>
                <w:iCs w:val="1"/>
                <w:color w:val="auto"/>
              </w:rPr>
              <w:t>Employer Identification No.</w:t>
            </w:r>
          </w:p>
        </w:tc>
      </w:tr>
      <w:tr>
        <w:trPr>
          <w:trHeight w:val="208"/>
        </w:trPr>
        <w:tc>
          <w:tcPr>
            <w:tcW w:w="1120" w:type="dxa"/>
            <w:vAlign w:val="bottom"/>
          </w:tcPr>
          <w:p>
            <w:pPr>
              <w:jc w:val="right"/>
              <w:ind w:right="144"/>
              <w:spacing w:after="0"/>
              <w:rPr>
                <w:sz w:val="20"/>
                <w:szCs w:val="20"/>
                <w:color w:val="auto"/>
              </w:rPr>
            </w:pPr>
            <w:r>
              <w:rPr>
                <w:rFonts w:ascii="Times New Roman" w:cs="Times New Roman" w:eastAsia="Times New Roman" w:hAnsi="Times New Roman"/>
                <w:sz w:val="16"/>
                <w:szCs w:val="16"/>
                <w:color w:val="auto"/>
              </w:rPr>
              <w:t>001-37976</w:t>
            </w:r>
          </w:p>
        </w:tc>
        <w:tc>
          <w:tcPr>
            <w:tcW w:w="2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Southwest Gas Holdings, Inc.</w:t>
            </w:r>
          </w:p>
        </w:tc>
        <w:tc>
          <w:tcPr>
            <w:tcW w:w="9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580" w:type="dxa"/>
            <w:vAlign w:val="bottom"/>
          </w:tcPr>
          <w:p>
            <w:pPr>
              <w:jc w:val="center"/>
              <w:ind w:left="724"/>
              <w:spacing w:after="0"/>
              <w:rPr>
                <w:sz w:val="20"/>
                <w:szCs w:val="20"/>
                <w:color w:val="auto"/>
              </w:rPr>
            </w:pPr>
            <w:r>
              <w:rPr>
                <w:rFonts w:ascii="Times New Roman" w:cs="Times New Roman" w:eastAsia="Times New Roman" w:hAnsi="Times New Roman"/>
                <w:sz w:val="16"/>
                <w:szCs w:val="16"/>
                <w:color w:val="auto"/>
              </w:rPr>
              <w:t>Delaware</w:t>
            </w:r>
          </w:p>
        </w:tc>
        <w:tc>
          <w:tcPr>
            <w:tcW w:w="2420" w:type="dxa"/>
            <w:vAlign w:val="bottom"/>
          </w:tcPr>
          <w:p>
            <w:pPr>
              <w:jc w:val="center"/>
              <w:ind w:left="84"/>
              <w:spacing w:after="0"/>
              <w:rPr>
                <w:sz w:val="20"/>
                <w:szCs w:val="20"/>
                <w:color w:val="auto"/>
              </w:rPr>
            </w:pPr>
            <w:r>
              <w:rPr>
                <w:rFonts w:ascii="Times New Roman" w:cs="Times New Roman" w:eastAsia="Times New Roman" w:hAnsi="Times New Roman"/>
                <w:sz w:val="16"/>
                <w:szCs w:val="16"/>
                <w:color w:val="auto"/>
              </w:rPr>
              <w:t>81-3881866</w:t>
            </w:r>
          </w:p>
        </w:tc>
      </w:tr>
      <w:tr>
        <w:trPr>
          <w:trHeight w:val="213"/>
        </w:trPr>
        <w:tc>
          <w:tcPr>
            <w:tcW w:w="1120" w:type="dxa"/>
            <w:vAlign w:val="bottom"/>
          </w:tcPr>
          <w:p>
            <w:pPr>
              <w:spacing w:after="0"/>
              <w:rPr>
                <w:sz w:val="18"/>
                <w:szCs w:val="18"/>
                <w:color w:val="auto"/>
              </w:rPr>
            </w:pPr>
          </w:p>
        </w:tc>
        <w:tc>
          <w:tcPr>
            <w:tcW w:w="2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8360 S. Durango Dr.</w:t>
            </w:r>
          </w:p>
        </w:tc>
        <w:tc>
          <w:tcPr>
            <w:tcW w:w="9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14"/>
        </w:trPr>
        <w:tc>
          <w:tcPr>
            <w:tcW w:w="1120" w:type="dxa"/>
            <w:vAlign w:val="bottom"/>
          </w:tcPr>
          <w:p>
            <w:pPr>
              <w:spacing w:after="0"/>
              <w:rPr>
                <w:sz w:val="18"/>
                <w:szCs w:val="18"/>
                <w:color w:val="auto"/>
              </w:rPr>
            </w:pPr>
          </w:p>
        </w:tc>
        <w:tc>
          <w:tcPr>
            <w:tcW w:w="2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Las Vegas,</w:t>
            </w:r>
          </w:p>
        </w:tc>
        <w:tc>
          <w:tcPr>
            <w:tcW w:w="9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Nevada</w:t>
            </w:r>
          </w:p>
        </w:tc>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89113</w:t>
            </w:r>
          </w:p>
        </w:tc>
        <w:tc>
          <w:tcPr>
            <w:tcW w:w="258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14"/>
        </w:trPr>
        <w:tc>
          <w:tcPr>
            <w:tcW w:w="1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876-7237</w:t>
            </w:r>
          </w:p>
        </w:tc>
        <w:tc>
          <w:tcPr>
            <w:tcW w:w="258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112"/>
        </w:trPr>
        <w:tc>
          <w:tcPr>
            <w:tcW w:w="112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2580" w:type="dxa"/>
            <w:vAlign w:val="bottom"/>
            <w:tcBorders>
              <w:bottom w:val="single" w:sz="8" w:color="auto"/>
            </w:tcBorders>
          </w:tcPr>
          <w:p>
            <w:pPr>
              <w:spacing w:after="0"/>
              <w:rPr>
                <w:sz w:val="9"/>
                <w:szCs w:val="9"/>
                <w:color w:val="auto"/>
              </w:rPr>
            </w:pPr>
          </w:p>
        </w:tc>
        <w:tc>
          <w:tcPr>
            <w:tcW w:w="2420" w:type="dxa"/>
            <w:vAlign w:val="bottom"/>
            <w:tcBorders>
              <w:bottom w:val="single" w:sz="8" w:color="auto"/>
            </w:tcBorders>
          </w:tcPr>
          <w:p>
            <w:pPr>
              <w:spacing w:after="0"/>
              <w:rPr>
                <w:sz w:val="9"/>
                <w:szCs w:val="9"/>
                <w:color w:val="auto"/>
              </w:rPr>
            </w:pPr>
          </w:p>
        </w:tc>
      </w:tr>
      <w:tr>
        <w:trPr>
          <w:trHeight w:val="202"/>
        </w:trPr>
        <w:tc>
          <w:tcPr>
            <w:tcW w:w="1120" w:type="dxa"/>
            <w:vAlign w:val="bottom"/>
          </w:tcPr>
          <w:p>
            <w:pPr>
              <w:jc w:val="right"/>
              <w:ind w:right="264"/>
              <w:spacing w:after="0"/>
              <w:rPr>
                <w:sz w:val="20"/>
                <w:szCs w:val="20"/>
                <w:color w:val="auto"/>
              </w:rPr>
            </w:pPr>
            <w:r>
              <w:rPr>
                <w:rFonts w:ascii="Times New Roman" w:cs="Times New Roman" w:eastAsia="Times New Roman" w:hAnsi="Times New Roman"/>
                <w:sz w:val="16"/>
                <w:szCs w:val="16"/>
                <w:color w:val="auto"/>
              </w:rPr>
              <w:t>1-7850</w:t>
            </w:r>
          </w:p>
        </w:tc>
        <w:tc>
          <w:tcPr>
            <w:tcW w:w="2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Southwest Gas Corporation</w:t>
            </w:r>
          </w:p>
        </w:tc>
        <w:tc>
          <w:tcPr>
            <w:tcW w:w="9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580" w:type="dxa"/>
            <w:vAlign w:val="bottom"/>
          </w:tcPr>
          <w:p>
            <w:pPr>
              <w:jc w:val="center"/>
              <w:ind w:left="724"/>
              <w:spacing w:after="0"/>
              <w:rPr>
                <w:sz w:val="20"/>
                <w:szCs w:val="20"/>
                <w:color w:val="auto"/>
              </w:rPr>
            </w:pPr>
            <w:r>
              <w:rPr>
                <w:rFonts w:ascii="Times New Roman" w:cs="Times New Roman" w:eastAsia="Times New Roman" w:hAnsi="Times New Roman"/>
                <w:sz w:val="16"/>
                <w:szCs w:val="16"/>
                <w:color w:val="auto"/>
              </w:rPr>
              <w:t>California</w:t>
            </w:r>
          </w:p>
        </w:tc>
        <w:tc>
          <w:tcPr>
            <w:tcW w:w="2420" w:type="dxa"/>
            <w:vAlign w:val="bottom"/>
          </w:tcPr>
          <w:p>
            <w:pPr>
              <w:jc w:val="center"/>
              <w:ind w:left="84"/>
              <w:spacing w:after="0"/>
              <w:rPr>
                <w:sz w:val="20"/>
                <w:szCs w:val="20"/>
                <w:color w:val="auto"/>
              </w:rPr>
            </w:pPr>
            <w:r>
              <w:rPr>
                <w:rFonts w:ascii="Times New Roman" w:cs="Times New Roman" w:eastAsia="Times New Roman" w:hAnsi="Times New Roman"/>
                <w:sz w:val="16"/>
                <w:szCs w:val="16"/>
                <w:color w:val="auto"/>
              </w:rPr>
              <w:t>88-0085720</w:t>
            </w:r>
          </w:p>
        </w:tc>
      </w:tr>
      <w:tr>
        <w:trPr>
          <w:trHeight w:val="213"/>
        </w:trPr>
        <w:tc>
          <w:tcPr>
            <w:tcW w:w="1120" w:type="dxa"/>
            <w:vAlign w:val="bottom"/>
          </w:tcPr>
          <w:p>
            <w:pPr>
              <w:spacing w:after="0"/>
              <w:rPr>
                <w:sz w:val="18"/>
                <w:szCs w:val="18"/>
                <w:color w:val="auto"/>
              </w:rPr>
            </w:pPr>
          </w:p>
        </w:tc>
        <w:tc>
          <w:tcPr>
            <w:tcW w:w="2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8360 S. Durango Dr.</w:t>
            </w:r>
          </w:p>
        </w:tc>
        <w:tc>
          <w:tcPr>
            <w:tcW w:w="9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14"/>
        </w:trPr>
        <w:tc>
          <w:tcPr>
            <w:tcW w:w="1120" w:type="dxa"/>
            <w:vAlign w:val="bottom"/>
          </w:tcPr>
          <w:p>
            <w:pPr>
              <w:spacing w:after="0"/>
              <w:rPr>
                <w:sz w:val="18"/>
                <w:szCs w:val="18"/>
                <w:color w:val="auto"/>
              </w:rPr>
            </w:pPr>
          </w:p>
        </w:tc>
        <w:tc>
          <w:tcPr>
            <w:tcW w:w="2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Las Vegas,</w:t>
            </w:r>
          </w:p>
        </w:tc>
        <w:tc>
          <w:tcPr>
            <w:tcW w:w="9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Nevada</w:t>
            </w:r>
          </w:p>
        </w:tc>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89113</w:t>
            </w:r>
          </w:p>
        </w:tc>
        <w:tc>
          <w:tcPr>
            <w:tcW w:w="258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14"/>
        </w:trPr>
        <w:tc>
          <w:tcPr>
            <w:tcW w:w="1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876-7237</w:t>
            </w:r>
          </w:p>
        </w:tc>
        <w:tc>
          <w:tcPr>
            <w:tcW w:w="2580" w:type="dxa"/>
            <w:vAlign w:val="bottom"/>
          </w:tcPr>
          <w:p>
            <w:pPr>
              <w:spacing w:after="0"/>
              <w:rPr>
                <w:sz w:val="18"/>
                <w:szCs w:val="18"/>
                <w:color w:val="auto"/>
              </w:rPr>
            </w:pPr>
          </w:p>
        </w:tc>
        <w:tc>
          <w:tcPr>
            <w:tcW w:w="2420" w:type="dxa"/>
            <w:vAlign w:val="bottom"/>
          </w:tcPr>
          <w:p>
            <w:pPr>
              <w:spacing w:after="0"/>
              <w:rPr>
                <w:sz w:val="18"/>
                <w:szCs w:val="18"/>
                <w:color w:val="auto"/>
              </w:rPr>
            </w:pPr>
          </w:p>
        </w:tc>
      </w:tr>
    </w:tbl>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4940" w:type="dxa"/>
            <w:vAlign w:val="bottom"/>
            <w:tcBorders>
              <w:bottom w:val="single" w:sz="8" w:color="auto"/>
            </w:tcBorders>
          </w:tcPr>
          <w:p>
            <w:pPr>
              <w:jc w:val="center"/>
              <w:ind w:left="10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Trading Symbol</w:t>
            </w:r>
          </w:p>
        </w:tc>
        <w:tc>
          <w:tcPr>
            <w:tcW w:w="420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5"/>
        </w:trPr>
        <w:tc>
          <w:tcPr>
            <w:tcW w:w="4940" w:type="dxa"/>
            <w:vAlign w:val="bottom"/>
          </w:tcPr>
          <w:p>
            <w:pPr>
              <w:jc w:val="center"/>
              <w:ind w:left="100"/>
              <w:spacing w:after="0"/>
              <w:rPr>
                <w:sz w:val="20"/>
                <w:szCs w:val="20"/>
                <w:color w:val="auto"/>
              </w:rPr>
            </w:pPr>
            <w:r>
              <w:rPr>
                <w:rFonts w:ascii="Times New Roman" w:cs="Times New Roman" w:eastAsia="Times New Roman" w:hAnsi="Times New Roman"/>
                <w:sz w:val="16"/>
                <w:szCs w:val="16"/>
                <w:color w:val="auto"/>
              </w:rPr>
              <w:t>Southwest Gas Holdings, Inc. Common Stock, $1 par value</w:t>
            </w: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SWX</w:t>
            </w:r>
          </w:p>
        </w:tc>
        <w:tc>
          <w:tcPr>
            <w:tcW w:w="4200" w:type="dxa"/>
            <w:vAlign w:val="bottom"/>
          </w:tcPr>
          <w:p>
            <w:pPr>
              <w:jc w:val="center"/>
              <w:ind w:right="140"/>
              <w:spacing w:after="0"/>
              <w:rPr>
                <w:sz w:val="20"/>
                <w:szCs w:val="20"/>
                <w:color w:val="auto"/>
              </w:rPr>
            </w:pPr>
            <w:r>
              <w:rPr>
                <w:rFonts w:ascii="Times New Roman" w:cs="Times New Roman" w:eastAsia="Times New Roman" w:hAnsi="Times New Roman"/>
                <w:sz w:val="16"/>
                <w:szCs w:val="16"/>
                <w:color w:val="auto"/>
                <w:w w:val="99"/>
              </w:rPr>
              <w:t>New York Stock Exchange</w:t>
            </w:r>
          </w:p>
        </w:tc>
      </w:tr>
      <w:tr>
        <w:trPr>
          <w:trHeight w:val="213"/>
        </w:trPr>
        <w:tc>
          <w:tcPr>
            <w:tcW w:w="4940" w:type="dxa"/>
            <w:vAlign w:val="bottom"/>
          </w:tcPr>
          <w:p>
            <w:pPr>
              <w:jc w:val="center"/>
              <w:ind w:left="100"/>
              <w:spacing w:after="0"/>
              <w:rPr>
                <w:sz w:val="20"/>
                <w:szCs w:val="20"/>
                <w:color w:val="auto"/>
              </w:rPr>
            </w:pPr>
            <w:r>
              <w:rPr>
                <w:rFonts w:ascii="Times New Roman" w:cs="Times New Roman" w:eastAsia="Times New Roman" w:hAnsi="Times New Roman"/>
                <w:sz w:val="16"/>
                <w:szCs w:val="16"/>
                <w:color w:val="auto"/>
              </w:rPr>
              <w:t>Preferred Stock Purchase Rights</w:t>
            </w: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4200" w:type="dxa"/>
            <w:vAlign w:val="bottom"/>
          </w:tcPr>
          <w:p>
            <w:pPr>
              <w:jc w:val="center"/>
              <w:ind w:right="140"/>
              <w:spacing w:after="0"/>
              <w:rPr>
                <w:sz w:val="20"/>
                <w:szCs w:val="20"/>
                <w:color w:val="auto"/>
              </w:rPr>
            </w:pPr>
            <w:r>
              <w:rPr>
                <w:rFonts w:ascii="Times New Roman" w:cs="Times New Roman" w:eastAsia="Times New Roman" w:hAnsi="Times New Roman"/>
                <w:sz w:val="16"/>
                <w:szCs w:val="16"/>
                <w:color w:val="auto"/>
                <w:w w:val="99"/>
              </w:rPr>
              <w:t>New York Stock Exchange</w:t>
            </w:r>
          </w:p>
        </w:tc>
      </w:tr>
    </w:tbl>
    <w:p>
      <w:pPr>
        <w:spacing w:after="0" w:line="184"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207"/>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640" w:type="dxa"/>
            <w:vAlign w:val="bottom"/>
            <w:vMerge w:val="restart"/>
          </w:tcPr>
          <w:p>
            <w:pPr>
              <w:ind w:left="220"/>
              <w:spacing w:after="0" w:line="207" w:lineRule="exact"/>
              <w:rPr>
                <w:sz w:val="20"/>
                <w:szCs w:val="20"/>
                <w:color w:val="auto"/>
              </w:rPr>
            </w:pPr>
            <w:r>
              <w:rPr>
                <w:rFonts w:ascii="Times New Roman" w:cs="Times New Roman" w:eastAsia="Times New Roman" w:hAnsi="Times New Roman"/>
                <w:sz w:val="18"/>
                <w:szCs w:val="18"/>
                <w:b w:val="1"/>
                <w:bCs w:val="1"/>
                <w:color w:val="auto"/>
                <w:w w:val="89"/>
              </w:rPr>
              <w:t xml:space="preserve">No </w:t>
            </w:r>
            <w:r>
              <w:rPr>
                <w:rFonts w:ascii="MS PGothic" w:cs="MS PGothic" w:eastAsia="MS PGothic" w:hAnsi="MS PGothic"/>
                <w:sz w:val="18"/>
                <w:szCs w:val="18"/>
                <w:color w:val="auto"/>
                <w:highlight w:val="black"/>
                <w:w w:val="89"/>
              </w:rPr>
              <w:t>☐</w:t>
            </w:r>
          </w:p>
        </w:tc>
        <w:tc>
          <w:tcPr>
            <w:tcW w:w="0" w:type="dxa"/>
            <w:vAlign w:val="bottom"/>
          </w:tcPr>
          <w:p>
            <w:pPr>
              <w:spacing w:after="0"/>
              <w:rPr>
                <w:sz w:val="1"/>
                <w:szCs w:val="1"/>
                <w:color w:val="auto"/>
              </w:rPr>
            </w:pPr>
          </w:p>
        </w:tc>
      </w:tr>
      <w:tr>
        <w:trPr>
          <w:trHeight w:val="262"/>
        </w:trPr>
        <w:tc>
          <w:tcPr>
            <w:tcW w:w="6740" w:type="dxa"/>
            <w:vAlign w:val="bottom"/>
          </w:tcPr>
          <w:p>
            <w:pPr>
              <w:ind w:left="606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highlight w:val="black"/>
              </w:rPr>
              <w:t>☒</w:t>
            </w:r>
          </w:p>
        </w:tc>
        <w:tc>
          <w:tcPr>
            <w:tcW w:w="6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9"/>
        </w:trPr>
        <w:tc>
          <w:tcPr>
            <w:tcW w:w="6740" w:type="dxa"/>
            <w:vAlign w:val="bottom"/>
          </w:tcPr>
          <w:p>
            <w:pPr>
              <w:spacing w:after="0" w:line="179" w:lineRule="exact"/>
              <w:rPr>
                <w:sz w:val="20"/>
                <w:szCs w:val="20"/>
                <w:color w:val="auto"/>
              </w:rPr>
            </w:pPr>
            <w:r>
              <w:rPr>
                <w:rFonts w:ascii="Times New Roman" w:cs="Times New Roman" w:eastAsia="Times New Roman" w:hAnsi="Times New Roman"/>
                <w:sz w:val="18"/>
                <w:szCs w:val="18"/>
                <w:color w:val="auto"/>
              </w:rPr>
              <w:t>Southwest Gas Corporation</w:t>
            </w:r>
          </w:p>
        </w:tc>
        <w:tc>
          <w:tcPr>
            <w:tcW w:w="640" w:type="dxa"/>
            <w:vAlign w:val="bottom"/>
            <w:vMerge w:val="restart"/>
          </w:tcPr>
          <w:p>
            <w:pPr>
              <w:ind w:left="220"/>
              <w:spacing w:after="0" w:line="207" w:lineRule="exact"/>
              <w:rPr>
                <w:sz w:val="20"/>
                <w:szCs w:val="20"/>
                <w:color w:val="auto"/>
              </w:rPr>
            </w:pPr>
            <w:r>
              <w:rPr>
                <w:rFonts w:ascii="Times New Roman" w:cs="Times New Roman" w:eastAsia="Times New Roman" w:hAnsi="Times New Roman"/>
                <w:sz w:val="18"/>
                <w:szCs w:val="18"/>
                <w:b w:val="1"/>
                <w:bCs w:val="1"/>
                <w:color w:val="auto"/>
                <w:w w:val="89"/>
              </w:rPr>
              <w:t xml:space="preserve">No </w:t>
            </w:r>
            <w:r>
              <w:rPr>
                <w:rFonts w:ascii="MS PGothic" w:cs="MS PGothic" w:eastAsia="MS PGothic" w:hAnsi="MS PGothic"/>
                <w:sz w:val="18"/>
                <w:szCs w:val="18"/>
                <w:color w:val="auto"/>
                <w:highlight w:val="black"/>
                <w:w w:val="89"/>
              </w:rPr>
              <w:t>☒</w:t>
            </w:r>
          </w:p>
        </w:tc>
        <w:tc>
          <w:tcPr>
            <w:tcW w:w="0" w:type="dxa"/>
            <w:vAlign w:val="bottom"/>
          </w:tcPr>
          <w:p>
            <w:pPr>
              <w:spacing w:after="0"/>
              <w:rPr>
                <w:sz w:val="1"/>
                <w:szCs w:val="1"/>
                <w:color w:val="auto"/>
              </w:rPr>
            </w:pPr>
          </w:p>
        </w:tc>
      </w:tr>
      <w:tr>
        <w:trPr>
          <w:trHeight w:val="301"/>
        </w:trPr>
        <w:tc>
          <w:tcPr>
            <w:tcW w:w="6740" w:type="dxa"/>
            <w:vAlign w:val="bottom"/>
          </w:tcPr>
          <w:p>
            <w:pPr>
              <w:ind w:left="606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highlight w:val="black"/>
              </w:rPr>
              <w:t>☐</w:t>
            </w: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4" w:lineRule="exact"/>
        <w:rPr>
          <w:sz w:val="24"/>
          <w:szCs w:val="24"/>
          <w:color w:val="auto"/>
        </w:rPr>
      </w:pPr>
    </w:p>
    <w:p>
      <w:pPr>
        <w:spacing w:after="0" w:line="207" w:lineRule="exact"/>
        <w:tabs>
          <w:tab w:leader="none" w:pos="8800" w:val="left"/>
        </w:tabs>
        <w:rPr>
          <w:sz w:val="20"/>
          <w:szCs w:val="20"/>
          <w:color w:val="auto"/>
        </w:rPr>
      </w:pPr>
      <w:r>
        <w:rPr>
          <w:rFonts w:ascii="Times New Roman" w:cs="Times New Roman" w:eastAsia="Times New Roman" w:hAnsi="Times New Roman"/>
          <w:sz w:val="18"/>
          <w:szCs w:val="18"/>
          <w:color w:val="auto"/>
        </w:rPr>
        <w:t>Indicate by check mark if each registrant is not required to file reports pursuant to Section 13 or Section 15(d) of the Act.</w:t>
      </w:r>
      <w:r>
        <w:rPr>
          <w:sz w:val="20"/>
          <w:szCs w:val="20"/>
          <w:color w:val="auto"/>
        </w:rPr>
        <w:tab/>
      </w: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No </w:t>
      </w:r>
      <w:r>
        <w:rPr>
          <w:rFonts w:ascii="MS PGothic" w:cs="MS PGothic" w:eastAsia="MS PGothic" w:hAnsi="MS PGothic"/>
          <w:sz w:val="18"/>
          <w:szCs w:val="18"/>
          <w:color w:val="auto"/>
        </w:rPr>
        <w:t>☒</w:t>
      </w:r>
    </w:p>
    <w:p>
      <w:pPr>
        <w:spacing w:after="0" w:line="155" w:lineRule="exact"/>
        <w:rPr>
          <w:sz w:val="24"/>
          <w:szCs w:val="24"/>
          <w:color w:val="auto"/>
        </w:rPr>
      </w:pPr>
    </w:p>
    <w:p>
      <w:pPr>
        <w:jc w:val="both"/>
        <w:spacing w:after="0" w:line="230" w:lineRule="exact"/>
        <w:rPr>
          <w:sz w:val="20"/>
          <w:szCs w:val="20"/>
          <w:color w:val="auto"/>
        </w:rPr>
      </w:pPr>
      <w:r>
        <w:rPr>
          <w:rFonts w:ascii="Times New Roman" w:cs="Times New Roman" w:eastAsia="Times New Roman" w:hAnsi="Times New Roman"/>
          <w:sz w:val="18"/>
          <w:szCs w:val="18"/>
          <w:color w:val="auto"/>
        </w:rPr>
        <w:t xml:space="preserve">Indicate by check mark whether each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61" w:lineRule="exact"/>
        <w:rPr>
          <w:sz w:val="24"/>
          <w:szCs w:val="24"/>
          <w:color w:val="auto"/>
        </w:rPr>
      </w:pPr>
    </w:p>
    <w:p>
      <w:pPr>
        <w:jc w:val="both"/>
        <w:spacing w:after="0" w:line="230" w:lineRule="exact"/>
        <w:rPr>
          <w:sz w:val="20"/>
          <w:szCs w:val="20"/>
          <w:color w:val="auto"/>
        </w:rPr>
      </w:pPr>
      <w:r>
        <w:rPr>
          <w:rFonts w:ascii="Times New Roman" w:cs="Times New Roman" w:eastAsia="Times New Roman" w:hAnsi="Times New Roman"/>
          <w:sz w:val="18"/>
          <w:szCs w:val="18"/>
          <w:color w:val="auto"/>
        </w:rPr>
        <w:t xml:space="preserve">Indicate by check mark whether each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No </w:t>
      </w:r>
      <w:r>
        <w:rPr>
          <w:rFonts w:ascii="MS PGothic" w:cs="MS PGothic" w:eastAsia="MS PGothic" w:hAnsi="MS PGothic"/>
          <w:sz w:val="18"/>
          <w:szCs w:val="18"/>
          <w:color w:val="auto"/>
        </w:rPr>
        <w:t>☐</w:t>
      </w:r>
    </w:p>
    <w:p>
      <w:pPr>
        <w:spacing w:after="0" w:line="61" w:lineRule="exact"/>
        <w:rPr>
          <w:sz w:val="24"/>
          <w:szCs w:val="24"/>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Indicate by check mark whether each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82" w:right="339" w:bottom="1440" w:gutter="0" w:footer="0" w:header="0"/>
        </w:sectPr>
      </w:pP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137160</wp:posOffset>
            </wp:positionV>
            <wp:extent cx="715899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2" w:right="339"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233"/>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308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88"/>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0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1"/>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0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1"/>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0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167" w:lineRule="exact"/>
        <w:rPr>
          <w:sz w:val="20"/>
          <w:szCs w:val="20"/>
          <w:color w:val="auto"/>
        </w:rPr>
      </w:pPr>
    </w:p>
    <w:p>
      <w:pPr>
        <w:jc w:val="both"/>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1" w:lineRule="exact"/>
        <w:rPr>
          <w:sz w:val="20"/>
          <w:szCs w:val="20"/>
          <w:color w:val="auto"/>
        </w:rPr>
      </w:pPr>
    </w:p>
    <w:p>
      <w:pPr>
        <w:jc w:val="both"/>
        <w:spacing w:after="0" w:line="23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31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88"/>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1"/>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1"/>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1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60" w:lineRule="exact"/>
        <w:rPr>
          <w:sz w:val="20"/>
          <w:szCs w:val="20"/>
          <w:color w:val="auto"/>
        </w:rPr>
      </w:pPr>
    </w:p>
    <w:p>
      <w:pPr>
        <w:jc w:val="both"/>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1" w:lineRule="exact"/>
        <w:rPr>
          <w:sz w:val="20"/>
          <w:szCs w:val="20"/>
          <w:color w:val="auto"/>
        </w:rPr>
      </w:pPr>
    </w:p>
    <w:p>
      <w:pPr>
        <w:jc w:val="both"/>
        <w:spacing w:after="0" w:line="23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61" w:lineRule="exact"/>
        <w:rPr>
          <w:sz w:val="20"/>
          <w:szCs w:val="20"/>
          <w:color w:val="auto"/>
        </w:rPr>
      </w:pPr>
    </w:p>
    <w:p>
      <w:pPr>
        <w:jc w:val="both"/>
        <w:spacing w:after="0" w:line="238"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Exchange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61" w:lineRule="exact"/>
        <w:rPr>
          <w:sz w:val="20"/>
          <w:szCs w:val="20"/>
          <w:color w:val="auto"/>
        </w:rPr>
      </w:pPr>
    </w:p>
    <w:p>
      <w:pPr>
        <w:jc w:val="both"/>
        <w:spacing w:after="0" w:line="238"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20" w:lineRule="exact"/>
        <w:rPr>
          <w:sz w:val="20"/>
          <w:szCs w:val="20"/>
          <w:color w:val="auto"/>
        </w:rPr>
      </w:pPr>
    </w:p>
    <w:p>
      <w:pPr>
        <w:spacing w:after="0" w:line="207" w:lineRule="exact"/>
        <w:tabs>
          <w:tab w:leader="none" w:pos="8380" w:val="left"/>
          <w:tab w:leader="none" w:pos="9060" w:val="left"/>
        </w:tabs>
        <w:rPr>
          <w:sz w:val="20"/>
          <w:szCs w:val="20"/>
          <w:color w:val="auto"/>
        </w:rPr>
      </w:pPr>
      <w:r>
        <w:rPr>
          <w:rFonts w:ascii="Times New Roman" w:cs="Times New Roman" w:eastAsia="Times New Roman" w:hAnsi="Times New Roman"/>
          <w:sz w:val="18"/>
          <w:szCs w:val="18"/>
          <w:color w:val="auto"/>
        </w:rPr>
        <w:t>Indicate by check mark whether each registrant is a shell company (as defined in Rule 12b-2 of the Exchange Act).</w:t>
      </w:r>
      <w:r>
        <w:rPr>
          <w:sz w:val="20"/>
          <w:szCs w:val="20"/>
          <w:color w:val="auto"/>
        </w:rPr>
        <w:tab/>
      </w: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ab/>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Aggregate market value of the voting and non-voting common stock held by nonaffiliates of the registrant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Southwest Gas Holdings, Inc.</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$5,046,900,393 as of June 30, 2024</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number of shares outstanding of Southwest Gas Holdings, Inc. common stock:</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Common Stock, $1 Par Value, 71,822,329 shares as of February 18, 2025</w:t>
      </w:r>
    </w:p>
    <w:p>
      <w:pPr>
        <w:spacing w:after="0" w:line="22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All of the outstanding shares of common stock ($1 par value) of Southwest Gas Corporation were held by Southwest Gas Holdings, Inc. as of February 18, 2025.</w:t>
      </w:r>
    </w:p>
    <w:p>
      <w:pPr>
        <w:spacing w:after="0" w:line="16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SOUTHWEST GAS CORPORATION MEETS THE CONDITIONS SET FORTH IN GENERAL INSTRUCTION (I)(1)(a) and (b) OF FORM 10-K AND IS THEREFORE FILING THIS REPORT WITH THE REDUCED DISCLOSURE FORMAT AS PERMITTED BY GENERAL INSTRUCTION I(2).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80" w:type="dxa"/>
            <w:vAlign w:val="bottom"/>
          </w:tcPr>
          <w:p>
            <w:pPr>
              <w:spacing w:after="0"/>
              <w:rPr>
                <w:sz w:val="20"/>
                <w:szCs w:val="20"/>
                <w:color w:val="auto"/>
              </w:rPr>
            </w:pPr>
          </w:p>
        </w:tc>
        <w:tc>
          <w:tcPr>
            <w:tcW w:w="7660" w:type="dxa"/>
            <w:vAlign w:val="bottom"/>
            <w:gridSpan w:val="3"/>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w w:val="98"/>
              </w:rPr>
              <w:t>DOCUMENTS INCORPORATED BY REFERENCE</w:t>
            </w:r>
          </w:p>
        </w:tc>
        <w:tc>
          <w:tcPr>
            <w:tcW w:w="0" w:type="dxa"/>
            <w:vAlign w:val="bottom"/>
          </w:tcPr>
          <w:p>
            <w:pPr>
              <w:spacing w:after="0"/>
              <w:rPr>
                <w:sz w:val="1"/>
                <w:szCs w:val="1"/>
                <w:color w:val="auto"/>
              </w:rPr>
            </w:pPr>
          </w:p>
        </w:tc>
      </w:tr>
      <w:tr>
        <w:trPr>
          <w:trHeight w:val="309"/>
        </w:trPr>
        <w:tc>
          <w:tcPr>
            <w:tcW w:w="3580" w:type="dxa"/>
            <w:vAlign w:val="bottom"/>
          </w:tcPr>
          <w:p>
            <w:pPr>
              <w:jc w:val="center"/>
              <w:ind w:left="18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300" w:type="dxa"/>
            <w:vAlign w:val="bottom"/>
          </w:tcPr>
          <w:p>
            <w:pPr>
              <w:spacing w:after="0"/>
              <w:rPr>
                <w:sz w:val="24"/>
                <w:szCs w:val="24"/>
                <w:color w:val="auto"/>
              </w:rPr>
            </w:pPr>
          </w:p>
        </w:tc>
        <w:tc>
          <w:tcPr>
            <w:tcW w:w="53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Part Into Which Incorporated</w:t>
            </w:r>
          </w:p>
        </w:tc>
        <w:tc>
          <w:tcPr>
            <w:tcW w:w="0" w:type="dxa"/>
            <w:vAlign w:val="bottom"/>
          </w:tcPr>
          <w:p>
            <w:pPr>
              <w:spacing w:after="0"/>
              <w:rPr>
                <w:sz w:val="1"/>
                <w:szCs w:val="1"/>
                <w:color w:val="auto"/>
              </w:rPr>
            </w:pPr>
          </w:p>
        </w:tc>
      </w:tr>
      <w:tr>
        <w:trPr>
          <w:trHeight w:val="25"/>
        </w:trPr>
        <w:tc>
          <w:tcPr>
            <w:tcW w:w="3580" w:type="dxa"/>
            <w:vAlign w:val="bottom"/>
            <w:vMerge w:val="restart"/>
          </w:tcPr>
          <w:p>
            <w:pPr>
              <w:jc w:val="center"/>
              <w:ind w:left="1880"/>
              <w:spacing w:after="0"/>
              <w:rPr>
                <w:sz w:val="20"/>
                <w:szCs w:val="20"/>
                <w:color w:val="auto"/>
              </w:rPr>
            </w:pPr>
            <w:r>
              <w:rPr>
                <w:rFonts w:ascii="Times New Roman" w:cs="Times New Roman" w:eastAsia="Times New Roman" w:hAnsi="Times New Roman"/>
                <w:sz w:val="18"/>
                <w:szCs w:val="18"/>
                <w:color w:val="auto"/>
                <w:w w:val="98"/>
              </w:rPr>
              <w:t>2025 Proxy Statement</w:t>
            </w:r>
          </w:p>
        </w:tc>
        <w:tc>
          <w:tcPr>
            <w:tcW w:w="2300" w:type="dxa"/>
            <w:vAlign w:val="bottom"/>
          </w:tcPr>
          <w:p>
            <w:pPr>
              <w:spacing w:after="0"/>
              <w:rPr>
                <w:sz w:val="2"/>
                <w:szCs w:val="2"/>
                <w:color w:val="auto"/>
              </w:rPr>
            </w:pPr>
          </w:p>
        </w:tc>
        <w:tc>
          <w:tcPr>
            <w:tcW w:w="53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3580" w:type="dxa"/>
            <w:vAlign w:val="bottom"/>
            <w:vMerge w:val="continue"/>
          </w:tcPr>
          <w:p>
            <w:pPr>
              <w:spacing w:after="0"/>
              <w:rPr>
                <w:sz w:val="19"/>
                <w:szCs w:val="19"/>
                <w:color w:val="auto"/>
              </w:rPr>
            </w:pPr>
          </w:p>
        </w:tc>
        <w:tc>
          <w:tcPr>
            <w:tcW w:w="2300" w:type="dxa"/>
            <w:vAlign w:val="bottom"/>
          </w:tcPr>
          <w:p>
            <w:pPr>
              <w:spacing w:after="0"/>
              <w:rPr>
                <w:sz w:val="19"/>
                <w:szCs w:val="19"/>
                <w:color w:val="auto"/>
              </w:rPr>
            </w:pPr>
          </w:p>
        </w:tc>
        <w:tc>
          <w:tcPr>
            <w:tcW w:w="5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Part III</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78"/>
        </w:trPr>
        <w:tc>
          <w:tcPr>
            <w:tcW w:w="3580" w:type="dxa"/>
            <w:vAlign w:val="bottom"/>
          </w:tcPr>
          <w:p>
            <w:pPr>
              <w:spacing w:after="0"/>
              <w:rPr>
                <w:sz w:val="24"/>
                <w:szCs w:val="24"/>
                <w:color w:val="auto"/>
              </w:rPr>
            </w:pPr>
          </w:p>
        </w:tc>
        <w:tc>
          <w:tcPr>
            <w:tcW w:w="2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w:t>
            </w:r>
          </w:p>
        </w:tc>
        <w:tc>
          <w:tcPr>
            <w:tcW w:w="5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3580" w:type="dxa"/>
            <w:vAlign w:val="bottom"/>
            <w:tcBorders>
              <w:bottom w:val="single" w:sz="8" w:color="9A9A9A"/>
            </w:tcBorders>
          </w:tcPr>
          <w:p>
            <w:pPr>
              <w:spacing w:after="0"/>
              <w:rPr>
                <w:sz w:val="16"/>
                <w:szCs w:val="16"/>
                <w:color w:val="auto"/>
              </w:rPr>
            </w:pPr>
          </w:p>
        </w:tc>
        <w:tc>
          <w:tcPr>
            <w:tcW w:w="2300" w:type="dxa"/>
            <w:vAlign w:val="bottom"/>
            <w:tcBorders>
              <w:bottom w:val="single" w:sz="8" w:color="9A9A9A"/>
            </w:tcBorders>
          </w:tcPr>
          <w:p>
            <w:pPr>
              <w:spacing w:after="0"/>
              <w:rPr>
                <w:sz w:val="16"/>
                <w:szCs w:val="16"/>
                <w:color w:val="auto"/>
              </w:rPr>
            </w:pPr>
          </w:p>
        </w:tc>
        <w:tc>
          <w:tcPr>
            <w:tcW w:w="534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6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940" w:type="dxa"/>
            <w:vAlign w:val="bottom"/>
            <w:gridSpan w:val="41"/>
          </w:tcPr>
          <w:p>
            <w:pPr>
              <w:spacing w:after="0"/>
              <w:rPr>
                <w:sz w:val="20"/>
                <w:szCs w:val="20"/>
                <w:color w:val="auto"/>
              </w:rPr>
            </w:pPr>
            <w:r>
              <w:rPr>
                <w:rFonts w:ascii="Times New Roman" w:cs="Times New Roman" w:eastAsia="Times New Roman" w:hAnsi="Times New Roman"/>
                <w:sz w:val="18"/>
                <w:szCs w:val="18"/>
                <w:b w:val="1"/>
                <w:bCs w:val="1"/>
                <w:color w:val="0000FF"/>
              </w:rPr>
              <w:t>FILING FORMAT</w:t>
            </w:r>
          </w:p>
        </w:tc>
        <w:tc>
          <w:tcPr>
            <w:tcW w:w="2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20" w:type="dxa"/>
            <w:vAlign w:val="bottom"/>
          </w:tcPr>
          <w:p>
            <w:pPr>
              <w:spacing w:after="0"/>
              <w:rPr>
                <w:sz w:val="22"/>
                <w:szCs w:val="22"/>
                <w:color w:val="auto"/>
              </w:rPr>
            </w:pPr>
          </w:p>
        </w:tc>
        <w:tc>
          <w:tcPr>
            <w:tcW w:w="10940" w:type="dxa"/>
            <w:vAlign w:val="bottom"/>
            <w:gridSpan w:val="41"/>
          </w:tcPr>
          <w:p>
            <w:pPr>
              <w:spacing w:after="0"/>
              <w:rPr>
                <w:sz w:val="20"/>
                <w:szCs w:val="20"/>
                <w:color w:val="auto"/>
              </w:rPr>
            </w:pPr>
            <w:r>
              <w:rPr>
                <w:rFonts w:ascii="Times New Roman" w:cs="Times New Roman" w:eastAsia="Times New Roman" w:hAnsi="Times New Roman"/>
                <w:sz w:val="18"/>
                <w:szCs w:val="18"/>
                <w:b w:val="1"/>
                <w:bCs w:val="1"/>
                <w:color w:val="0000FF"/>
              </w:rPr>
              <w:t>GLOSSARY OF KEY TERMS</w:t>
            </w:r>
          </w:p>
        </w:tc>
        <w:tc>
          <w:tcPr>
            <w:tcW w:w="2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20" w:type="dxa"/>
            <w:vAlign w:val="bottom"/>
          </w:tcPr>
          <w:p>
            <w:pPr>
              <w:spacing w:after="0"/>
              <w:rPr>
                <w:sz w:val="22"/>
                <w:szCs w:val="22"/>
                <w:color w:val="auto"/>
              </w:rPr>
            </w:pPr>
          </w:p>
        </w:tc>
        <w:tc>
          <w:tcPr>
            <w:tcW w:w="10940" w:type="dxa"/>
            <w:vAlign w:val="bottom"/>
            <w:gridSpan w:val="41"/>
          </w:tcPr>
          <w:p>
            <w:pPr>
              <w:spacing w:after="0"/>
              <w:rPr>
                <w:sz w:val="20"/>
                <w:szCs w:val="20"/>
                <w:color w:val="auto"/>
              </w:rPr>
            </w:pPr>
            <w:r>
              <w:rPr>
                <w:rFonts w:ascii="Times New Roman" w:cs="Times New Roman" w:eastAsia="Times New Roman" w:hAnsi="Times New Roman"/>
                <w:sz w:val="18"/>
                <w:szCs w:val="18"/>
                <w:b w:val="1"/>
                <w:bCs w:val="1"/>
                <w:color w:val="0000FF"/>
              </w:rPr>
              <w:t>FORWARD-LOOKING STATEMENTS</w:t>
            </w:r>
          </w:p>
        </w:tc>
        <w:tc>
          <w:tcPr>
            <w:tcW w:w="2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20" w:type="dxa"/>
            <w:vAlign w:val="bottom"/>
          </w:tcPr>
          <w:p>
            <w:pPr>
              <w:spacing w:after="0"/>
              <w:rPr>
                <w:sz w:val="22"/>
                <w:szCs w:val="22"/>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2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20" w:type="dxa"/>
            <w:vAlign w:val="bottom"/>
          </w:tcPr>
          <w:p>
            <w:pPr>
              <w:spacing w:after="0"/>
              <w:rPr>
                <w:sz w:val="22"/>
                <w:szCs w:val="22"/>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80" w:type="dxa"/>
            <w:vAlign w:val="bottom"/>
            <w:gridSpan w:val="4"/>
          </w:tcPr>
          <w:p>
            <w:pPr>
              <w:spacing w:after="0"/>
              <w:rPr>
                <w:sz w:val="22"/>
                <w:szCs w:val="22"/>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w w:val="96"/>
              </w:rPr>
              <w:t>BUSINESS</w:t>
            </w:r>
          </w:p>
        </w:tc>
        <w:tc>
          <w:tcPr>
            <w:tcW w:w="8720" w:type="dxa"/>
            <w:vAlign w:val="bottom"/>
            <w:gridSpan w:val="32"/>
          </w:tcPr>
          <w:p>
            <w:pPr>
              <w:spacing w:after="0"/>
              <w:rPr>
                <w:sz w:val="22"/>
                <w:szCs w:val="22"/>
                <w:color w:val="auto"/>
              </w:rPr>
            </w:pPr>
          </w:p>
        </w:tc>
        <w:tc>
          <w:tcPr>
            <w:tcW w:w="2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w w:val="94"/>
              </w:rPr>
              <w:t>NATURAL GAS DISTRIBUTION</w:t>
            </w:r>
          </w:p>
        </w:tc>
        <w:tc>
          <w:tcPr>
            <w:tcW w:w="6880" w:type="dxa"/>
            <w:vAlign w:val="bottom"/>
            <w:gridSpan w:val="16"/>
          </w:tcPr>
          <w:p>
            <w:pPr>
              <w:spacing w:after="0"/>
              <w:rPr>
                <w:sz w:val="18"/>
                <w:szCs w:val="18"/>
                <w:color w:val="auto"/>
              </w:rPr>
            </w:pPr>
          </w:p>
        </w:tc>
        <w:tc>
          <w:tcPr>
            <w:tcW w:w="2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0000FF"/>
                <w:w w:val="97"/>
              </w:rPr>
              <w:t>General Description</w:t>
            </w:r>
          </w:p>
        </w:tc>
        <w:tc>
          <w:tcPr>
            <w:tcW w:w="840" w:type="dxa"/>
            <w:vAlign w:val="bottom"/>
            <w:gridSpan w:val="6"/>
          </w:tcPr>
          <w:p>
            <w:pPr>
              <w:spacing w:after="0"/>
              <w:rPr>
                <w:sz w:val="18"/>
                <w:szCs w:val="18"/>
                <w:color w:val="auto"/>
              </w:rPr>
            </w:pPr>
          </w:p>
        </w:tc>
        <w:tc>
          <w:tcPr>
            <w:tcW w:w="6880" w:type="dxa"/>
            <w:vAlign w:val="bottom"/>
            <w:gridSpan w:val="16"/>
          </w:tcPr>
          <w:p>
            <w:pPr>
              <w:spacing w:after="0"/>
              <w:rPr>
                <w:sz w:val="18"/>
                <w:szCs w:val="18"/>
                <w:color w:val="auto"/>
              </w:rPr>
            </w:pPr>
          </w:p>
        </w:tc>
        <w:tc>
          <w:tcPr>
            <w:tcW w:w="2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0000FF"/>
                <w:w w:val="96"/>
              </w:rPr>
              <w:t>Rates and Regulation</w:t>
            </w:r>
          </w:p>
        </w:tc>
        <w:tc>
          <w:tcPr>
            <w:tcW w:w="7620" w:type="dxa"/>
            <w:vAlign w:val="bottom"/>
            <w:gridSpan w:val="21"/>
          </w:tcPr>
          <w:p>
            <w:pPr>
              <w:spacing w:after="0"/>
              <w:rPr>
                <w:sz w:val="18"/>
                <w:szCs w:val="18"/>
                <w:color w:val="auto"/>
              </w:rPr>
            </w:pPr>
          </w:p>
        </w:tc>
        <w:tc>
          <w:tcPr>
            <w:tcW w:w="2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0000FF"/>
              </w:rPr>
              <w:t>Competition</w:t>
            </w:r>
          </w:p>
        </w:tc>
        <w:tc>
          <w:tcPr>
            <w:tcW w:w="7620" w:type="dxa"/>
            <w:vAlign w:val="bottom"/>
            <w:gridSpan w:val="21"/>
          </w:tcPr>
          <w:p>
            <w:pPr>
              <w:spacing w:after="0"/>
              <w:rPr>
                <w:sz w:val="18"/>
                <w:szCs w:val="18"/>
                <w:color w:val="auto"/>
              </w:rPr>
            </w:pP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0000FF"/>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b w:val="1"/>
                <w:bCs w:val="1"/>
                <w:color w:val="0000FF"/>
                <w:w w:val="98"/>
              </w:rPr>
              <w:t>Environmental Matters</w:t>
            </w:r>
          </w:p>
        </w:tc>
        <w:tc>
          <w:tcPr>
            <w:tcW w:w="7460" w:type="dxa"/>
            <w:vAlign w:val="bottom"/>
            <w:gridSpan w:val="20"/>
          </w:tcPr>
          <w:p>
            <w:pPr>
              <w:spacing w:after="0"/>
              <w:rPr>
                <w:sz w:val="18"/>
                <w:szCs w:val="18"/>
                <w:color w:val="auto"/>
              </w:rPr>
            </w:pPr>
          </w:p>
        </w:tc>
        <w:tc>
          <w:tcPr>
            <w:tcW w:w="8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60" w:type="dxa"/>
            <w:vAlign w:val="bottom"/>
            <w:gridSpan w:val="34"/>
          </w:tcPr>
          <w:p>
            <w:pPr>
              <w:spacing w:after="0"/>
              <w:rPr>
                <w:sz w:val="20"/>
                <w:szCs w:val="20"/>
                <w:color w:val="auto"/>
              </w:rPr>
            </w:pPr>
            <w:r>
              <w:rPr>
                <w:rFonts w:ascii="Times New Roman" w:cs="Times New Roman" w:eastAsia="Times New Roman" w:hAnsi="Times New Roman"/>
                <w:sz w:val="18"/>
                <w:szCs w:val="18"/>
                <w:b w:val="1"/>
                <w:bCs w:val="1"/>
                <w:color w:val="0000FF"/>
              </w:rPr>
              <w:t>UTILITY INFRASTRUCTURE SERVICES</w:t>
            </w: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0000FF"/>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8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b w:val="1"/>
                <w:bCs w:val="1"/>
                <w:color w:val="0000FF"/>
              </w:rPr>
              <w:t>HUMAN CAPITAL</w:t>
            </w:r>
          </w:p>
        </w:tc>
        <w:tc>
          <w:tcPr>
            <w:tcW w:w="6080" w:type="dxa"/>
            <w:vAlign w:val="bottom"/>
            <w:gridSpan w:val="13"/>
          </w:tcPr>
          <w:p>
            <w:pPr>
              <w:spacing w:after="0"/>
              <w:rPr>
                <w:sz w:val="18"/>
                <w:szCs w:val="18"/>
                <w:color w:val="auto"/>
              </w:rPr>
            </w:pPr>
          </w:p>
        </w:tc>
        <w:tc>
          <w:tcPr>
            <w:tcW w:w="80" w:type="dxa"/>
            <w:vAlign w:val="bottom"/>
            <w:gridSpan w:val="2"/>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13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b w:val="1"/>
                <w:bCs w:val="1"/>
                <w:color w:val="0000FF"/>
                <w:w w:val="96"/>
              </w:rPr>
              <w:t>RISK FACTORS</w:t>
            </w:r>
          </w:p>
        </w:tc>
        <w:tc>
          <w:tcPr>
            <w:tcW w:w="8260" w:type="dxa"/>
            <w:vAlign w:val="bottom"/>
            <w:gridSpan w:val="28"/>
          </w:tcPr>
          <w:p>
            <w:pPr>
              <w:spacing w:after="0"/>
              <w:rPr>
                <w:sz w:val="18"/>
                <w:szCs w:val="18"/>
                <w:color w:val="auto"/>
              </w:rPr>
            </w:pPr>
          </w:p>
        </w:tc>
        <w:tc>
          <w:tcPr>
            <w:tcW w:w="8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9580" w:type="dxa"/>
            <w:vAlign w:val="bottom"/>
            <w:gridSpan w:val="36"/>
          </w:tcPr>
          <w:p>
            <w:pPr>
              <w:spacing w:after="0"/>
              <w:rPr>
                <w:sz w:val="20"/>
                <w:szCs w:val="20"/>
                <w:color w:val="auto"/>
              </w:rPr>
            </w:pPr>
            <w:r>
              <w:rPr>
                <w:rFonts w:ascii="Times New Roman" w:cs="Times New Roman" w:eastAsia="Times New Roman" w:hAnsi="Times New Roman"/>
                <w:sz w:val="18"/>
                <w:szCs w:val="18"/>
                <w:b w:val="1"/>
                <w:bCs w:val="1"/>
                <w:color w:val="0000FF"/>
              </w:rPr>
              <w:t>UNRESOLVED STAFF COMMENTS</w:t>
            </w: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0000FF"/>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1C.</w:t>
            </w:r>
          </w:p>
        </w:tc>
        <w:tc>
          <w:tcPr>
            <w:tcW w:w="292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b w:val="1"/>
                <w:bCs w:val="1"/>
                <w:color w:val="0000FF"/>
              </w:rPr>
              <w:t>CYBERSECURITY</w:t>
            </w:r>
          </w:p>
        </w:tc>
        <w:tc>
          <w:tcPr>
            <w:tcW w:w="6660" w:type="dxa"/>
            <w:vAlign w:val="bottom"/>
            <w:gridSpan w:val="15"/>
          </w:tcPr>
          <w:p>
            <w:pPr>
              <w:spacing w:after="0"/>
              <w:rPr>
                <w:sz w:val="18"/>
                <w:szCs w:val="18"/>
                <w:color w:val="auto"/>
              </w:rPr>
            </w:pPr>
          </w:p>
        </w:tc>
        <w:tc>
          <w:tcPr>
            <w:tcW w:w="80" w:type="dxa"/>
            <w:vAlign w:val="bottom"/>
            <w:gridSpan w:val="2"/>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154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b w:val="1"/>
                <w:bCs w:val="1"/>
                <w:color w:val="0000FF"/>
              </w:rPr>
              <w:t>PROPERTIES</w:t>
            </w:r>
          </w:p>
        </w:tc>
        <w:tc>
          <w:tcPr>
            <w:tcW w:w="8040" w:type="dxa"/>
            <w:vAlign w:val="bottom"/>
            <w:gridSpan w:val="25"/>
          </w:tcPr>
          <w:p>
            <w:pPr>
              <w:spacing w:after="0"/>
              <w:rPr>
                <w:sz w:val="18"/>
                <w:szCs w:val="18"/>
                <w:color w:val="auto"/>
              </w:rPr>
            </w:pPr>
          </w:p>
        </w:tc>
        <w:tc>
          <w:tcPr>
            <w:tcW w:w="80" w:type="dxa"/>
            <w:vAlign w:val="bottom"/>
            <w:gridSpan w:val="2"/>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6"/>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19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b w:val="1"/>
                <w:bCs w:val="1"/>
                <w:color w:val="0000FF"/>
                <w:w w:val="96"/>
              </w:rPr>
              <w:t>LEGAL PROCEEDINGS</w:t>
            </w:r>
          </w:p>
        </w:tc>
        <w:tc>
          <w:tcPr>
            <w:tcW w:w="7620" w:type="dxa"/>
            <w:vAlign w:val="bottom"/>
            <w:gridSpan w:val="21"/>
          </w:tcPr>
          <w:p>
            <w:pPr>
              <w:spacing w:after="0"/>
              <w:rPr>
                <w:sz w:val="18"/>
                <w:szCs w:val="18"/>
                <w:color w:val="auto"/>
              </w:rPr>
            </w:pPr>
          </w:p>
        </w:tc>
        <w:tc>
          <w:tcPr>
            <w:tcW w:w="8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25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b w:val="1"/>
                <w:bCs w:val="1"/>
                <w:color w:val="0000FF"/>
                <w:w w:val="98"/>
              </w:rPr>
              <w:t>MINE SAFETY DISCLOSURES</w:t>
            </w:r>
          </w:p>
        </w:tc>
        <w:tc>
          <w:tcPr>
            <w:tcW w:w="7040" w:type="dxa"/>
            <w:vAlign w:val="bottom"/>
            <w:gridSpan w:val="18"/>
          </w:tcPr>
          <w:p>
            <w:pPr>
              <w:spacing w:after="0"/>
              <w:rPr>
                <w:sz w:val="18"/>
                <w:szCs w:val="18"/>
                <w:color w:val="auto"/>
              </w:rPr>
            </w:pPr>
          </w:p>
        </w:tc>
        <w:tc>
          <w:tcPr>
            <w:tcW w:w="8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700" w:type="dxa"/>
            <w:vAlign w:val="bottom"/>
            <w:gridSpan w:val="3"/>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80" w:type="dxa"/>
            <w:vAlign w:val="bottom"/>
            <w:gridSpan w:val="2"/>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9580" w:type="dxa"/>
            <w:vAlign w:val="bottom"/>
            <w:gridSpan w:val="36"/>
          </w:tcPr>
          <w:p>
            <w:pPr>
              <w:spacing w:after="0"/>
              <w:rPr>
                <w:sz w:val="20"/>
                <w:szCs w:val="20"/>
                <w:color w:val="auto"/>
              </w:rPr>
            </w:pPr>
            <w:r>
              <w:rPr>
                <w:rFonts w:ascii="Times New Roman" w:cs="Times New Roman" w:eastAsia="Times New Roman" w:hAnsi="Times New Roman"/>
                <w:sz w:val="18"/>
                <w:szCs w:val="18"/>
                <w:b w:val="1"/>
                <w:bCs w:val="1"/>
                <w:color w:val="0000FF"/>
              </w:rPr>
              <w:t>MARKET FOR REGISTRANT’S COMMON EQUITY, RELATED STOCKHOLDER MATTERS</w:t>
            </w:r>
          </w:p>
        </w:tc>
        <w:tc>
          <w:tcPr>
            <w:tcW w:w="80" w:type="dxa"/>
            <w:vAlign w:val="bottom"/>
            <w:gridSpan w:val="2"/>
            <w:vMerge w:val="restart"/>
          </w:tcPr>
          <w:p>
            <w:pPr>
              <w:spacing w:after="0"/>
              <w:rPr>
                <w:sz w:val="18"/>
                <w:szCs w:val="18"/>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20" w:type="dxa"/>
            <w:vAlign w:val="bottom"/>
            <w:tcBorders>
              <w:top w:val="single" w:sz="8" w:color="0000FF"/>
              <w:bottom w:val="single" w:sz="8" w:color="0000FF"/>
            </w:tcBorders>
            <w:gridSpan w:val="27"/>
          </w:tcPr>
          <w:p>
            <w:pPr>
              <w:spacing w:after="0" w:line="141" w:lineRule="exact"/>
              <w:rPr>
                <w:sz w:val="20"/>
                <w:szCs w:val="20"/>
                <w:color w:val="auto"/>
              </w:rPr>
            </w:pPr>
            <w:r>
              <w:rPr>
                <w:rFonts w:ascii="Times New Roman" w:cs="Times New Roman" w:eastAsia="Times New Roman" w:hAnsi="Times New Roman"/>
                <w:sz w:val="16"/>
                <w:szCs w:val="16"/>
                <w:b w:val="1"/>
                <w:bCs w:val="1"/>
                <w:color w:val="0000FF"/>
              </w:rPr>
              <w:t>AND ISSUER PURCHASES OF EQUITY SECURITIES</w:t>
            </w:r>
          </w:p>
        </w:tc>
        <w:tc>
          <w:tcPr>
            <w:tcW w:w="2720" w:type="dxa"/>
            <w:vAlign w:val="bottom"/>
            <w:tcBorders>
              <w:top w:val="single" w:sz="8" w:color="0000FF"/>
            </w:tcBorders>
            <w:gridSpan w:val="7"/>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0" w:type="dxa"/>
            <w:vAlign w:val="bottom"/>
            <w:gridSpan w:val="2"/>
            <w:vMerge w:val="continue"/>
          </w:tcPr>
          <w:p>
            <w:pPr>
              <w:spacing w:after="0"/>
              <w:rPr>
                <w:sz w:val="13"/>
                <w:szCs w:val="13"/>
                <w:color w:val="auto"/>
              </w:rPr>
            </w:pPr>
          </w:p>
        </w:tc>
        <w:tc>
          <w:tcPr>
            <w:tcW w:w="180" w:type="dxa"/>
            <w:vAlign w:val="bottom"/>
            <w:tcBorders>
              <w:bottom w:val="single" w:sz="8" w:color="0000FF"/>
            </w:tcBorders>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580" w:type="dxa"/>
            <w:vAlign w:val="bottom"/>
            <w:gridSpan w:val="36"/>
          </w:tcPr>
          <w:p>
            <w:pPr>
              <w:spacing w:after="0"/>
              <w:rPr>
                <w:sz w:val="20"/>
                <w:szCs w:val="20"/>
                <w:color w:val="auto"/>
              </w:rPr>
            </w:pPr>
            <w:r>
              <w:rPr>
                <w:rFonts w:ascii="Times New Roman" w:cs="Times New Roman" w:eastAsia="Times New Roman" w:hAnsi="Times New Roman"/>
                <w:sz w:val="18"/>
                <w:szCs w:val="18"/>
                <w:b w:val="1"/>
                <w:bCs w:val="1"/>
                <w:color w:val="auto"/>
              </w:rPr>
              <w:t>[RESERVED]</w:t>
            </w:r>
          </w:p>
        </w:tc>
        <w:tc>
          <w:tcPr>
            <w:tcW w:w="8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9580" w:type="dxa"/>
            <w:vAlign w:val="bottom"/>
            <w:gridSpan w:val="36"/>
          </w:tcPr>
          <w:p>
            <w:pPr>
              <w:spacing w:after="0"/>
              <w:rPr>
                <w:sz w:val="20"/>
                <w:szCs w:val="20"/>
                <w:color w:val="auto"/>
              </w:rPr>
            </w:pPr>
            <w:r>
              <w:rPr>
                <w:rFonts w:ascii="Times New Roman" w:cs="Times New Roman" w:eastAsia="Times New Roman" w:hAnsi="Times New Roman"/>
                <w:sz w:val="18"/>
                <w:szCs w:val="18"/>
                <w:b w:val="1"/>
                <w:bCs w:val="1"/>
                <w:color w:val="0000FF"/>
              </w:rPr>
              <w:t>MANAGEMENT’S DISCUSSION AND ANALYSIS OF FINANCIAL CONDITION AND RESULTS</w:t>
            </w:r>
          </w:p>
        </w:tc>
        <w:tc>
          <w:tcPr>
            <w:tcW w:w="80" w:type="dxa"/>
            <w:vAlign w:val="bottom"/>
            <w:gridSpan w:val="2"/>
            <w:vMerge w:val="restart"/>
          </w:tcPr>
          <w:p>
            <w:pPr>
              <w:spacing w:after="0"/>
              <w:rPr>
                <w:sz w:val="18"/>
                <w:szCs w:val="18"/>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60" w:type="dxa"/>
            <w:vAlign w:val="bottom"/>
            <w:tcBorders>
              <w:top w:val="single" w:sz="8" w:color="0000FF"/>
              <w:bottom w:val="single" w:sz="8" w:color="0000FF"/>
            </w:tcBorders>
            <w:gridSpan w:val="15"/>
          </w:tcPr>
          <w:p>
            <w:pPr>
              <w:spacing w:after="0" w:line="141" w:lineRule="exact"/>
              <w:rPr>
                <w:sz w:val="20"/>
                <w:szCs w:val="20"/>
                <w:color w:val="auto"/>
              </w:rPr>
            </w:pPr>
            <w:r>
              <w:rPr>
                <w:rFonts w:ascii="Times New Roman" w:cs="Times New Roman" w:eastAsia="Times New Roman" w:hAnsi="Times New Roman"/>
                <w:sz w:val="16"/>
                <w:szCs w:val="16"/>
                <w:b w:val="1"/>
                <w:bCs w:val="1"/>
                <w:color w:val="0000FF"/>
              </w:rPr>
              <w:t>OF OPERATIONS</w:t>
            </w:r>
          </w:p>
        </w:tc>
        <w:tc>
          <w:tcPr>
            <w:tcW w:w="5740" w:type="dxa"/>
            <w:vAlign w:val="bottom"/>
            <w:tcBorders>
              <w:top w:val="single" w:sz="8" w:color="0000FF"/>
            </w:tcBorders>
            <w:gridSpan w:val="20"/>
          </w:tcPr>
          <w:p>
            <w:pPr>
              <w:spacing w:after="0"/>
              <w:rPr>
                <w:sz w:val="13"/>
                <w:szCs w:val="13"/>
                <w:color w:val="auto"/>
              </w:rPr>
            </w:pPr>
          </w:p>
        </w:tc>
        <w:tc>
          <w:tcPr>
            <w:tcW w:w="1880" w:type="dxa"/>
            <w:vAlign w:val="bottom"/>
          </w:tcPr>
          <w:p>
            <w:pPr>
              <w:spacing w:after="0"/>
              <w:rPr>
                <w:sz w:val="13"/>
                <w:szCs w:val="13"/>
                <w:color w:val="auto"/>
              </w:rPr>
            </w:pPr>
          </w:p>
        </w:tc>
        <w:tc>
          <w:tcPr>
            <w:tcW w:w="80" w:type="dxa"/>
            <w:vAlign w:val="bottom"/>
            <w:gridSpan w:val="2"/>
            <w:vMerge w:val="continue"/>
          </w:tcPr>
          <w:p>
            <w:pPr>
              <w:spacing w:after="0"/>
              <w:rPr>
                <w:sz w:val="13"/>
                <w:szCs w:val="13"/>
                <w:color w:val="auto"/>
              </w:rPr>
            </w:pPr>
          </w:p>
        </w:tc>
        <w:tc>
          <w:tcPr>
            <w:tcW w:w="180" w:type="dxa"/>
            <w:vAlign w:val="bottom"/>
            <w:tcBorders>
              <w:bottom w:val="single" w:sz="8" w:color="0000FF"/>
            </w:tcBorders>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7A.</w:t>
            </w:r>
          </w:p>
        </w:tc>
        <w:tc>
          <w:tcPr>
            <w:tcW w:w="640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8"/>
                <w:szCs w:val="18"/>
                <w:b w:val="1"/>
                <w:bCs w:val="1"/>
                <w:color w:val="0000FF"/>
                <w:w w:val="97"/>
              </w:rPr>
              <w:t>QUANTITATIVE AND QUALITATIVE DISCLOSURES ABOUT MARKET RISK</w:t>
            </w:r>
          </w:p>
        </w:tc>
        <w:tc>
          <w:tcPr>
            <w:tcW w:w="3180" w:type="dxa"/>
            <w:vAlign w:val="bottom"/>
            <w:gridSpan w:val="7"/>
          </w:tcPr>
          <w:p>
            <w:pPr>
              <w:spacing w:after="0"/>
              <w:rPr>
                <w:sz w:val="18"/>
                <w:szCs w:val="18"/>
                <w:color w:val="auto"/>
              </w:rPr>
            </w:pPr>
          </w:p>
        </w:tc>
        <w:tc>
          <w:tcPr>
            <w:tcW w:w="8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9580" w:type="dxa"/>
            <w:vAlign w:val="bottom"/>
            <w:gridSpan w:val="36"/>
          </w:tcPr>
          <w:p>
            <w:pPr>
              <w:spacing w:after="0"/>
              <w:rPr>
                <w:sz w:val="20"/>
                <w:szCs w:val="20"/>
                <w:color w:val="auto"/>
              </w:rPr>
            </w:pPr>
            <w:r>
              <w:rPr>
                <w:rFonts w:ascii="Times New Roman" w:cs="Times New Roman" w:eastAsia="Times New Roman" w:hAnsi="Times New Roman"/>
                <w:sz w:val="18"/>
                <w:szCs w:val="18"/>
                <w:b w:val="1"/>
                <w:bCs w:val="1"/>
                <w:color w:val="0000FF"/>
              </w:rPr>
              <w:t>FINANCIAL STATEMENTS AND SUPPLEMENTARY DATA</w:t>
            </w: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0000FF"/>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gridSpan w:val="9"/>
            <w:shd w:val="clear" w:color="auto" w:fill="0000FF"/>
          </w:tcPr>
          <w:p>
            <w:pPr>
              <w:spacing w:after="0" w:line="20" w:lineRule="exact"/>
              <w:rPr>
                <w:sz w:val="1"/>
                <w:szCs w:val="1"/>
                <w:color w:val="auto"/>
              </w:rPr>
            </w:pPr>
          </w:p>
        </w:tc>
        <w:tc>
          <w:tcPr>
            <w:tcW w:w="54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9580" w:type="dxa"/>
            <w:vAlign w:val="bottom"/>
            <w:gridSpan w:val="36"/>
          </w:tcPr>
          <w:p>
            <w:pPr>
              <w:spacing w:after="0"/>
              <w:rPr>
                <w:sz w:val="20"/>
                <w:szCs w:val="20"/>
                <w:color w:val="auto"/>
              </w:rPr>
            </w:pPr>
            <w:r>
              <w:rPr>
                <w:rFonts w:ascii="Times New Roman" w:cs="Times New Roman" w:eastAsia="Times New Roman" w:hAnsi="Times New Roman"/>
                <w:sz w:val="18"/>
                <w:szCs w:val="18"/>
                <w:b w:val="1"/>
                <w:bCs w:val="1"/>
                <w:color w:val="0000FF"/>
              </w:rPr>
              <w:t>CHANGES IN AND DISAGREEMENTS WITH ACCOUNTANTS ON ACCOUNTING AND</w:t>
            </w:r>
          </w:p>
        </w:tc>
        <w:tc>
          <w:tcPr>
            <w:tcW w:w="280" w:type="dxa"/>
            <w:vAlign w:val="bottom"/>
            <w:gridSpan w:val="5"/>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102</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60" w:type="dxa"/>
            <w:vAlign w:val="bottom"/>
            <w:tcBorders>
              <w:top w:val="single" w:sz="8" w:color="0000FF"/>
            </w:tcBorders>
            <w:gridSpan w:val="19"/>
          </w:tcPr>
          <w:p>
            <w:pPr>
              <w:spacing w:after="0" w:line="141" w:lineRule="exact"/>
              <w:rPr>
                <w:sz w:val="20"/>
                <w:szCs w:val="20"/>
                <w:color w:val="auto"/>
              </w:rPr>
            </w:pPr>
            <w:r>
              <w:rPr>
                <w:rFonts w:ascii="Times New Roman" w:cs="Times New Roman" w:eastAsia="Times New Roman" w:hAnsi="Times New Roman"/>
                <w:sz w:val="16"/>
                <w:szCs w:val="16"/>
                <w:b w:val="1"/>
                <w:bCs w:val="1"/>
                <w:color w:val="0000FF"/>
              </w:rPr>
              <w:t>FINANCIAL DISCLOSURE</w:t>
            </w:r>
          </w:p>
        </w:tc>
        <w:tc>
          <w:tcPr>
            <w:tcW w:w="4580" w:type="dxa"/>
            <w:vAlign w:val="bottom"/>
            <w:tcBorders>
              <w:top w:val="single" w:sz="8" w:color="0000FF"/>
            </w:tcBorders>
            <w:gridSpan w:val="12"/>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20" w:type="dxa"/>
            <w:vAlign w:val="bottom"/>
            <w:gridSpan w:val="3"/>
          </w:tcPr>
          <w:p>
            <w:pPr>
              <w:spacing w:after="0"/>
              <w:rPr>
                <w:sz w:val="13"/>
                <w:szCs w:val="13"/>
                <w:color w:val="auto"/>
              </w:rPr>
            </w:pPr>
          </w:p>
        </w:tc>
        <w:tc>
          <w:tcPr>
            <w:tcW w:w="28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 w:type="dxa"/>
            <w:vAlign w:val="bottom"/>
            <w:gridSpan w:val="3"/>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gridSpan w:val="9"/>
            <w:shd w:val="clear" w:color="auto" w:fill="0000FF"/>
          </w:tcPr>
          <w:p>
            <w:pPr>
              <w:spacing w:after="0"/>
              <w:rPr>
                <w:sz w:val="2"/>
                <w:szCs w:val="2"/>
                <w:color w:val="auto"/>
              </w:rPr>
            </w:pPr>
          </w:p>
        </w:tc>
        <w:tc>
          <w:tcPr>
            <w:tcW w:w="540" w:type="dxa"/>
            <w:vAlign w:val="bottom"/>
            <w:gridSpan w:val="6"/>
            <w:shd w:val="clear" w:color="auto" w:fill="0000FF"/>
          </w:tcPr>
          <w:p>
            <w:pPr>
              <w:spacing w:after="0"/>
              <w:rPr>
                <w:sz w:val="2"/>
                <w:szCs w:val="2"/>
                <w:color w:val="auto"/>
              </w:rPr>
            </w:pPr>
          </w:p>
        </w:tc>
        <w:tc>
          <w:tcPr>
            <w:tcW w:w="600" w:type="dxa"/>
            <w:vAlign w:val="bottom"/>
            <w:tcBorders>
              <w:left w:val="single" w:sz="8" w:color="0000FF"/>
            </w:tcBorders>
            <w:gridSpan w:val="4"/>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9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gridSpan w:val="3"/>
          </w:tcPr>
          <w:p>
            <w:pPr>
              <w:spacing w:after="0"/>
              <w:rPr>
                <w:sz w:val="2"/>
                <w:szCs w:val="2"/>
                <w:color w:val="auto"/>
              </w:rPr>
            </w:pPr>
          </w:p>
        </w:tc>
        <w:tc>
          <w:tcPr>
            <w:tcW w:w="480" w:type="dxa"/>
            <w:vAlign w:val="bottom"/>
            <w:gridSpan w:val="2"/>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120" w:type="dxa"/>
            <w:vAlign w:val="bottom"/>
            <w:gridSpan w:val="3"/>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40" w:type="dxa"/>
            <w:vAlign w:val="bottom"/>
            <w:gridSpan w:val="3"/>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9A.</w:t>
            </w:r>
          </w:p>
        </w:tc>
        <w:tc>
          <w:tcPr>
            <w:tcW w:w="270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w w:val="97"/>
              </w:rPr>
              <w:t>CONTROLS AND PROCEDURES</w:t>
            </w:r>
          </w:p>
        </w:tc>
        <w:tc>
          <w:tcPr>
            <w:tcW w:w="6880" w:type="dxa"/>
            <w:vAlign w:val="bottom"/>
            <w:gridSpan w:val="16"/>
          </w:tcPr>
          <w:p>
            <w:pPr>
              <w:spacing w:after="0"/>
              <w:rPr>
                <w:sz w:val="18"/>
                <w:szCs w:val="18"/>
                <w:color w:val="auto"/>
              </w:rPr>
            </w:pPr>
          </w:p>
        </w:tc>
        <w:tc>
          <w:tcPr>
            <w:tcW w:w="2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gridSpan w:val="9"/>
            <w:shd w:val="clear" w:color="auto" w:fill="0000FF"/>
          </w:tcPr>
          <w:p>
            <w:pPr>
              <w:spacing w:after="0" w:line="20" w:lineRule="exact"/>
              <w:rPr>
                <w:sz w:val="1"/>
                <w:szCs w:val="1"/>
                <w:color w:val="auto"/>
              </w:rPr>
            </w:pPr>
          </w:p>
        </w:tc>
        <w:tc>
          <w:tcPr>
            <w:tcW w:w="540" w:type="dxa"/>
            <w:vAlign w:val="bottom"/>
            <w:gridSpan w:val="6"/>
            <w:shd w:val="clear" w:color="auto" w:fill="0000FF"/>
          </w:tcPr>
          <w:p>
            <w:pPr>
              <w:spacing w:after="0" w:line="20" w:lineRule="exact"/>
              <w:rPr>
                <w:sz w:val="1"/>
                <w:szCs w:val="1"/>
                <w:color w:val="auto"/>
              </w:rPr>
            </w:pPr>
          </w:p>
        </w:tc>
        <w:tc>
          <w:tcPr>
            <w:tcW w:w="600" w:type="dxa"/>
            <w:vAlign w:val="bottom"/>
            <w:tcBorders>
              <w:left w:val="single" w:sz="8" w:color="0000FF"/>
            </w:tcBorders>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9B.</w:t>
            </w:r>
          </w:p>
        </w:tc>
        <w:tc>
          <w:tcPr>
            <w:tcW w:w="196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FF"/>
                <w:w w:val="94"/>
              </w:rPr>
              <w:t>OTHER INFORMATION</w:t>
            </w:r>
          </w:p>
        </w:tc>
        <w:tc>
          <w:tcPr>
            <w:tcW w:w="740" w:type="dxa"/>
            <w:vAlign w:val="bottom"/>
            <w:gridSpan w:val="5"/>
          </w:tcPr>
          <w:p>
            <w:pPr>
              <w:spacing w:after="0"/>
              <w:rPr>
                <w:sz w:val="18"/>
                <w:szCs w:val="18"/>
                <w:color w:val="auto"/>
              </w:rPr>
            </w:pPr>
          </w:p>
        </w:tc>
        <w:tc>
          <w:tcPr>
            <w:tcW w:w="6880" w:type="dxa"/>
            <w:vAlign w:val="bottom"/>
            <w:gridSpan w:val="16"/>
          </w:tcPr>
          <w:p>
            <w:pPr>
              <w:spacing w:after="0"/>
              <w:rPr>
                <w:sz w:val="18"/>
                <w:szCs w:val="18"/>
                <w:color w:val="auto"/>
              </w:rPr>
            </w:pPr>
          </w:p>
        </w:tc>
        <w:tc>
          <w:tcPr>
            <w:tcW w:w="2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gridSpan w:val="9"/>
            <w:shd w:val="clear" w:color="auto" w:fill="0000FF"/>
          </w:tcPr>
          <w:p>
            <w:pPr>
              <w:spacing w:after="0" w:line="20" w:lineRule="exact"/>
              <w:rPr>
                <w:sz w:val="1"/>
                <w:szCs w:val="1"/>
                <w:color w:val="auto"/>
              </w:rPr>
            </w:pPr>
          </w:p>
        </w:tc>
        <w:tc>
          <w:tcPr>
            <w:tcW w:w="540" w:type="dxa"/>
            <w:vAlign w:val="bottom"/>
            <w:gridSpan w:val="6"/>
            <w:shd w:val="clear" w:color="auto" w:fill="0000FF"/>
          </w:tcPr>
          <w:p>
            <w:pPr>
              <w:spacing w:after="0" w:line="20" w:lineRule="exact"/>
              <w:rPr>
                <w:sz w:val="1"/>
                <w:szCs w:val="1"/>
                <w:color w:val="auto"/>
              </w:rPr>
            </w:pPr>
          </w:p>
        </w:tc>
        <w:tc>
          <w:tcPr>
            <w:tcW w:w="600" w:type="dxa"/>
            <w:vAlign w:val="bottom"/>
            <w:tcBorders>
              <w:left w:val="single" w:sz="8" w:color="0000FF"/>
            </w:tcBorders>
            <w:gridSpan w:val="4"/>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9C.</w:t>
            </w:r>
          </w:p>
        </w:tc>
        <w:tc>
          <w:tcPr>
            <w:tcW w:w="7320" w:type="dxa"/>
            <w:vAlign w:val="bottom"/>
            <w:gridSpan w:val="32"/>
          </w:tcPr>
          <w:p>
            <w:pPr>
              <w:spacing w:after="0"/>
              <w:rPr>
                <w:sz w:val="20"/>
                <w:szCs w:val="20"/>
                <w:color w:val="auto"/>
              </w:rPr>
            </w:pPr>
            <w:r>
              <w:rPr>
                <w:rFonts w:ascii="Times New Roman" w:cs="Times New Roman" w:eastAsia="Times New Roman" w:hAnsi="Times New Roman"/>
                <w:sz w:val="18"/>
                <w:szCs w:val="18"/>
                <w:b w:val="1"/>
                <w:bCs w:val="1"/>
                <w:color w:val="0000FF"/>
                <w:w w:val="98"/>
              </w:rPr>
              <w:t>DISCLOSURE REGARDING FOREIGN JURISDICTIONS THAT PREVENT INSPECTIONS</w:t>
            </w:r>
          </w:p>
        </w:tc>
        <w:tc>
          <w:tcPr>
            <w:tcW w:w="2260" w:type="dxa"/>
            <w:vAlign w:val="bottom"/>
            <w:gridSpan w:val="4"/>
          </w:tcPr>
          <w:p>
            <w:pPr>
              <w:spacing w:after="0"/>
              <w:rPr>
                <w:sz w:val="18"/>
                <w:szCs w:val="18"/>
                <w:color w:val="auto"/>
              </w:rPr>
            </w:pPr>
          </w:p>
        </w:tc>
        <w:tc>
          <w:tcPr>
            <w:tcW w:w="2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20" w:type="dxa"/>
            <w:vAlign w:val="bottom"/>
          </w:tcPr>
          <w:p>
            <w:pPr>
              <w:spacing w:after="0"/>
              <w:rPr>
                <w:sz w:val="22"/>
                <w:szCs w:val="22"/>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w w:val="91"/>
              </w:rPr>
              <w:t>PART III</w:t>
            </w:r>
          </w:p>
        </w:tc>
        <w:tc>
          <w:tcPr>
            <w:tcW w:w="640" w:type="dxa"/>
            <w:vAlign w:val="bottom"/>
            <w:gridSpan w:val="2"/>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2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gridSpan w:val="9"/>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640" w:type="dxa"/>
            <w:vAlign w:val="bottom"/>
            <w:gridSpan w:val="2"/>
          </w:tcPr>
          <w:p>
            <w:pPr>
              <w:spacing w:after="0"/>
              <w:rPr>
                <w:sz w:val="18"/>
                <w:szCs w:val="18"/>
                <w:color w:val="auto"/>
              </w:rPr>
            </w:pPr>
          </w:p>
        </w:tc>
        <w:tc>
          <w:tcPr>
            <w:tcW w:w="6080" w:type="dxa"/>
            <w:vAlign w:val="bottom"/>
            <w:gridSpan w:val="28"/>
          </w:tcPr>
          <w:p>
            <w:pPr>
              <w:spacing w:after="0"/>
              <w:rPr>
                <w:sz w:val="20"/>
                <w:szCs w:val="20"/>
                <w:color w:val="auto"/>
              </w:rPr>
            </w:pPr>
            <w:r>
              <w:rPr>
                <w:rFonts w:ascii="Times New Roman" w:cs="Times New Roman" w:eastAsia="Times New Roman" w:hAnsi="Times New Roman"/>
                <w:sz w:val="18"/>
                <w:szCs w:val="18"/>
                <w:b w:val="1"/>
                <w:bCs w:val="1"/>
                <w:color w:val="0000FF"/>
                <w:w w:val="98"/>
              </w:rPr>
              <w:t>DIRECTORS, EXECUTIVE OFFICERS AND CORPORATE GOVERNANCE</w:t>
            </w:r>
          </w:p>
        </w:tc>
        <w:tc>
          <w:tcPr>
            <w:tcW w:w="3500" w:type="dxa"/>
            <w:vAlign w:val="bottom"/>
            <w:gridSpan w:val="8"/>
          </w:tcPr>
          <w:p>
            <w:pPr>
              <w:spacing w:after="0"/>
              <w:rPr>
                <w:sz w:val="18"/>
                <w:szCs w:val="18"/>
                <w:color w:val="auto"/>
              </w:rPr>
            </w:pPr>
          </w:p>
        </w:tc>
        <w:tc>
          <w:tcPr>
            <w:tcW w:w="2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11.</w:t>
            </w:r>
          </w:p>
        </w:tc>
        <w:tc>
          <w:tcPr>
            <w:tcW w:w="6080" w:type="dxa"/>
            <w:vAlign w:val="bottom"/>
            <w:gridSpan w:val="28"/>
          </w:tcPr>
          <w:p>
            <w:pPr>
              <w:spacing w:after="0"/>
              <w:rPr>
                <w:sz w:val="20"/>
                <w:szCs w:val="20"/>
                <w:color w:val="auto"/>
              </w:rPr>
            </w:pPr>
            <w:r>
              <w:rPr>
                <w:rFonts w:ascii="Times New Roman" w:cs="Times New Roman" w:eastAsia="Times New Roman" w:hAnsi="Times New Roman"/>
                <w:sz w:val="18"/>
                <w:szCs w:val="18"/>
                <w:b w:val="1"/>
                <w:bCs w:val="1"/>
                <w:color w:val="0000FF"/>
              </w:rPr>
              <w:t>EXECUTIVE COMPENSATION</w:t>
            </w:r>
          </w:p>
        </w:tc>
        <w:tc>
          <w:tcPr>
            <w:tcW w:w="3500" w:type="dxa"/>
            <w:vAlign w:val="bottom"/>
            <w:gridSpan w:val="8"/>
          </w:tcPr>
          <w:p>
            <w:pPr>
              <w:spacing w:after="0"/>
              <w:rPr>
                <w:sz w:val="18"/>
                <w:szCs w:val="18"/>
                <w:color w:val="auto"/>
              </w:rPr>
            </w:pPr>
          </w:p>
        </w:tc>
        <w:tc>
          <w:tcPr>
            <w:tcW w:w="2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gridSpan w:val="9"/>
            <w:shd w:val="clear" w:color="auto" w:fill="0000FF"/>
          </w:tcPr>
          <w:p>
            <w:pPr>
              <w:spacing w:after="0" w:line="20" w:lineRule="exact"/>
              <w:rPr>
                <w:sz w:val="1"/>
                <w:szCs w:val="1"/>
                <w:color w:val="auto"/>
              </w:rPr>
            </w:pPr>
          </w:p>
        </w:tc>
        <w:tc>
          <w:tcPr>
            <w:tcW w:w="540" w:type="dxa"/>
            <w:vAlign w:val="bottom"/>
            <w:gridSpan w:val="6"/>
            <w:shd w:val="clear" w:color="auto" w:fill="0000FF"/>
          </w:tcPr>
          <w:p>
            <w:pPr>
              <w:spacing w:after="0" w:line="20" w:lineRule="exact"/>
              <w:rPr>
                <w:sz w:val="1"/>
                <w:szCs w:val="1"/>
                <w:color w:val="auto"/>
              </w:rPr>
            </w:pPr>
          </w:p>
        </w:tc>
        <w:tc>
          <w:tcPr>
            <w:tcW w:w="600" w:type="dxa"/>
            <w:vAlign w:val="bottom"/>
            <w:tcBorders>
              <w:left w:val="single" w:sz="8" w:color="0000FF"/>
            </w:tcBorders>
            <w:gridSpan w:val="4"/>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12.</w:t>
            </w:r>
          </w:p>
        </w:tc>
        <w:tc>
          <w:tcPr>
            <w:tcW w:w="9580" w:type="dxa"/>
            <w:vAlign w:val="bottom"/>
            <w:gridSpan w:val="36"/>
          </w:tcPr>
          <w:p>
            <w:pPr>
              <w:spacing w:after="0"/>
              <w:rPr>
                <w:sz w:val="20"/>
                <w:szCs w:val="20"/>
                <w:color w:val="auto"/>
              </w:rPr>
            </w:pPr>
            <w:r>
              <w:rPr>
                <w:rFonts w:ascii="Times New Roman" w:cs="Times New Roman" w:eastAsia="Times New Roman" w:hAnsi="Times New Roman"/>
                <w:sz w:val="18"/>
                <w:szCs w:val="18"/>
                <w:b w:val="1"/>
                <w:bCs w:val="1"/>
                <w:color w:val="0000FF"/>
              </w:rPr>
              <w:t>SECURITY OWNERSHIP OF CERTAIN BENEFICIAL OWNERS AND MANAGEMENT AND</w:t>
            </w:r>
          </w:p>
        </w:tc>
        <w:tc>
          <w:tcPr>
            <w:tcW w:w="280" w:type="dxa"/>
            <w:vAlign w:val="bottom"/>
            <w:gridSpan w:val="5"/>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104</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0" w:type="dxa"/>
            <w:vAlign w:val="bottom"/>
            <w:tcBorders>
              <w:top w:val="single" w:sz="8" w:color="0000FF"/>
              <w:bottom w:val="single" w:sz="8" w:color="0000FF"/>
            </w:tcBorders>
            <w:gridSpan w:val="22"/>
          </w:tcPr>
          <w:p>
            <w:pPr>
              <w:spacing w:after="0" w:line="141" w:lineRule="exact"/>
              <w:rPr>
                <w:sz w:val="20"/>
                <w:szCs w:val="20"/>
                <w:color w:val="auto"/>
              </w:rPr>
            </w:pPr>
            <w:r>
              <w:rPr>
                <w:rFonts w:ascii="Times New Roman" w:cs="Times New Roman" w:eastAsia="Times New Roman" w:hAnsi="Times New Roman"/>
                <w:sz w:val="16"/>
                <w:szCs w:val="16"/>
                <w:b w:val="1"/>
                <w:bCs w:val="1"/>
                <w:color w:val="0000FF"/>
              </w:rPr>
              <w:t>RELATED STOCKHOLDER MATTERS</w:t>
            </w:r>
          </w:p>
        </w:tc>
        <w:tc>
          <w:tcPr>
            <w:tcW w:w="4260" w:type="dxa"/>
            <w:vAlign w:val="bottom"/>
            <w:tcBorders>
              <w:top w:val="single" w:sz="8" w:color="0000FF"/>
            </w:tcBorders>
            <w:gridSpan w:val="11"/>
          </w:tcPr>
          <w:p>
            <w:pPr>
              <w:spacing w:after="0"/>
              <w:rPr>
                <w:sz w:val="13"/>
                <w:szCs w:val="13"/>
                <w:color w:val="auto"/>
              </w:rPr>
            </w:pPr>
          </w:p>
        </w:tc>
        <w:tc>
          <w:tcPr>
            <w:tcW w:w="2120" w:type="dxa"/>
            <w:vAlign w:val="bottom"/>
            <w:gridSpan w:val="3"/>
          </w:tcPr>
          <w:p>
            <w:pPr>
              <w:spacing w:after="0"/>
              <w:rPr>
                <w:sz w:val="13"/>
                <w:szCs w:val="13"/>
                <w:color w:val="auto"/>
              </w:rPr>
            </w:pPr>
          </w:p>
        </w:tc>
        <w:tc>
          <w:tcPr>
            <w:tcW w:w="28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13.</w:t>
            </w:r>
          </w:p>
        </w:tc>
        <w:tc>
          <w:tcPr>
            <w:tcW w:w="9580" w:type="dxa"/>
            <w:vAlign w:val="bottom"/>
            <w:gridSpan w:val="36"/>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CERTAIN RELATIONSHIPS AND RELATED TRANSACTIONS, AND DIRECTOR</w:t>
            </w: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1360" w:type="dxa"/>
            <w:vAlign w:val="bottom"/>
            <w:gridSpan w:val="5"/>
            <w:vMerge w:val="continue"/>
          </w:tcPr>
          <w:p>
            <w:pPr>
              <w:spacing w:after="0"/>
              <w:rPr>
                <w:sz w:val="17"/>
                <w:szCs w:val="17"/>
                <w:color w:val="auto"/>
              </w:rPr>
            </w:pPr>
          </w:p>
        </w:tc>
        <w:tc>
          <w:tcPr>
            <w:tcW w:w="9580" w:type="dxa"/>
            <w:vAlign w:val="bottom"/>
            <w:gridSpan w:val="36"/>
            <w:vMerge w:val="continue"/>
          </w:tcPr>
          <w:p>
            <w:pPr>
              <w:spacing w:after="0"/>
              <w:rPr>
                <w:sz w:val="17"/>
                <w:szCs w:val="17"/>
                <w:color w:val="auto"/>
              </w:rPr>
            </w:pPr>
          </w:p>
        </w:tc>
        <w:tc>
          <w:tcPr>
            <w:tcW w:w="280" w:type="dxa"/>
            <w:vAlign w:val="bottom"/>
            <w:gridSpan w:val="5"/>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105</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60" w:type="dxa"/>
            <w:vAlign w:val="bottom"/>
            <w:tcBorders>
              <w:top w:val="single" w:sz="8" w:color="0000FF"/>
            </w:tcBorders>
            <w:gridSpan w:val="15"/>
          </w:tcPr>
          <w:p>
            <w:pPr>
              <w:spacing w:after="0" w:line="141" w:lineRule="exact"/>
              <w:rPr>
                <w:sz w:val="20"/>
                <w:szCs w:val="20"/>
                <w:color w:val="auto"/>
              </w:rPr>
            </w:pPr>
            <w:r>
              <w:rPr>
                <w:rFonts w:ascii="Times New Roman" w:cs="Times New Roman" w:eastAsia="Times New Roman" w:hAnsi="Times New Roman"/>
                <w:sz w:val="16"/>
                <w:szCs w:val="16"/>
                <w:b w:val="1"/>
                <w:bCs w:val="1"/>
                <w:color w:val="0000FF"/>
              </w:rPr>
              <w:t>INDEPENDENCE</w:t>
            </w:r>
          </w:p>
        </w:tc>
        <w:tc>
          <w:tcPr>
            <w:tcW w:w="4600" w:type="dxa"/>
            <w:vAlign w:val="bottom"/>
            <w:tcBorders>
              <w:top w:val="single" w:sz="8" w:color="0000FF"/>
            </w:tcBorders>
            <w:gridSpan w:val="15"/>
          </w:tcPr>
          <w:p>
            <w:pPr>
              <w:spacing w:after="0"/>
              <w:rPr>
                <w:sz w:val="13"/>
                <w:szCs w:val="13"/>
                <w:color w:val="auto"/>
              </w:rPr>
            </w:pPr>
          </w:p>
        </w:tc>
        <w:tc>
          <w:tcPr>
            <w:tcW w:w="3020" w:type="dxa"/>
            <w:vAlign w:val="bottom"/>
            <w:gridSpan w:val="6"/>
          </w:tcPr>
          <w:p>
            <w:pPr>
              <w:spacing w:after="0"/>
              <w:rPr>
                <w:sz w:val="13"/>
                <w:szCs w:val="13"/>
                <w:color w:val="auto"/>
              </w:rPr>
            </w:pPr>
          </w:p>
        </w:tc>
        <w:tc>
          <w:tcPr>
            <w:tcW w:w="28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 w:type="dxa"/>
            <w:vAlign w:val="bottom"/>
            <w:gridSpan w:val="3"/>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gridSpan w:val="15"/>
            <w:shd w:val="clear" w:color="auto" w:fill="0000FF"/>
          </w:tcPr>
          <w:p>
            <w:pPr>
              <w:spacing w:after="0"/>
              <w:rPr>
                <w:sz w:val="2"/>
                <w:szCs w:val="2"/>
                <w:color w:val="auto"/>
              </w:rPr>
            </w:pPr>
          </w:p>
        </w:tc>
        <w:tc>
          <w:tcPr>
            <w:tcW w:w="2140" w:type="dxa"/>
            <w:vAlign w:val="bottom"/>
            <w:gridSpan w:val="9"/>
          </w:tcPr>
          <w:p>
            <w:pPr>
              <w:spacing w:after="0"/>
              <w:rPr>
                <w:sz w:val="2"/>
                <w:szCs w:val="2"/>
                <w:color w:val="auto"/>
              </w:rPr>
            </w:pPr>
          </w:p>
        </w:tc>
        <w:tc>
          <w:tcPr>
            <w:tcW w:w="120" w:type="dxa"/>
            <w:vAlign w:val="bottom"/>
          </w:tcPr>
          <w:p>
            <w:pPr>
              <w:spacing w:after="0"/>
              <w:rPr>
                <w:sz w:val="2"/>
                <w:szCs w:val="2"/>
                <w:color w:val="auto"/>
              </w:rPr>
            </w:pPr>
          </w:p>
        </w:tc>
        <w:tc>
          <w:tcPr>
            <w:tcW w:w="5360" w:type="dxa"/>
            <w:vAlign w:val="bottom"/>
            <w:gridSpan w:val="11"/>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40" w:type="dxa"/>
            <w:vAlign w:val="bottom"/>
            <w:gridSpan w:val="3"/>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14.</w:t>
            </w:r>
          </w:p>
        </w:tc>
        <w:tc>
          <w:tcPr>
            <w:tcW w:w="9580" w:type="dxa"/>
            <w:vAlign w:val="bottom"/>
            <w:gridSpan w:val="36"/>
          </w:tcPr>
          <w:p>
            <w:pPr>
              <w:spacing w:after="0"/>
              <w:rPr>
                <w:sz w:val="20"/>
                <w:szCs w:val="20"/>
                <w:color w:val="auto"/>
              </w:rPr>
            </w:pPr>
            <w:r>
              <w:rPr>
                <w:rFonts w:ascii="Times New Roman" w:cs="Times New Roman" w:eastAsia="Times New Roman" w:hAnsi="Times New Roman"/>
                <w:sz w:val="18"/>
                <w:szCs w:val="18"/>
                <w:b w:val="1"/>
                <w:bCs w:val="1"/>
                <w:color w:val="0000FF"/>
              </w:rPr>
              <w:t>PRINCIPAL ACCOUNTING FEES AND SERVICES</w:t>
            </w:r>
          </w:p>
        </w:tc>
        <w:tc>
          <w:tcPr>
            <w:tcW w:w="2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20" w:type="dxa"/>
            <w:vAlign w:val="bottom"/>
          </w:tcPr>
          <w:p>
            <w:pPr>
              <w:spacing w:after="0"/>
              <w:rPr>
                <w:sz w:val="22"/>
                <w:szCs w:val="22"/>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w w:val="92"/>
              </w:rPr>
              <w:t>PART IV</w:t>
            </w:r>
          </w:p>
        </w:tc>
        <w:tc>
          <w:tcPr>
            <w:tcW w:w="640" w:type="dxa"/>
            <w:vAlign w:val="bottom"/>
            <w:gridSpan w:val="2"/>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2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60" w:type="dxa"/>
            <w:vAlign w:val="bottom"/>
            <w:gridSpan w:val="15"/>
          </w:tcPr>
          <w:p>
            <w:pPr>
              <w:spacing w:after="0" w:line="20" w:lineRule="exact"/>
              <w:rPr>
                <w:sz w:val="1"/>
                <w:szCs w:val="1"/>
                <w:color w:val="auto"/>
              </w:rPr>
            </w:pPr>
          </w:p>
        </w:tc>
        <w:tc>
          <w:tcPr>
            <w:tcW w:w="2260" w:type="dxa"/>
            <w:vAlign w:val="bottom"/>
            <w:gridSpan w:val="10"/>
          </w:tcPr>
          <w:p>
            <w:pPr>
              <w:spacing w:after="0" w:line="20" w:lineRule="exact"/>
              <w:rPr>
                <w:sz w:val="1"/>
                <w:szCs w:val="1"/>
                <w:color w:val="auto"/>
              </w:rPr>
            </w:pPr>
          </w:p>
        </w:tc>
        <w:tc>
          <w:tcPr>
            <w:tcW w:w="5360" w:type="dxa"/>
            <w:vAlign w:val="bottom"/>
            <w:gridSpan w:val="11"/>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15.</w:t>
            </w:r>
          </w:p>
        </w:tc>
        <w:tc>
          <w:tcPr>
            <w:tcW w:w="640" w:type="dxa"/>
            <w:vAlign w:val="bottom"/>
            <w:gridSpan w:val="2"/>
          </w:tcPr>
          <w:p>
            <w:pPr>
              <w:spacing w:after="0"/>
              <w:rPr>
                <w:sz w:val="18"/>
                <w:szCs w:val="18"/>
                <w:color w:val="auto"/>
              </w:rPr>
            </w:pPr>
          </w:p>
        </w:tc>
        <w:tc>
          <w:tcPr>
            <w:tcW w:w="422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FF"/>
                <w:w w:val="97"/>
              </w:rPr>
              <w:t>EXHIBITS, FINANCIAL STATEMENT SCHEDULES</w:t>
            </w:r>
          </w:p>
        </w:tc>
        <w:tc>
          <w:tcPr>
            <w:tcW w:w="5360" w:type="dxa"/>
            <w:vAlign w:val="bottom"/>
            <w:gridSpan w:val="11"/>
          </w:tcPr>
          <w:p>
            <w:pPr>
              <w:spacing w:after="0"/>
              <w:rPr>
                <w:sz w:val="18"/>
                <w:szCs w:val="18"/>
                <w:color w:val="auto"/>
              </w:rPr>
            </w:pPr>
          </w:p>
        </w:tc>
        <w:tc>
          <w:tcPr>
            <w:tcW w:w="2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60" w:type="dxa"/>
            <w:vAlign w:val="bottom"/>
            <w:gridSpan w:val="15"/>
            <w:shd w:val="clear" w:color="auto" w:fill="0000FF"/>
          </w:tcPr>
          <w:p>
            <w:pPr>
              <w:spacing w:after="0" w:line="20" w:lineRule="exact"/>
              <w:rPr>
                <w:sz w:val="1"/>
                <w:szCs w:val="1"/>
                <w:color w:val="auto"/>
              </w:rPr>
            </w:pPr>
          </w:p>
        </w:tc>
        <w:tc>
          <w:tcPr>
            <w:tcW w:w="2260" w:type="dxa"/>
            <w:vAlign w:val="bottom"/>
            <w:tcBorders>
              <w:left w:val="single" w:sz="8" w:color="0000FF"/>
            </w:tcBorders>
            <w:gridSpan w:val="10"/>
            <w:shd w:val="clear" w:color="auto" w:fill="0000FF"/>
          </w:tcPr>
          <w:p>
            <w:pPr>
              <w:spacing w:after="0" w:line="20" w:lineRule="exact"/>
              <w:rPr>
                <w:sz w:val="1"/>
                <w:szCs w:val="1"/>
                <w:color w:val="auto"/>
              </w:rPr>
            </w:pPr>
          </w:p>
        </w:tc>
        <w:tc>
          <w:tcPr>
            <w:tcW w:w="5360" w:type="dxa"/>
            <w:vAlign w:val="bottom"/>
            <w:gridSpan w:val="11"/>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16.</w:t>
            </w:r>
          </w:p>
        </w:tc>
        <w:tc>
          <w:tcPr>
            <w:tcW w:w="196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FF"/>
                <w:w w:val="95"/>
              </w:rPr>
              <w:t>FORM 10–K SUMMARY</w:t>
            </w:r>
          </w:p>
        </w:tc>
        <w:tc>
          <w:tcPr>
            <w:tcW w:w="2260" w:type="dxa"/>
            <w:vAlign w:val="bottom"/>
            <w:gridSpan w:val="10"/>
          </w:tcPr>
          <w:p>
            <w:pPr>
              <w:spacing w:after="0"/>
              <w:rPr>
                <w:sz w:val="18"/>
                <w:szCs w:val="18"/>
                <w:color w:val="auto"/>
              </w:rPr>
            </w:pPr>
          </w:p>
        </w:tc>
        <w:tc>
          <w:tcPr>
            <w:tcW w:w="5360" w:type="dxa"/>
            <w:vAlign w:val="bottom"/>
            <w:gridSpan w:val="11"/>
          </w:tcPr>
          <w:p>
            <w:pPr>
              <w:spacing w:after="0"/>
              <w:rPr>
                <w:sz w:val="18"/>
                <w:szCs w:val="18"/>
                <w:color w:val="auto"/>
              </w:rPr>
            </w:pPr>
          </w:p>
        </w:tc>
        <w:tc>
          <w:tcPr>
            <w:tcW w:w="2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20" w:type="dxa"/>
            <w:vAlign w:val="bottom"/>
          </w:tcPr>
          <w:p>
            <w:pPr>
              <w:spacing w:after="0"/>
              <w:rPr>
                <w:sz w:val="22"/>
                <w:szCs w:val="22"/>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2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112</w:t>
            </w:r>
          </w:p>
        </w:tc>
        <w:tc>
          <w:tcPr>
            <w:tcW w:w="0" w:type="dxa"/>
            <w:vAlign w:val="bottom"/>
          </w:tcPr>
          <w:p>
            <w:pPr>
              <w:spacing w:after="0"/>
              <w:rPr>
                <w:sz w:val="1"/>
                <w:szCs w:val="1"/>
                <w:color w:val="auto"/>
              </w:rPr>
            </w:pPr>
          </w:p>
        </w:tc>
      </w:tr>
      <w:tr>
        <w:trPr>
          <w:trHeight w:val="903"/>
        </w:trPr>
        <w:tc>
          <w:tcPr>
            <w:tcW w:w="2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4360" w:type="dxa"/>
            <w:vAlign w:val="bottom"/>
            <w:gridSpan w:val="26"/>
          </w:tcPr>
          <w:p>
            <w:pPr>
              <w:ind w:left="4200"/>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44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54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188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FILING FORMAT</w:t>
      </w:r>
    </w:p>
    <w:p>
      <w:pPr>
        <w:spacing w:after="0" w:line="11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This annual report on Form 10-K is a combined report being filed by two separate registrants: Southwest Gas Holdings, Inc. and Southwest Gas Corporation. Except where the content clearly indicates otherwise, any reference in the report to “we,” “us,” or “our” is to the holding company or the consolidated entity of Southwest Gas Holdings, Inc. and all of its subsidiaries, including Southwest Gas Corporation, which is a distinct registrant that is a wholly owned subsidiary of Southwest Gas Holdings, Inc. Information contained herein relating to any individual company is filed by such company on its own behalf. Each company makes representations only as to itself and makes no other representation whatsoever as to any other company.</w:t>
      </w:r>
    </w:p>
    <w:p>
      <w:pPr>
        <w:spacing w:after="0" w:line="7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Part II—Item 8. Financial statements and supplementary data in this Annual Report on Form 10-K includes separate financial statements (i.e., balance sheets, statements of income, statements of comprehensive income, statements of cash flows, and statements of equity) for Southwest Gas Holdings, Inc. and Southwest Gas Corporation, in that order. The notes to consolidated financial statements are presented on a combined basis for both entities. All Items other than Part II – Item 8 are combined for the reporting companies.</w:t>
      </w:r>
    </w:p>
    <w:p>
      <w:pPr>
        <w:spacing w:after="0" w:line="6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GLOSSARY OF KEY TERMS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glossary of frequently used abbreviations or acronyms that are found throughout this report.</w:t>
      </w:r>
    </w:p>
    <w:p>
      <w:pPr>
        <w:spacing w:after="0" w:line="139"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1440" w:type="dxa"/>
            <w:vAlign w:val="bottom"/>
            <w:tcBorders>
              <w:top w:val="single" w:sz="8" w:color="auto"/>
              <w:left w:val="single" w:sz="8" w:color="auto"/>
            </w:tcBorders>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Abbreviation or</w:t>
            </w:r>
          </w:p>
        </w:tc>
        <w:tc>
          <w:tcPr>
            <w:tcW w:w="4260" w:type="dxa"/>
            <w:vAlign w:val="bottom"/>
            <w:tcBorders>
              <w:top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142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Abbreviation or</w:t>
            </w:r>
          </w:p>
        </w:tc>
        <w:tc>
          <w:tcPr>
            <w:tcW w:w="4140" w:type="dxa"/>
            <w:vAlign w:val="bottom"/>
            <w:tcBorders>
              <w:top w:val="single" w:sz="8" w:color="auto"/>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0" w:type="dxa"/>
            <w:vAlign w:val="bottom"/>
          </w:tcPr>
          <w:p>
            <w:pPr>
              <w:spacing w:after="0"/>
              <w:rPr>
                <w:sz w:val="1"/>
                <w:szCs w:val="1"/>
                <w:color w:val="auto"/>
              </w:rPr>
            </w:pPr>
          </w:p>
        </w:tc>
      </w:tr>
      <w:tr>
        <w:trPr>
          <w:trHeight w:val="241"/>
        </w:trPr>
        <w:tc>
          <w:tcPr>
            <w:tcW w:w="1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Acronym</w:t>
            </w:r>
          </w:p>
        </w:tc>
        <w:tc>
          <w:tcPr>
            <w:tcW w:w="4260" w:type="dxa"/>
            <w:vAlign w:val="bottom"/>
            <w:tcBorders>
              <w:bottom w:val="single" w:sz="8" w:color="auto"/>
              <w:right w:val="single" w:sz="8" w:color="auto"/>
            </w:tcBorders>
            <w:vMerge w:val="continue"/>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Acronym</w:t>
            </w:r>
          </w:p>
        </w:tc>
        <w:tc>
          <w:tcPr>
            <w:tcW w:w="41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1440" w:type="dxa"/>
            <w:vAlign w:val="bottom"/>
            <w:tcBorders>
              <w:left w:val="single" w:sz="8" w:color="auto"/>
            </w:tcBorders>
            <w:shd w:val="clear" w:color="auto" w:fill="CCEEFF"/>
          </w:tcPr>
          <w:p>
            <w:pPr>
              <w:ind w:left="40"/>
              <w:spacing w:after="0" w:line="167" w:lineRule="exact"/>
              <w:rPr>
                <w:sz w:val="20"/>
                <w:szCs w:val="20"/>
                <w:color w:val="auto"/>
              </w:rPr>
            </w:pPr>
            <w:r>
              <w:rPr>
                <w:rFonts w:ascii="Times New Roman" w:cs="Times New Roman" w:eastAsia="Times New Roman" w:hAnsi="Times New Roman"/>
                <w:sz w:val="18"/>
                <w:szCs w:val="18"/>
                <w:color w:val="auto"/>
              </w:rPr>
              <w:t>2025 Annual</w:t>
            </w:r>
          </w:p>
        </w:tc>
        <w:tc>
          <w:tcPr>
            <w:tcW w:w="4260" w:type="dxa"/>
            <w:vAlign w:val="bottom"/>
            <w:tcBorders>
              <w:right w:val="single" w:sz="8" w:color="auto"/>
            </w:tcBorders>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414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144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Meeting</w:t>
            </w:r>
          </w:p>
        </w:tc>
        <w:tc>
          <w:tcPr>
            <w:tcW w:w="426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2025 Annual Meeting of Stockholders</w:t>
            </w: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LNG</w:t>
            </w:r>
          </w:p>
        </w:tc>
        <w:tc>
          <w:tcPr>
            <w:tcW w:w="414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Liquefied natural gas</w:t>
            </w:r>
          </w:p>
        </w:tc>
        <w:tc>
          <w:tcPr>
            <w:tcW w:w="0" w:type="dxa"/>
            <w:vAlign w:val="bottom"/>
          </w:tcPr>
          <w:p>
            <w:pPr>
              <w:spacing w:after="0"/>
              <w:rPr>
                <w:sz w:val="1"/>
                <w:szCs w:val="1"/>
                <w:color w:val="auto"/>
              </w:rPr>
            </w:pPr>
          </w:p>
        </w:tc>
      </w:tr>
      <w:tr>
        <w:trPr>
          <w:trHeight w:val="227"/>
        </w:trPr>
        <w:tc>
          <w:tcPr>
            <w:tcW w:w="14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ACC</w:t>
            </w:r>
          </w:p>
        </w:tc>
        <w:tc>
          <w:tcPr>
            <w:tcW w:w="4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Arizona Corporation Commission</w:t>
            </w: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MSA</w:t>
            </w:r>
          </w:p>
        </w:tc>
        <w:tc>
          <w:tcPr>
            <w:tcW w:w="41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Master services agreement</w:t>
            </w:r>
          </w:p>
        </w:tc>
        <w:tc>
          <w:tcPr>
            <w:tcW w:w="0" w:type="dxa"/>
            <w:vAlign w:val="bottom"/>
          </w:tcPr>
          <w:p>
            <w:pPr>
              <w:spacing w:after="0"/>
              <w:rPr>
                <w:sz w:val="1"/>
                <w:szCs w:val="1"/>
                <w:color w:val="auto"/>
              </w:rPr>
            </w:pPr>
          </w:p>
        </w:tc>
      </w:tr>
      <w:tr>
        <w:trPr>
          <w:trHeight w:val="227"/>
        </w:trPr>
        <w:tc>
          <w:tcPr>
            <w:tcW w:w="144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AOCI</w:t>
            </w:r>
          </w:p>
        </w:tc>
        <w:tc>
          <w:tcPr>
            <w:tcW w:w="426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Moody’s</w:t>
            </w:r>
          </w:p>
        </w:tc>
        <w:tc>
          <w:tcPr>
            <w:tcW w:w="414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Moody’s Investors Service, Inc.</w:t>
            </w:r>
          </w:p>
        </w:tc>
        <w:tc>
          <w:tcPr>
            <w:tcW w:w="0" w:type="dxa"/>
            <w:vAlign w:val="bottom"/>
          </w:tcPr>
          <w:p>
            <w:pPr>
              <w:spacing w:after="0"/>
              <w:rPr>
                <w:sz w:val="1"/>
                <w:szCs w:val="1"/>
                <w:color w:val="auto"/>
              </w:rPr>
            </w:pPr>
          </w:p>
        </w:tc>
      </w:tr>
      <w:tr>
        <w:trPr>
          <w:trHeight w:val="174"/>
        </w:trPr>
        <w:tc>
          <w:tcPr>
            <w:tcW w:w="1440" w:type="dxa"/>
            <w:vAlign w:val="bottom"/>
            <w:tcBorders>
              <w:left w:val="single" w:sz="8" w:color="auto"/>
            </w:tcBorders>
          </w:tcPr>
          <w:p>
            <w:pPr>
              <w:spacing w:after="0"/>
              <w:rPr>
                <w:sz w:val="15"/>
                <w:szCs w:val="15"/>
                <w:color w:val="auto"/>
              </w:rPr>
            </w:pPr>
          </w:p>
        </w:tc>
        <w:tc>
          <w:tcPr>
            <w:tcW w:w="4260" w:type="dxa"/>
            <w:vAlign w:val="bottom"/>
            <w:tcBorders>
              <w:right w:val="single" w:sz="8" w:color="auto"/>
            </w:tcBorders>
          </w:tcPr>
          <w:p>
            <w:pPr>
              <w:spacing w:after="0"/>
              <w:rPr>
                <w:sz w:val="15"/>
                <w:szCs w:val="15"/>
                <w:color w:val="auto"/>
              </w:rPr>
            </w:pPr>
          </w:p>
        </w:tc>
        <w:tc>
          <w:tcPr>
            <w:tcW w:w="142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MountainWest, or</w:t>
            </w:r>
          </w:p>
        </w:tc>
        <w:tc>
          <w:tcPr>
            <w:tcW w:w="4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14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ARA</w:t>
            </w:r>
          </w:p>
        </w:tc>
        <w:tc>
          <w:tcPr>
            <w:tcW w:w="4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Annual Rate Adjustment</w:t>
            </w:r>
          </w:p>
        </w:tc>
        <w:tc>
          <w:tcPr>
            <w:tcW w:w="55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Pipeline and Storage MountainWest Pipelines Holding Company</w:t>
            </w:r>
          </w:p>
        </w:tc>
        <w:tc>
          <w:tcPr>
            <w:tcW w:w="0" w:type="dxa"/>
            <w:vAlign w:val="bottom"/>
          </w:tcPr>
          <w:p>
            <w:pPr>
              <w:spacing w:after="0"/>
              <w:rPr>
                <w:sz w:val="1"/>
                <w:szCs w:val="1"/>
                <w:color w:val="auto"/>
              </w:rPr>
            </w:pPr>
          </w:p>
        </w:tc>
      </w:tr>
      <w:tr>
        <w:trPr>
          <w:trHeight w:val="227"/>
        </w:trPr>
        <w:tc>
          <w:tcPr>
            <w:tcW w:w="144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ASU</w:t>
            </w:r>
          </w:p>
        </w:tc>
        <w:tc>
          <w:tcPr>
            <w:tcW w:w="426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Accounting Standards Update</w:t>
            </w: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National</w:t>
            </w:r>
          </w:p>
        </w:tc>
        <w:tc>
          <w:tcPr>
            <w:tcW w:w="414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National Powerline LLC</w:t>
            </w:r>
          </w:p>
        </w:tc>
        <w:tc>
          <w:tcPr>
            <w:tcW w:w="0" w:type="dxa"/>
            <w:vAlign w:val="bottom"/>
          </w:tcPr>
          <w:p>
            <w:pPr>
              <w:spacing w:after="0"/>
              <w:rPr>
                <w:sz w:val="1"/>
                <w:szCs w:val="1"/>
                <w:color w:val="auto"/>
              </w:rPr>
            </w:pPr>
          </w:p>
        </w:tc>
      </w:tr>
      <w:tr>
        <w:trPr>
          <w:trHeight w:val="227"/>
        </w:trPr>
        <w:tc>
          <w:tcPr>
            <w:tcW w:w="14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ATM Program</w:t>
            </w:r>
          </w:p>
        </w:tc>
        <w:tc>
          <w:tcPr>
            <w:tcW w:w="4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At-the-market equity offering program</w:t>
            </w: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NAV</w:t>
            </w:r>
          </w:p>
        </w:tc>
        <w:tc>
          <w:tcPr>
            <w:tcW w:w="41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Net asset value</w:t>
            </w:r>
          </w:p>
        </w:tc>
        <w:tc>
          <w:tcPr>
            <w:tcW w:w="0" w:type="dxa"/>
            <w:vAlign w:val="bottom"/>
          </w:tcPr>
          <w:p>
            <w:pPr>
              <w:spacing w:after="0"/>
              <w:rPr>
                <w:sz w:val="1"/>
                <w:szCs w:val="1"/>
                <w:color w:val="auto"/>
              </w:rPr>
            </w:pPr>
          </w:p>
        </w:tc>
      </w:tr>
      <w:tr>
        <w:trPr>
          <w:trHeight w:val="227"/>
        </w:trPr>
        <w:tc>
          <w:tcPr>
            <w:tcW w:w="144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AFUDC</w:t>
            </w:r>
          </w:p>
        </w:tc>
        <w:tc>
          <w:tcPr>
            <w:tcW w:w="426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Allowance for Funds Used During Construction</w:t>
            </w: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Neuco</w:t>
            </w:r>
          </w:p>
        </w:tc>
        <w:tc>
          <w:tcPr>
            <w:tcW w:w="414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New England Utility Constructors, Inc.</w:t>
            </w:r>
          </w:p>
        </w:tc>
        <w:tc>
          <w:tcPr>
            <w:tcW w:w="0" w:type="dxa"/>
            <w:vAlign w:val="bottom"/>
          </w:tcPr>
          <w:p>
            <w:pPr>
              <w:spacing w:after="0"/>
              <w:rPr>
                <w:sz w:val="1"/>
                <w:szCs w:val="1"/>
                <w:color w:val="auto"/>
              </w:rPr>
            </w:pPr>
          </w:p>
        </w:tc>
      </w:tr>
      <w:tr>
        <w:trPr>
          <w:trHeight w:val="227"/>
        </w:trPr>
        <w:tc>
          <w:tcPr>
            <w:tcW w:w="14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Board</w:t>
            </w:r>
          </w:p>
        </w:tc>
        <w:tc>
          <w:tcPr>
            <w:tcW w:w="4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Board of Directors of Southwest Gas Holdings, Inc.</w:t>
            </w: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NIST</w:t>
            </w:r>
          </w:p>
        </w:tc>
        <w:tc>
          <w:tcPr>
            <w:tcW w:w="41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National Institute of Standards and Technology</w:t>
            </w:r>
          </w:p>
        </w:tc>
        <w:tc>
          <w:tcPr>
            <w:tcW w:w="0" w:type="dxa"/>
            <w:vAlign w:val="bottom"/>
          </w:tcPr>
          <w:p>
            <w:pPr>
              <w:spacing w:after="0"/>
              <w:rPr>
                <w:sz w:val="1"/>
                <w:szCs w:val="1"/>
                <w:color w:val="auto"/>
              </w:rPr>
            </w:pPr>
          </w:p>
        </w:tc>
      </w:tr>
      <w:tr>
        <w:trPr>
          <w:trHeight w:val="227"/>
        </w:trPr>
        <w:tc>
          <w:tcPr>
            <w:tcW w:w="144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CARB</w:t>
            </w:r>
          </w:p>
        </w:tc>
        <w:tc>
          <w:tcPr>
            <w:tcW w:w="426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California Air Resources Board</w:t>
            </w: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NPL</w:t>
            </w:r>
          </w:p>
        </w:tc>
        <w:tc>
          <w:tcPr>
            <w:tcW w:w="414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NPL Construction Co.</w:t>
            </w:r>
          </w:p>
        </w:tc>
        <w:tc>
          <w:tcPr>
            <w:tcW w:w="0" w:type="dxa"/>
            <w:vAlign w:val="bottom"/>
          </w:tcPr>
          <w:p>
            <w:pPr>
              <w:spacing w:after="0"/>
              <w:rPr>
                <w:sz w:val="1"/>
                <w:szCs w:val="1"/>
                <w:color w:val="auto"/>
              </w:rPr>
            </w:pPr>
          </w:p>
        </w:tc>
      </w:tr>
      <w:tr>
        <w:trPr>
          <w:trHeight w:val="227"/>
        </w:trPr>
        <w:tc>
          <w:tcPr>
            <w:tcW w:w="14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CARES</w:t>
            </w:r>
          </w:p>
        </w:tc>
        <w:tc>
          <w:tcPr>
            <w:tcW w:w="4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Coronavirus Aid, Relief, and Economic Security Act</w:t>
            </w: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NPL Canada</w:t>
            </w:r>
          </w:p>
        </w:tc>
        <w:tc>
          <w:tcPr>
            <w:tcW w:w="41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NPL Canada Ltd.</w:t>
            </w:r>
          </w:p>
        </w:tc>
        <w:tc>
          <w:tcPr>
            <w:tcW w:w="0" w:type="dxa"/>
            <w:vAlign w:val="bottom"/>
          </w:tcPr>
          <w:p>
            <w:pPr>
              <w:spacing w:after="0"/>
              <w:rPr>
                <w:sz w:val="1"/>
                <w:szCs w:val="1"/>
                <w:color w:val="auto"/>
              </w:rPr>
            </w:pPr>
          </w:p>
        </w:tc>
      </w:tr>
      <w:tr>
        <w:trPr>
          <w:trHeight w:val="227"/>
        </w:trPr>
        <w:tc>
          <w:tcPr>
            <w:tcW w:w="144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CBA</w:t>
            </w:r>
          </w:p>
        </w:tc>
        <w:tc>
          <w:tcPr>
            <w:tcW w:w="426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Collective bargaining agreement</w:t>
            </w: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NPRM</w:t>
            </w:r>
          </w:p>
        </w:tc>
        <w:tc>
          <w:tcPr>
            <w:tcW w:w="414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Notice of proposed rulemaking</w:t>
            </w:r>
          </w:p>
        </w:tc>
        <w:tc>
          <w:tcPr>
            <w:tcW w:w="0" w:type="dxa"/>
            <w:vAlign w:val="bottom"/>
          </w:tcPr>
          <w:p>
            <w:pPr>
              <w:spacing w:after="0"/>
              <w:rPr>
                <w:sz w:val="1"/>
                <w:szCs w:val="1"/>
                <w:color w:val="auto"/>
              </w:rPr>
            </w:pPr>
          </w:p>
        </w:tc>
      </w:tr>
      <w:tr>
        <w:trPr>
          <w:trHeight w:val="227"/>
        </w:trPr>
        <w:tc>
          <w:tcPr>
            <w:tcW w:w="14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CEO</w:t>
            </w:r>
          </w:p>
        </w:tc>
        <w:tc>
          <w:tcPr>
            <w:tcW w:w="4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Chief Executive Officer</w:t>
            </w: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NWPL</w:t>
            </w:r>
          </w:p>
        </w:tc>
        <w:tc>
          <w:tcPr>
            <w:tcW w:w="41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Northwest Pipeline Corporation</w:t>
            </w:r>
          </w:p>
        </w:tc>
        <w:tc>
          <w:tcPr>
            <w:tcW w:w="0" w:type="dxa"/>
            <w:vAlign w:val="bottom"/>
          </w:tcPr>
          <w:p>
            <w:pPr>
              <w:spacing w:after="0"/>
              <w:rPr>
                <w:sz w:val="1"/>
                <w:szCs w:val="1"/>
                <w:color w:val="auto"/>
              </w:rPr>
            </w:pPr>
          </w:p>
        </w:tc>
      </w:tr>
      <w:tr>
        <w:trPr>
          <w:trHeight w:val="174"/>
        </w:trPr>
        <w:tc>
          <w:tcPr>
            <w:tcW w:w="1440" w:type="dxa"/>
            <w:vAlign w:val="bottom"/>
            <w:tcBorders>
              <w:left w:val="single" w:sz="8" w:color="auto"/>
            </w:tcBorders>
            <w:shd w:val="clear" w:color="auto" w:fill="CCEEFF"/>
          </w:tcPr>
          <w:p>
            <w:pPr>
              <w:ind w:left="40"/>
              <w:spacing w:after="0" w:line="174" w:lineRule="exact"/>
              <w:rPr>
                <w:sz w:val="20"/>
                <w:szCs w:val="20"/>
                <w:color w:val="auto"/>
              </w:rPr>
            </w:pPr>
            <w:r>
              <w:rPr>
                <w:rFonts w:ascii="Times New Roman" w:cs="Times New Roman" w:eastAsia="Times New Roman" w:hAnsi="Times New Roman"/>
                <w:sz w:val="18"/>
                <w:szCs w:val="18"/>
                <w:color w:val="auto"/>
              </w:rPr>
              <w:t>Centuri, or Utility</w:t>
            </w:r>
          </w:p>
        </w:tc>
        <w:tc>
          <w:tcPr>
            <w:tcW w:w="4260" w:type="dxa"/>
            <w:vAlign w:val="bottom"/>
            <w:tcBorders>
              <w:right w:val="single" w:sz="8" w:color="auto"/>
            </w:tcBorders>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Centuri Group Inc, for periods prior to April 22, 2024, or</w:t>
            </w:r>
          </w:p>
        </w:tc>
        <w:tc>
          <w:tcPr>
            <w:tcW w:w="1420" w:type="dxa"/>
            <w:vAlign w:val="bottom"/>
            <w:shd w:val="clear" w:color="auto" w:fill="CCEEFF"/>
          </w:tcPr>
          <w:p>
            <w:pPr>
              <w:spacing w:after="0"/>
              <w:rPr>
                <w:sz w:val="15"/>
                <w:szCs w:val="15"/>
                <w:color w:val="auto"/>
              </w:rPr>
            </w:pPr>
          </w:p>
        </w:tc>
        <w:tc>
          <w:tcPr>
            <w:tcW w:w="414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440" w:type="dxa"/>
            <w:vAlign w:val="bottom"/>
            <w:tcBorders>
              <w:left w:val="single" w:sz="8" w:color="auto"/>
            </w:tcBorders>
            <w:shd w:val="clear" w:color="auto" w:fill="CCEEFF"/>
          </w:tcPr>
          <w:p>
            <w:pPr>
              <w:ind w:left="40"/>
              <w:spacing w:after="0" w:line="174" w:lineRule="exact"/>
              <w:rPr>
                <w:sz w:val="20"/>
                <w:szCs w:val="20"/>
                <w:color w:val="auto"/>
              </w:rPr>
            </w:pPr>
            <w:r>
              <w:rPr>
                <w:rFonts w:ascii="Times New Roman" w:cs="Times New Roman" w:eastAsia="Times New Roman" w:hAnsi="Times New Roman"/>
                <w:sz w:val="18"/>
                <w:szCs w:val="18"/>
                <w:color w:val="auto"/>
              </w:rPr>
              <w:t>Infrastructure</w:t>
            </w:r>
          </w:p>
        </w:tc>
        <w:tc>
          <w:tcPr>
            <w:tcW w:w="4260" w:type="dxa"/>
            <w:vAlign w:val="bottom"/>
            <w:tcBorders>
              <w:right w:val="single" w:sz="8" w:color="auto"/>
            </w:tcBorders>
            <w:vMerge w:val="continue"/>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414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144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Services</w:t>
            </w:r>
          </w:p>
        </w:tc>
        <w:tc>
          <w:tcPr>
            <w:tcW w:w="426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subsequently, Centuri Holdings, Inc.</w:t>
            </w: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NYSE</w:t>
            </w:r>
          </w:p>
        </w:tc>
        <w:tc>
          <w:tcPr>
            <w:tcW w:w="414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New York Stock Exchange</w:t>
            </w:r>
          </w:p>
        </w:tc>
        <w:tc>
          <w:tcPr>
            <w:tcW w:w="0" w:type="dxa"/>
            <w:vAlign w:val="bottom"/>
          </w:tcPr>
          <w:p>
            <w:pPr>
              <w:spacing w:after="0"/>
              <w:rPr>
                <w:sz w:val="1"/>
                <w:szCs w:val="1"/>
                <w:color w:val="auto"/>
              </w:rPr>
            </w:pPr>
          </w:p>
        </w:tc>
      </w:tr>
      <w:tr>
        <w:trPr>
          <w:trHeight w:val="227"/>
        </w:trPr>
        <w:tc>
          <w:tcPr>
            <w:tcW w:w="14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Centuri IPO</w:t>
            </w:r>
          </w:p>
        </w:tc>
        <w:tc>
          <w:tcPr>
            <w:tcW w:w="4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Centuri Initial Public Offering</w:t>
            </w: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PBOP</w:t>
            </w:r>
          </w:p>
        </w:tc>
        <w:tc>
          <w:tcPr>
            <w:tcW w:w="41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Postretirement benefits other than pensions</w:t>
            </w:r>
          </w:p>
        </w:tc>
        <w:tc>
          <w:tcPr>
            <w:tcW w:w="0" w:type="dxa"/>
            <w:vAlign w:val="bottom"/>
          </w:tcPr>
          <w:p>
            <w:pPr>
              <w:spacing w:after="0"/>
              <w:rPr>
                <w:sz w:val="1"/>
                <w:szCs w:val="1"/>
                <w:color w:val="auto"/>
              </w:rPr>
            </w:pPr>
          </w:p>
        </w:tc>
      </w:tr>
      <w:tr>
        <w:trPr>
          <w:trHeight w:val="227"/>
        </w:trPr>
        <w:tc>
          <w:tcPr>
            <w:tcW w:w="144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CFO</w:t>
            </w:r>
          </w:p>
        </w:tc>
        <w:tc>
          <w:tcPr>
            <w:tcW w:w="426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PCAOB</w:t>
            </w:r>
          </w:p>
        </w:tc>
        <w:tc>
          <w:tcPr>
            <w:tcW w:w="414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Public Company Accounting Oversight Board</w:t>
            </w:r>
          </w:p>
        </w:tc>
        <w:tc>
          <w:tcPr>
            <w:tcW w:w="0" w:type="dxa"/>
            <w:vAlign w:val="bottom"/>
          </w:tcPr>
          <w:p>
            <w:pPr>
              <w:spacing w:after="0"/>
              <w:rPr>
                <w:sz w:val="1"/>
                <w:szCs w:val="1"/>
                <w:color w:val="auto"/>
              </w:rPr>
            </w:pPr>
          </w:p>
        </w:tc>
      </w:tr>
      <w:tr>
        <w:trPr>
          <w:trHeight w:val="227"/>
        </w:trPr>
        <w:tc>
          <w:tcPr>
            <w:tcW w:w="14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CNG</w:t>
            </w:r>
          </w:p>
        </w:tc>
        <w:tc>
          <w:tcPr>
            <w:tcW w:w="4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Compressed natural gas</w:t>
            </w: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PGA</w:t>
            </w:r>
          </w:p>
        </w:tc>
        <w:tc>
          <w:tcPr>
            <w:tcW w:w="41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Purchased gas adjustment</w:t>
            </w:r>
          </w:p>
        </w:tc>
        <w:tc>
          <w:tcPr>
            <w:tcW w:w="0" w:type="dxa"/>
            <w:vAlign w:val="bottom"/>
          </w:tcPr>
          <w:p>
            <w:pPr>
              <w:spacing w:after="0"/>
              <w:rPr>
                <w:sz w:val="1"/>
                <w:szCs w:val="1"/>
                <w:color w:val="auto"/>
              </w:rPr>
            </w:pPr>
          </w:p>
        </w:tc>
      </w:tr>
      <w:tr>
        <w:trPr>
          <w:trHeight w:val="174"/>
        </w:trPr>
        <w:tc>
          <w:tcPr>
            <w:tcW w:w="1440" w:type="dxa"/>
            <w:vAlign w:val="bottom"/>
            <w:tcBorders>
              <w:left w:val="single" w:sz="8" w:color="auto"/>
            </w:tcBorders>
            <w:shd w:val="clear" w:color="auto" w:fill="CCEEFF"/>
          </w:tcPr>
          <w:p>
            <w:pPr>
              <w:spacing w:after="0"/>
              <w:rPr>
                <w:sz w:val="15"/>
                <w:szCs w:val="15"/>
                <w:color w:val="auto"/>
              </w:rPr>
            </w:pPr>
          </w:p>
        </w:tc>
        <w:tc>
          <w:tcPr>
            <w:tcW w:w="4260" w:type="dxa"/>
            <w:vAlign w:val="bottom"/>
            <w:tcBorders>
              <w:right w:val="single" w:sz="8" w:color="auto"/>
            </w:tcBorders>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4140" w:type="dxa"/>
            <w:vAlign w:val="bottom"/>
            <w:tcBorders>
              <w:right w:val="single" w:sz="8" w:color="auto"/>
            </w:tcBorders>
            <w:shd w:val="clear" w:color="auto" w:fill="CCEEFF"/>
          </w:tcPr>
          <w:p>
            <w:pPr>
              <w:ind w:left="140"/>
              <w:spacing w:after="0" w:line="174" w:lineRule="exact"/>
              <w:rPr>
                <w:sz w:val="20"/>
                <w:szCs w:val="20"/>
                <w:color w:val="auto"/>
              </w:rPr>
            </w:pPr>
            <w:r>
              <w:rPr>
                <w:rFonts w:ascii="Times New Roman" w:cs="Times New Roman" w:eastAsia="Times New Roman" w:hAnsi="Times New Roman"/>
                <w:sz w:val="18"/>
                <w:szCs w:val="18"/>
                <w:color w:val="auto"/>
              </w:rPr>
              <w:t>Pipeline and Hazardous Materials Safety</w:t>
            </w:r>
          </w:p>
        </w:tc>
        <w:tc>
          <w:tcPr>
            <w:tcW w:w="0" w:type="dxa"/>
            <w:vAlign w:val="bottom"/>
          </w:tcPr>
          <w:p>
            <w:pPr>
              <w:spacing w:after="0"/>
              <w:rPr>
                <w:sz w:val="1"/>
                <w:szCs w:val="1"/>
                <w:color w:val="auto"/>
              </w:rPr>
            </w:pPr>
          </w:p>
        </w:tc>
      </w:tr>
      <w:tr>
        <w:trPr>
          <w:trHeight w:val="241"/>
        </w:trPr>
        <w:tc>
          <w:tcPr>
            <w:tcW w:w="144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CODM</w:t>
            </w:r>
          </w:p>
        </w:tc>
        <w:tc>
          <w:tcPr>
            <w:tcW w:w="426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Chief operating decision maker</w:t>
            </w: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PHMSA</w:t>
            </w:r>
          </w:p>
        </w:tc>
        <w:tc>
          <w:tcPr>
            <w:tcW w:w="414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Administration</w:t>
            </w:r>
          </w:p>
        </w:tc>
        <w:tc>
          <w:tcPr>
            <w:tcW w:w="0" w:type="dxa"/>
            <w:vAlign w:val="bottom"/>
          </w:tcPr>
          <w:p>
            <w:pPr>
              <w:spacing w:after="0"/>
              <w:rPr>
                <w:sz w:val="1"/>
                <w:szCs w:val="1"/>
                <w:color w:val="auto"/>
              </w:rPr>
            </w:pPr>
          </w:p>
        </w:tc>
      </w:tr>
      <w:tr>
        <w:trPr>
          <w:trHeight w:val="227"/>
        </w:trPr>
        <w:tc>
          <w:tcPr>
            <w:tcW w:w="14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COLI</w:t>
            </w:r>
          </w:p>
        </w:tc>
        <w:tc>
          <w:tcPr>
            <w:tcW w:w="4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Company-owned life insurance</w:t>
            </w: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PII</w:t>
            </w:r>
          </w:p>
        </w:tc>
        <w:tc>
          <w:tcPr>
            <w:tcW w:w="41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Personal identifiable information</w:t>
            </w:r>
          </w:p>
        </w:tc>
        <w:tc>
          <w:tcPr>
            <w:tcW w:w="0" w:type="dxa"/>
            <w:vAlign w:val="bottom"/>
          </w:tcPr>
          <w:p>
            <w:pPr>
              <w:spacing w:after="0"/>
              <w:rPr>
                <w:sz w:val="1"/>
                <w:szCs w:val="1"/>
                <w:color w:val="auto"/>
              </w:rPr>
            </w:pPr>
          </w:p>
        </w:tc>
      </w:tr>
      <w:tr>
        <w:trPr>
          <w:trHeight w:val="174"/>
        </w:trPr>
        <w:tc>
          <w:tcPr>
            <w:tcW w:w="1440" w:type="dxa"/>
            <w:vAlign w:val="bottom"/>
            <w:tcBorders>
              <w:left w:val="single" w:sz="8" w:color="auto"/>
            </w:tcBorders>
            <w:shd w:val="clear" w:color="auto" w:fill="CCEEFF"/>
          </w:tcPr>
          <w:p>
            <w:pPr>
              <w:spacing w:after="0"/>
              <w:rPr>
                <w:sz w:val="15"/>
                <w:szCs w:val="15"/>
                <w:color w:val="auto"/>
              </w:rPr>
            </w:pPr>
          </w:p>
        </w:tc>
        <w:tc>
          <w:tcPr>
            <w:tcW w:w="4260" w:type="dxa"/>
            <w:vAlign w:val="bottom"/>
            <w:tcBorders>
              <w:right w:val="single" w:sz="8" w:color="auto"/>
            </w:tcBorders>
            <w:shd w:val="clear" w:color="auto" w:fill="CCEEFF"/>
          </w:tcPr>
          <w:p>
            <w:pPr>
              <w:ind w:left="120"/>
              <w:spacing w:after="0" w:line="174" w:lineRule="exact"/>
              <w:rPr>
                <w:sz w:val="20"/>
                <w:szCs w:val="20"/>
                <w:color w:val="auto"/>
              </w:rPr>
            </w:pPr>
            <w:r>
              <w:rPr>
                <w:rFonts w:ascii="Times New Roman" w:cs="Times New Roman" w:eastAsia="Times New Roman" w:hAnsi="Times New Roman"/>
                <w:sz w:val="18"/>
                <w:szCs w:val="18"/>
                <w:color w:val="auto"/>
              </w:rPr>
              <w:t>Southwest Gas Holdings, Inc. (together with its</w:t>
            </w:r>
          </w:p>
        </w:tc>
        <w:tc>
          <w:tcPr>
            <w:tcW w:w="1420" w:type="dxa"/>
            <w:vAlign w:val="bottom"/>
            <w:shd w:val="clear" w:color="auto" w:fill="CCEEFF"/>
          </w:tcPr>
          <w:p>
            <w:pPr>
              <w:spacing w:after="0"/>
              <w:rPr>
                <w:sz w:val="15"/>
                <w:szCs w:val="15"/>
                <w:color w:val="auto"/>
              </w:rPr>
            </w:pPr>
          </w:p>
        </w:tc>
        <w:tc>
          <w:tcPr>
            <w:tcW w:w="414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144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Company</w:t>
            </w:r>
          </w:p>
        </w:tc>
        <w:tc>
          <w:tcPr>
            <w:tcW w:w="426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subsidiaries)</w:t>
            </w: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w:t>
            </w:r>
          </w:p>
        </w:tc>
        <w:tc>
          <w:tcPr>
            <w:tcW w:w="414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Tax-Free Spin Protection Plan</w:t>
            </w:r>
          </w:p>
        </w:tc>
        <w:tc>
          <w:tcPr>
            <w:tcW w:w="0" w:type="dxa"/>
            <w:vAlign w:val="bottom"/>
          </w:tcPr>
          <w:p>
            <w:pPr>
              <w:spacing w:after="0"/>
              <w:rPr>
                <w:sz w:val="1"/>
                <w:szCs w:val="1"/>
                <w:color w:val="auto"/>
              </w:rPr>
            </w:pPr>
          </w:p>
        </w:tc>
      </w:tr>
      <w:tr>
        <w:trPr>
          <w:trHeight w:val="227"/>
        </w:trPr>
        <w:tc>
          <w:tcPr>
            <w:tcW w:w="1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CORRA</w:t>
            </w:r>
          </w:p>
        </w:tc>
        <w:tc>
          <w:tcPr>
            <w:tcW w:w="42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Canadian Overnight Repo Rate Average</w:t>
            </w:r>
          </w:p>
        </w:tc>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PNC</w:t>
            </w:r>
          </w:p>
        </w:tc>
        <w:tc>
          <w:tcPr>
            <w:tcW w:w="41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PNC Bank, National Association</w:t>
            </w:r>
          </w:p>
        </w:tc>
        <w:tc>
          <w:tcPr>
            <w:tcW w:w="0" w:type="dxa"/>
            <w:vAlign w:val="bottom"/>
          </w:tcPr>
          <w:p>
            <w:pPr>
              <w:spacing w:after="0"/>
              <w:rPr>
                <w:sz w:val="1"/>
                <w:szCs w:val="1"/>
                <w:color w:val="auto"/>
              </w:rPr>
            </w:pPr>
          </w:p>
        </w:tc>
      </w:tr>
      <w:tr>
        <w:trPr>
          <w:trHeight w:val="877"/>
        </w:trPr>
        <w:tc>
          <w:tcPr>
            <w:tcW w:w="1440" w:type="dxa"/>
            <w:vAlign w:val="bottom"/>
          </w:tcPr>
          <w:p>
            <w:pPr>
              <w:spacing w:after="0"/>
              <w:rPr>
                <w:sz w:val="24"/>
                <w:szCs w:val="24"/>
                <w:color w:val="auto"/>
              </w:rPr>
            </w:pPr>
          </w:p>
        </w:tc>
        <w:tc>
          <w:tcPr>
            <w:tcW w:w="4260" w:type="dxa"/>
            <w:vAlign w:val="bottom"/>
          </w:tcPr>
          <w:p>
            <w:pPr>
              <w:ind w:left="4140"/>
              <w:spacing w:after="0"/>
              <w:rPr>
                <w:sz w:val="20"/>
                <w:szCs w:val="20"/>
                <w:color w:val="auto"/>
              </w:rPr>
            </w:pPr>
            <w:r>
              <w:rPr>
                <w:rFonts w:ascii="Times New Roman" w:cs="Times New Roman" w:eastAsia="Times New Roman" w:hAnsi="Times New Roman"/>
                <w:sz w:val="18"/>
                <w:szCs w:val="18"/>
                <w:color w:val="auto"/>
                <w:w w:val="88"/>
              </w:rPr>
              <w:t>4</w:t>
            </w:r>
          </w:p>
        </w:tc>
        <w:tc>
          <w:tcPr>
            <w:tcW w:w="14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440" w:type="dxa"/>
            <w:vAlign w:val="bottom"/>
            <w:tcBorders>
              <w:bottom w:val="single" w:sz="8" w:color="9A9A9A"/>
            </w:tcBorders>
          </w:tcPr>
          <w:p>
            <w:pPr>
              <w:spacing w:after="0"/>
              <w:rPr>
                <w:sz w:val="17"/>
                <w:szCs w:val="17"/>
                <w:color w:val="auto"/>
              </w:rPr>
            </w:pPr>
          </w:p>
        </w:tc>
        <w:tc>
          <w:tcPr>
            <w:tcW w:w="4260" w:type="dxa"/>
            <w:vAlign w:val="bottom"/>
            <w:tcBorders>
              <w:bottom w:val="single" w:sz="8" w:color="9A9A9A"/>
            </w:tcBorders>
          </w:tcPr>
          <w:p>
            <w:pPr>
              <w:spacing w:after="0"/>
              <w:rPr>
                <w:sz w:val="17"/>
                <w:szCs w:val="17"/>
                <w:color w:val="auto"/>
              </w:rPr>
            </w:pPr>
          </w:p>
        </w:tc>
        <w:tc>
          <w:tcPr>
            <w:tcW w:w="1420" w:type="dxa"/>
            <w:vAlign w:val="bottom"/>
            <w:tcBorders>
              <w:bottom w:val="single" w:sz="8" w:color="9A9A9A"/>
            </w:tcBorders>
          </w:tcPr>
          <w:p>
            <w:pPr>
              <w:spacing w:after="0"/>
              <w:rPr>
                <w:sz w:val="17"/>
                <w:szCs w:val="17"/>
                <w:color w:val="auto"/>
              </w:rPr>
            </w:pPr>
          </w:p>
        </w:tc>
        <w:tc>
          <w:tcPr>
            <w:tcW w:w="414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1134" w:right="31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187"/>
        </w:trPr>
        <w:tc>
          <w:tcPr>
            <w:tcW w:w="1420" w:type="dxa"/>
            <w:vAlign w:val="bottom"/>
            <w:tcBorders>
              <w:top w:val="single" w:sz="8" w:color="auto"/>
              <w:left w:val="single" w:sz="8" w:color="auto"/>
            </w:tcBorders>
            <w:shd w:val="clear" w:color="auto" w:fill="CCEEFF"/>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Abbreviation or</w:t>
            </w:r>
          </w:p>
        </w:tc>
        <w:tc>
          <w:tcPr>
            <w:tcW w:w="4280" w:type="dxa"/>
            <w:vAlign w:val="bottom"/>
            <w:tcBorders>
              <w:top w:val="single" w:sz="8" w:color="auto"/>
              <w:right w:val="single" w:sz="8" w:color="auto"/>
            </w:tcBorders>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1440" w:type="dxa"/>
            <w:vAlign w:val="bottom"/>
            <w:tcBorders>
              <w:top w:val="single" w:sz="8" w:color="auto"/>
            </w:tcBorders>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Abbreviation or</w:t>
            </w:r>
          </w:p>
        </w:tc>
        <w:tc>
          <w:tcPr>
            <w:tcW w:w="4120" w:type="dxa"/>
            <w:vAlign w:val="bottom"/>
            <w:tcBorders>
              <w:top w:val="single" w:sz="8" w:color="auto"/>
              <w:right w:val="single" w:sz="8" w:color="auto"/>
            </w:tcBorders>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0" w:type="dxa"/>
            <w:vAlign w:val="bottom"/>
          </w:tcPr>
          <w:p>
            <w:pPr>
              <w:spacing w:after="0"/>
              <w:rPr>
                <w:sz w:val="1"/>
                <w:szCs w:val="1"/>
                <w:color w:val="auto"/>
              </w:rPr>
            </w:pPr>
          </w:p>
        </w:tc>
      </w:tr>
      <w:tr>
        <w:trPr>
          <w:trHeight w:val="241"/>
        </w:trPr>
        <w:tc>
          <w:tcPr>
            <w:tcW w:w="14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Acronym</w:t>
            </w:r>
          </w:p>
        </w:tc>
        <w:tc>
          <w:tcPr>
            <w:tcW w:w="4280" w:type="dxa"/>
            <w:vAlign w:val="bottom"/>
            <w:tcBorders>
              <w:bottom w:val="single" w:sz="8" w:color="auto"/>
              <w:right w:val="single" w:sz="8" w:color="auto"/>
            </w:tcBorders>
            <w:vMerge w:val="continue"/>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Acronym</w:t>
            </w:r>
          </w:p>
        </w:tc>
        <w:tc>
          <w:tcPr>
            <w:tcW w:w="4120" w:type="dxa"/>
            <w:vAlign w:val="bottom"/>
            <w:tcBorders>
              <w:bottom w:val="single" w:sz="8" w:color="auto"/>
              <w:right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1420" w:type="dxa"/>
            <w:vAlign w:val="bottom"/>
            <w:tcBorders>
              <w:left w:val="single" w:sz="8" w:color="auto"/>
            </w:tcBorders>
          </w:tcPr>
          <w:p>
            <w:pPr>
              <w:spacing w:after="0"/>
              <w:rPr>
                <w:sz w:val="14"/>
                <w:szCs w:val="14"/>
                <w:color w:val="auto"/>
              </w:rPr>
            </w:pPr>
          </w:p>
        </w:tc>
        <w:tc>
          <w:tcPr>
            <w:tcW w:w="4280" w:type="dxa"/>
            <w:vAlign w:val="bottom"/>
            <w:tcBorders>
              <w:right w:val="single" w:sz="8" w:color="auto"/>
            </w:tcBorders>
          </w:tcPr>
          <w:p>
            <w:pPr>
              <w:ind w:left="140"/>
              <w:spacing w:after="0" w:line="167" w:lineRule="exact"/>
              <w:rPr>
                <w:sz w:val="20"/>
                <w:szCs w:val="20"/>
                <w:color w:val="auto"/>
              </w:rPr>
            </w:pPr>
            <w:r>
              <w:rPr>
                <w:rFonts w:ascii="Times New Roman" w:cs="Times New Roman" w:eastAsia="Times New Roman" w:hAnsi="Times New Roman"/>
                <w:sz w:val="18"/>
                <w:szCs w:val="18"/>
                <w:color w:val="auto"/>
                <w:w w:val="99"/>
              </w:rPr>
              <w:t>Committee of Sponsoring Organizations of the Treadway</w:t>
            </w:r>
          </w:p>
        </w:tc>
        <w:tc>
          <w:tcPr>
            <w:tcW w:w="1440" w:type="dxa"/>
            <w:vAlign w:val="bottom"/>
          </w:tcPr>
          <w:p>
            <w:pPr>
              <w:spacing w:after="0"/>
              <w:rPr>
                <w:sz w:val="14"/>
                <w:szCs w:val="14"/>
                <w:color w:val="auto"/>
              </w:rPr>
            </w:pPr>
          </w:p>
        </w:tc>
        <w:tc>
          <w:tcPr>
            <w:tcW w:w="4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14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COSO</w:t>
            </w:r>
          </w:p>
        </w:tc>
        <w:tc>
          <w:tcPr>
            <w:tcW w:w="42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Commission</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PTY</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Post-Test Year</w:t>
            </w:r>
          </w:p>
        </w:tc>
        <w:tc>
          <w:tcPr>
            <w:tcW w:w="0" w:type="dxa"/>
            <w:vAlign w:val="bottom"/>
          </w:tcPr>
          <w:p>
            <w:pPr>
              <w:spacing w:after="0"/>
              <w:rPr>
                <w:sz w:val="1"/>
                <w:szCs w:val="1"/>
                <w:color w:val="auto"/>
              </w:rPr>
            </w:pPr>
          </w:p>
        </w:tc>
      </w:tr>
      <w:tr>
        <w:trPr>
          <w:trHeight w:val="227"/>
        </w:trPr>
        <w:tc>
          <w:tcPr>
            <w:tcW w:w="142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COYL</w:t>
            </w:r>
          </w:p>
        </w:tc>
        <w:tc>
          <w:tcPr>
            <w:tcW w:w="428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Customer-Owned Yard Line</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PUCN</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Public Utilities Commission of Nevada</w:t>
            </w:r>
          </w:p>
        </w:tc>
        <w:tc>
          <w:tcPr>
            <w:tcW w:w="0" w:type="dxa"/>
            <w:vAlign w:val="bottom"/>
          </w:tcPr>
          <w:p>
            <w:pPr>
              <w:spacing w:after="0"/>
              <w:rPr>
                <w:sz w:val="1"/>
                <w:szCs w:val="1"/>
                <w:color w:val="auto"/>
              </w:rPr>
            </w:pPr>
          </w:p>
        </w:tc>
      </w:tr>
      <w:tr>
        <w:trPr>
          <w:trHeight w:val="227"/>
        </w:trPr>
        <w:tc>
          <w:tcPr>
            <w:tcW w:w="14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CPCN</w:t>
            </w:r>
          </w:p>
        </w:tc>
        <w:tc>
          <w:tcPr>
            <w:tcW w:w="42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Certificate of Public Convenience and Necessity</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Purchase Right</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Preferred Stock Purchase Right</w:t>
            </w:r>
          </w:p>
        </w:tc>
        <w:tc>
          <w:tcPr>
            <w:tcW w:w="0" w:type="dxa"/>
            <w:vAlign w:val="bottom"/>
          </w:tcPr>
          <w:p>
            <w:pPr>
              <w:spacing w:after="0"/>
              <w:rPr>
                <w:sz w:val="1"/>
                <w:szCs w:val="1"/>
                <w:color w:val="auto"/>
              </w:rPr>
            </w:pPr>
          </w:p>
        </w:tc>
      </w:tr>
      <w:tr>
        <w:trPr>
          <w:trHeight w:val="227"/>
        </w:trPr>
        <w:tc>
          <w:tcPr>
            <w:tcW w:w="142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CPUC</w:t>
            </w:r>
          </w:p>
        </w:tc>
        <w:tc>
          <w:tcPr>
            <w:tcW w:w="428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California Public Utilities Commission</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Reform Act</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Private Securities Litigation Reform Act of 1995</w:t>
            </w:r>
          </w:p>
        </w:tc>
        <w:tc>
          <w:tcPr>
            <w:tcW w:w="0" w:type="dxa"/>
            <w:vAlign w:val="bottom"/>
          </w:tcPr>
          <w:p>
            <w:pPr>
              <w:spacing w:after="0"/>
              <w:rPr>
                <w:sz w:val="1"/>
                <w:szCs w:val="1"/>
                <w:color w:val="auto"/>
              </w:rPr>
            </w:pPr>
          </w:p>
        </w:tc>
      </w:tr>
      <w:tr>
        <w:trPr>
          <w:trHeight w:val="227"/>
        </w:trPr>
        <w:tc>
          <w:tcPr>
            <w:tcW w:w="14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CSF</w:t>
            </w:r>
          </w:p>
        </w:tc>
        <w:tc>
          <w:tcPr>
            <w:tcW w:w="42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Cybersecurity Framework</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QRP</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Qualified Retirement Plan</w:t>
            </w:r>
          </w:p>
        </w:tc>
        <w:tc>
          <w:tcPr>
            <w:tcW w:w="0" w:type="dxa"/>
            <w:vAlign w:val="bottom"/>
          </w:tcPr>
          <w:p>
            <w:pPr>
              <w:spacing w:after="0"/>
              <w:rPr>
                <w:sz w:val="1"/>
                <w:szCs w:val="1"/>
                <w:color w:val="auto"/>
              </w:rPr>
            </w:pPr>
          </w:p>
        </w:tc>
      </w:tr>
      <w:tr>
        <w:trPr>
          <w:trHeight w:val="227"/>
        </w:trPr>
        <w:tc>
          <w:tcPr>
            <w:tcW w:w="142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DART</w:t>
            </w:r>
          </w:p>
        </w:tc>
        <w:tc>
          <w:tcPr>
            <w:tcW w:w="428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Days Away/Restricted/Transferred</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Riggs Distler</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Riggs Distler &amp; Company, Inc.</w:t>
            </w:r>
          </w:p>
        </w:tc>
        <w:tc>
          <w:tcPr>
            <w:tcW w:w="0" w:type="dxa"/>
            <w:vAlign w:val="bottom"/>
          </w:tcPr>
          <w:p>
            <w:pPr>
              <w:spacing w:after="0"/>
              <w:rPr>
                <w:sz w:val="1"/>
                <w:szCs w:val="1"/>
                <w:color w:val="auto"/>
              </w:rPr>
            </w:pPr>
          </w:p>
        </w:tc>
      </w:tr>
      <w:tr>
        <w:trPr>
          <w:trHeight w:val="227"/>
        </w:trPr>
        <w:tc>
          <w:tcPr>
            <w:tcW w:w="14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DCA</w:t>
            </w:r>
          </w:p>
        </w:tc>
        <w:tc>
          <w:tcPr>
            <w:tcW w:w="42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Delivery Charge Adjustment</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RNG</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Renewable Natural Gas</w:t>
            </w:r>
          </w:p>
        </w:tc>
        <w:tc>
          <w:tcPr>
            <w:tcW w:w="0" w:type="dxa"/>
            <w:vAlign w:val="bottom"/>
          </w:tcPr>
          <w:p>
            <w:pPr>
              <w:spacing w:after="0"/>
              <w:rPr>
                <w:sz w:val="1"/>
                <w:szCs w:val="1"/>
                <w:color w:val="auto"/>
              </w:rPr>
            </w:pPr>
          </w:p>
        </w:tc>
      </w:tr>
      <w:tr>
        <w:trPr>
          <w:trHeight w:val="227"/>
        </w:trPr>
        <w:tc>
          <w:tcPr>
            <w:tcW w:w="142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Drum</w:t>
            </w:r>
          </w:p>
        </w:tc>
        <w:tc>
          <w:tcPr>
            <w:tcW w:w="428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Drum Parent, Inc.</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ROU</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Right-of-use</w:t>
            </w:r>
          </w:p>
        </w:tc>
        <w:tc>
          <w:tcPr>
            <w:tcW w:w="0" w:type="dxa"/>
            <w:vAlign w:val="bottom"/>
          </w:tcPr>
          <w:p>
            <w:pPr>
              <w:spacing w:after="0"/>
              <w:rPr>
                <w:sz w:val="1"/>
                <w:szCs w:val="1"/>
                <w:color w:val="auto"/>
              </w:rPr>
            </w:pPr>
          </w:p>
        </w:tc>
      </w:tr>
      <w:tr>
        <w:trPr>
          <w:trHeight w:val="227"/>
        </w:trPr>
        <w:tc>
          <w:tcPr>
            <w:tcW w:w="14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DIMP</w:t>
            </w:r>
          </w:p>
        </w:tc>
        <w:tc>
          <w:tcPr>
            <w:tcW w:w="42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Distribution Integrity Management Programs</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RUBA</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Residential customer uncollectible accounts</w:t>
            </w:r>
          </w:p>
        </w:tc>
        <w:tc>
          <w:tcPr>
            <w:tcW w:w="0" w:type="dxa"/>
            <w:vAlign w:val="bottom"/>
          </w:tcPr>
          <w:p>
            <w:pPr>
              <w:spacing w:after="0"/>
              <w:rPr>
                <w:sz w:val="1"/>
                <w:szCs w:val="1"/>
                <w:color w:val="auto"/>
              </w:rPr>
            </w:pPr>
          </w:p>
        </w:tc>
      </w:tr>
      <w:tr>
        <w:trPr>
          <w:trHeight w:val="227"/>
        </w:trPr>
        <w:tc>
          <w:tcPr>
            <w:tcW w:w="142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EADIT</w:t>
            </w:r>
          </w:p>
        </w:tc>
        <w:tc>
          <w:tcPr>
            <w:tcW w:w="428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Excess accumulated deferred income taxes</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Ruby</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Ruby Pipeline LLC</w:t>
            </w:r>
          </w:p>
        </w:tc>
        <w:tc>
          <w:tcPr>
            <w:tcW w:w="0" w:type="dxa"/>
            <w:vAlign w:val="bottom"/>
          </w:tcPr>
          <w:p>
            <w:pPr>
              <w:spacing w:after="0"/>
              <w:rPr>
                <w:sz w:val="1"/>
                <w:szCs w:val="1"/>
                <w:color w:val="auto"/>
              </w:rPr>
            </w:pPr>
          </w:p>
        </w:tc>
      </w:tr>
      <w:tr>
        <w:trPr>
          <w:trHeight w:val="227"/>
        </w:trPr>
        <w:tc>
          <w:tcPr>
            <w:tcW w:w="14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EIP</w:t>
            </w:r>
          </w:p>
        </w:tc>
        <w:tc>
          <w:tcPr>
            <w:tcW w:w="42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Employees’ Investment Plan</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S&amp;P</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Standard &amp; Poor’s</w:t>
            </w:r>
          </w:p>
        </w:tc>
        <w:tc>
          <w:tcPr>
            <w:tcW w:w="0" w:type="dxa"/>
            <w:vAlign w:val="bottom"/>
          </w:tcPr>
          <w:p>
            <w:pPr>
              <w:spacing w:after="0"/>
              <w:rPr>
                <w:sz w:val="1"/>
                <w:szCs w:val="1"/>
                <w:color w:val="auto"/>
              </w:rPr>
            </w:pPr>
          </w:p>
        </w:tc>
      </w:tr>
      <w:tr>
        <w:trPr>
          <w:trHeight w:val="227"/>
        </w:trPr>
        <w:tc>
          <w:tcPr>
            <w:tcW w:w="142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El Paso</w:t>
            </w:r>
          </w:p>
        </w:tc>
        <w:tc>
          <w:tcPr>
            <w:tcW w:w="428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El Paso Natural Gas Company</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SB</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Senate Bill</w:t>
            </w:r>
          </w:p>
        </w:tc>
        <w:tc>
          <w:tcPr>
            <w:tcW w:w="0" w:type="dxa"/>
            <w:vAlign w:val="bottom"/>
          </w:tcPr>
          <w:p>
            <w:pPr>
              <w:spacing w:after="0"/>
              <w:rPr>
                <w:sz w:val="1"/>
                <w:szCs w:val="1"/>
                <w:color w:val="auto"/>
              </w:rPr>
            </w:pPr>
          </w:p>
        </w:tc>
      </w:tr>
      <w:tr>
        <w:trPr>
          <w:trHeight w:val="227"/>
        </w:trPr>
        <w:tc>
          <w:tcPr>
            <w:tcW w:w="14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EPA</w:t>
            </w:r>
          </w:p>
        </w:tc>
        <w:tc>
          <w:tcPr>
            <w:tcW w:w="42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Environmental Protection Agency</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U.S. Securities and Exchange Commission</w:t>
            </w:r>
          </w:p>
        </w:tc>
        <w:tc>
          <w:tcPr>
            <w:tcW w:w="0" w:type="dxa"/>
            <w:vAlign w:val="bottom"/>
          </w:tcPr>
          <w:p>
            <w:pPr>
              <w:spacing w:after="0"/>
              <w:rPr>
                <w:sz w:val="1"/>
                <w:szCs w:val="1"/>
                <w:color w:val="auto"/>
              </w:rPr>
            </w:pPr>
          </w:p>
        </w:tc>
      </w:tr>
      <w:tr>
        <w:trPr>
          <w:trHeight w:val="174"/>
        </w:trPr>
        <w:tc>
          <w:tcPr>
            <w:tcW w:w="1420" w:type="dxa"/>
            <w:vAlign w:val="bottom"/>
            <w:tcBorders>
              <w:left w:val="single" w:sz="8" w:color="auto"/>
            </w:tcBorders>
            <w:shd w:val="clear" w:color="auto" w:fill="CCEEFF"/>
          </w:tcPr>
          <w:p>
            <w:pPr>
              <w:spacing w:after="0"/>
              <w:rPr>
                <w:sz w:val="15"/>
                <w:szCs w:val="15"/>
                <w:color w:val="auto"/>
              </w:rPr>
            </w:pPr>
          </w:p>
        </w:tc>
        <w:tc>
          <w:tcPr>
            <w:tcW w:w="4280" w:type="dxa"/>
            <w:vAlign w:val="bottom"/>
            <w:tcBorders>
              <w:right w:val="single" w:sz="8" w:color="auto"/>
            </w:tcBorders>
            <w:shd w:val="clear" w:color="auto" w:fill="CCEEFF"/>
          </w:tcPr>
          <w:p>
            <w:pPr>
              <w:spacing w:after="0"/>
              <w:rPr>
                <w:sz w:val="15"/>
                <w:szCs w:val="15"/>
                <w:color w:val="auto"/>
              </w:rPr>
            </w:pPr>
          </w:p>
        </w:tc>
        <w:tc>
          <w:tcPr>
            <w:tcW w:w="144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Securitization</w:t>
            </w:r>
          </w:p>
        </w:tc>
        <w:tc>
          <w:tcPr>
            <w:tcW w:w="412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142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EPS</w:t>
            </w:r>
          </w:p>
        </w:tc>
        <w:tc>
          <w:tcPr>
            <w:tcW w:w="428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Earnings per share</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 Securitization Facility</w:t>
            </w:r>
          </w:p>
        </w:tc>
        <w:tc>
          <w:tcPr>
            <w:tcW w:w="0" w:type="dxa"/>
            <w:vAlign w:val="bottom"/>
          </w:tcPr>
          <w:p>
            <w:pPr>
              <w:spacing w:after="0"/>
              <w:rPr>
                <w:sz w:val="1"/>
                <w:szCs w:val="1"/>
                <w:color w:val="auto"/>
              </w:rPr>
            </w:pPr>
          </w:p>
        </w:tc>
      </w:tr>
      <w:tr>
        <w:trPr>
          <w:trHeight w:val="227"/>
        </w:trPr>
        <w:tc>
          <w:tcPr>
            <w:tcW w:w="14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FASB</w:t>
            </w:r>
          </w:p>
        </w:tc>
        <w:tc>
          <w:tcPr>
            <w:tcW w:w="42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Financial Accounting Standards Board</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Series A Preferred</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Series A Junior Participating Preferred Stock</w:t>
            </w:r>
          </w:p>
        </w:tc>
        <w:tc>
          <w:tcPr>
            <w:tcW w:w="0" w:type="dxa"/>
            <w:vAlign w:val="bottom"/>
          </w:tcPr>
          <w:p>
            <w:pPr>
              <w:spacing w:after="0"/>
              <w:rPr>
                <w:sz w:val="1"/>
                <w:szCs w:val="1"/>
                <w:color w:val="auto"/>
              </w:rPr>
            </w:pPr>
          </w:p>
        </w:tc>
      </w:tr>
      <w:tr>
        <w:trPr>
          <w:trHeight w:val="227"/>
        </w:trPr>
        <w:tc>
          <w:tcPr>
            <w:tcW w:w="142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FERC</w:t>
            </w:r>
          </w:p>
        </w:tc>
        <w:tc>
          <w:tcPr>
            <w:tcW w:w="428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 Energy Regulatory Commission</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SERP</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Supplemental executive retirement plan</w:t>
            </w:r>
          </w:p>
        </w:tc>
        <w:tc>
          <w:tcPr>
            <w:tcW w:w="0" w:type="dxa"/>
            <w:vAlign w:val="bottom"/>
          </w:tcPr>
          <w:p>
            <w:pPr>
              <w:spacing w:after="0"/>
              <w:rPr>
                <w:sz w:val="1"/>
                <w:szCs w:val="1"/>
                <w:color w:val="auto"/>
              </w:rPr>
            </w:pPr>
          </w:p>
        </w:tc>
      </w:tr>
      <w:tr>
        <w:trPr>
          <w:trHeight w:val="227"/>
        </w:trPr>
        <w:tc>
          <w:tcPr>
            <w:tcW w:w="14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Fitch</w:t>
            </w:r>
          </w:p>
        </w:tc>
        <w:tc>
          <w:tcPr>
            <w:tcW w:w="42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Fitch Ratings</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SIM</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System Improvement Mechanism</w:t>
            </w:r>
          </w:p>
        </w:tc>
        <w:tc>
          <w:tcPr>
            <w:tcW w:w="0" w:type="dxa"/>
            <w:vAlign w:val="bottom"/>
          </w:tcPr>
          <w:p>
            <w:pPr>
              <w:spacing w:after="0"/>
              <w:rPr>
                <w:sz w:val="1"/>
                <w:szCs w:val="1"/>
                <w:color w:val="auto"/>
              </w:rPr>
            </w:pPr>
          </w:p>
        </w:tc>
      </w:tr>
      <w:tr>
        <w:trPr>
          <w:trHeight w:val="174"/>
        </w:trPr>
        <w:tc>
          <w:tcPr>
            <w:tcW w:w="1420" w:type="dxa"/>
            <w:vAlign w:val="bottom"/>
            <w:tcBorders>
              <w:left w:val="single" w:sz="8" w:color="auto"/>
            </w:tcBorders>
            <w:shd w:val="clear" w:color="auto" w:fill="CCEEFF"/>
          </w:tcPr>
          <w:p>
            <w:pPr>
              <w:spacing w:after="0"/>
              <w:rPr>
                <w:sz w:val="15"/>
                <w:szCs w:val="15"/>
                <w:color w:val="auto"/>
              </w:rPr>
            </w:pPr>
          </w:p>
        </w:tc>
        <w:tc>
          <w:tcPr>
            <w:tcW w:w="4280" w:type="dxa"/>
            <w:vAlign w:val="bottom"/>
            <w:tcBorders>
              <w:right w:val="single" w:sz="8" w:color="auto"/>
            </w:tcBorders>
            <w:shd w:val="clear" w:color="auto" w:fill="CCEEFF"/>
          </w:tcPr>
          <w:p>
            <w:pPr>
              <w:spacing w:after="0"/>
              <w:rPr>
                <w:sz w:val="15"/>
                <w:szCs w:val="15"/>
                <w:color w:val="auto"/>
              </w:rPr>
            </w:pPr>
          </w:p>
        </w:tc>
        <w:tc>
          <w:tcPr>
            <w:tcW w:w="144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Southwest Gas, or</w:t>
            </w:r>
          </w:p>
        </w:tc>
        <w:tc>
          <w:tcPr>
            <w:tcW w:w="412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420" w:type="dxa"/>
            <w:vAlign w:val="bottom"/>
            <w:tcBorders>
              <w:left w:val="single" w:sz="8" w:color="auto"/>
            </w:tcBorders>
            <w:shd w:val="clear" w:color="auto" w:fill="CCEEFF"/>
          </w:tcPr>
          <w:p>
            <w:pPr>
              <w:spacing w:after="0"/>
              <w:rPr>
                <w:sz w:val="15"/>
                <w:szCs w:val="15"/>
                <w:color w:val="auto"/>
              </w:rPr>
            </w:pPr>
          </w:p>
        </w:tc>
        <w:tc>
          <w:tcPr>
            <w:tcW w:w="4280" w:type="dxa"/>
            <w:vAlign w:val="bottom"/>
            <w:tcBorders>
              <w:right w:val="single" w:sz="8" w:color="auto"/>
            </w:tcBorders>
            <w:shd w:val="clear" w:color="auto" w:fill="CCEEFF"/>
          </w:tcPr>
          <w:p>
            <w:pPr>
              <w:spacing w:after="0"/>
              <w:rPr>
                <w:sz w:val="15"/>
                <w:szCs w:val="15"/>
                <w:color w:val="auto"/>
              </w:rPr>
            </w:pPr>
          </w:p>
        </w:tc>
        <w:tc>
          <w:tcPr>
            <w:tcW w:w="14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Natural Gas</w:t>
            </w:r>
          </w:p>
        </w:tc>
        <w:tc>
          <w:tcPr>
            <w:tcW w:w="412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42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FSIRS</w:t>
            </w:r>
          </w:p>
        </w:tc>
        <w:tc>
          <w:tcPr>
            <w:tcW w:w="428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Forward-starting interest rate swaps</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Southwest Gas Corporation and its subsidiaries</w:t>
            </w:r>
          </w:p>
        </w:tc>
        <w:tc>
          <w:tcPr>
            <w:tcW w:w="0" w:type="dxa"/>
            <w:vAlign w:val="bottom"/>
          </w:tcPr>
          <w:p>
            <w:pPr>
              <w:spacing w:after="0"/>
              <w:rPr>
                <w:sz w:val="1"/>
                <w:szCs w:val="1"/>
                <w:color w:val="auto"/>
              </w:rPr>
            </w:pPr>
          </w:p>
        </w:tc>
      </w:tr>
      <w:tr>
        <w:trPr>
          <w:trHeight w:val="174"/>
        </w:trPr>
        <w:tc>
          <w:tcPr>
            <w:tcW w:w="1420" w:type="dxa"/>
            <w:vAlign w:val="bottom"/>
            <w:tcBorders>
              <w:left w:val="single" w:sz="8" w:color="auto"/>
            </w:tcBorders>
          </w:tcPr>
          <w:p>
            <w:pPr>
              <w:spacing w:after="0"/>
              <w:rPr>
                <w:sz w:val="15"/>
                <w:szCs w:val="15"/>
                <w:color w:val="auto"/>
              </w:rPr>
            </w:pPr>
          </w:p>
        </w:tc>
        <w:tc>
          <w:tcPr>
            <w:tcW w:w="4280" w:type="dxa"/>
            <w:vAlign w:val="bottom"/>
            <w:tcBorders>
              <w:right w:val="single" w:sz="8" w:color="auto"/>
            </w:tcBorders>
          </w:tcPr>
          <w:p>
            <w:pPr>
              <w:ind w:left="140"/>
              <w:spacing w:after="0" w:line="174" w:lineRule="exact"/>
              <w:rPr>
                <w:sz w:val="20"/>
                <w:szCs w:val="20"/>
                <w:color w:val="auto"/>
              </w:rPr>
            </w:pPr>
            <w:r>
              <w:rPr>
                <w:rFonts w:ascii="Times New Roman" w:cs="Times New Roman" w:eastAsia="Times New Roman" w:hAnsi="Times New Roman"/>
                <w:sz w:val="18"/>
                <w:szCs w:val="18"/>
                <w:color w:val="auto"/>
              </w:rPr>
              <w:t>Accounting principles generally accepted in the United</w:t>
            </w:r>
          </w:p>
        </w:tc>
        <w:tc>
          <w:tcPr>
            <w:tcW w:w="144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Southwest Gas</w:t>
            </w:r>
          </w:p>
        </w:tc>
        <w:tc>
          <w:tcPr>
            <w:tcW w:w="4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14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GAAP</w:t>
            </w:r>
          </w:p>
        </w:tc>
        <w:tc>
          <w:tcPr>
            <w:tcW w:w="42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States</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Holdings</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Southwest Gas Holdings, Inc. (standalone)</w:t>
            </w:r>
          </w:p>
        </w:tc>
        <w:tc>
          <w:tcPr>
            <w:tcW w:w="0" w:type="dxa"/>
            <w:vAlign w:val="bottom"/>
          </w:tcPr>
          <w:p>
            <w:pPr>
              <w:spacing w:after="0"/>
              <w:rPr>
                <w:sz w:val="1"/>
                <w:szCs w:val="1"/>
                <w:color w:val="auto"/>
              </w:rPr>
            </w:pPr>
          </w:p>
        </w:tc>
      </w:tr>
      <w:tr>
        <w:trPr>
          <w:trHeight w:val="227"/>
        </w:trPr>
        <w:tc>
          <w:tcPr>
            <w:tcW w:w="142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GCBA</w:t>
            </w:r>
          </w:p>
        </w:tc>
        <w:tc>
          <w:tcPr>
            <w:tcW w:w="428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Gas Cost Balancing Account</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SOFR</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Secured Overnight Financing Rate</w:t>
            </w:r>
          </w:p>
        </w:tc>
        <w:tc>
          <w:tcPr>
            <w:tcW w:w="0" w:type="dxa"/>
            <w:vAlign w:val="bottom"/>
          </w:tcPr>
          <w:p>
            <w:pPr>
              <w:spacing w:after="0"/>
              <w:rPr>
                <w:sz w:val="1"/>
                <w:szCs w:val="1"/>
                <w:color w:val="auto"/>
              </w:rPr>
            </w:pPr>
          </w:p>
        </w:tc>
      </w:tr>
      <w:tr>
        <w:trPr>
          <w:trHeight w:val="227"/>
        </w:trPr>
        <w:tc>
          <w:tcPr>
            <w:tcW w:w="14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GHG</w:t>
            </w:r>
          </w:p>
        </w:tc>
        <w:tc>
          <w:tcPr>
            <w:tcW w:w="42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Greenhouse gases</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SPE</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Special Purpose Entity</w:t>
            </w:r>
          </w:p>
        </w:tc>
        <w:tc>
          <w:tcPr>
            <w:tcW w:w="0" w:type="dxa"/>
            <w:vAlign w:val="bottom"/>
          </w:tcPr>
          <w:p>
            <w:pPr>
              <w:spacing w:after="0"/>
              <w:rPr>
                <w:sz w:val="1"/>
                <w:szCs w:val="1"/>
                <w:color w:val="auto"/>
              </w:rPr>
            </w:pPr>
          </w:p>
        </w:tc>
      </w:tr>
      <w:tr>
        <w:trPr>
          <w:trHeight w:val="227"/>
        </w:trPr>
        <w:tc>
          <w:tcPr>
            <w:tcW w:w="142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GILTI</w:t>
            </w:r>
          </w:p>
        </w:tc>
        <w:tc>
          <w:tcPr>
            <w:tcW w:w="428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Global Intangible Low-Taxed Income</w:t>
            </w:r>
          </w:p>
        </w:tc>
        <w:tc>
          <w:tcPr>
            <w:tcW w:w="5560" w:type="dxa"/>
            <w:vAlign w:val="bottom"/>
            <w:tcBorders>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Spin-Off Transaction Spin-off of Centuri Holdings, Inc.</w:t>
            </w:r>
          </w:p>
        </w:tc>
        <w:tc>
          <w:tcPr>
            <w:tcW w:w="0" w:type="dxa"/>
            <w:vAlign w:val="bottom"/>
          </w:tcPr>
          <w:p>
            <w:pPr>
              <w:spacing w:after="0"/>
              <w:rPr>
                <w:sz w:val="1"/>
                <w:szCs w:val="1"/>
                <w:color w:val="auto"/>
              </w:rPr>
            </w:pPr>
          </w:p>
        </w:tc>
      </w:tr>
      <w:tr>
        <w:trPr>
          <w:trHeight w:val="174"/>
        </w:trPr>
        <w:tc>
          <w:tcPr>
            <w:tcW w:w="1420" w:type="dxa"/>
            <w:vAlign w:val="bottom"/>
            <w:tcBorders>
              <w:left w:val="single" w:sz="8" w:color="auto"/>
            </w:tcBorders>
          </w:tcPr>
          <w:p>
            <w:pPr>
              <w:spacing w:after="0"/>
              <w:rPr>
                <w:sz w:val="15"/>
                <w:szCs w:val="15"/>
                <w:color w:val="auto"/>
              </w:rPr>
            </w:pPr>
          </w:p>
        </w:tc>
        <w:tc>
          <w:tcPr>
            <w:tcW w:w="4280" w:type="dxa"/>
            <w:vAlign w:val="bottom"/>
            <w:tcBorders>
              <w:right w:val="single" w:sz="8" w:color="auto"/>
            </w:tcBorders>
          </w:tcPr>
          <w:p>
            <w:pPr>
              <w:spacing w:after="0"/>
              <w:rPr>
                <w:sz w:val="15"/>
                <w:szCs w:val="15"/>
                <w:color w:val="auto"/>
              </w:rPr>
            </w:pPr>
          </w:p>
        </w:tc>
        <w:tc>
          <w:tcPr>
            <w:tcW w:w="144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Tax Assets</w:t>
            </w:r>
          </w:p>
        </w:tc>
        <w:tc>
          <w:tcPr>
            <w:tcW w:w="4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14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GRA</w:t>
            </w:r>
          </w:p>
        </w:tc>
        <w:tc>
          <w:tcPr>
            <w:tcW w:w="42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General Revenues Adjustment</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Agreement</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Unutilized Tax Assets Settlement Agreement</w:t>
            </w:r>
          </w:p>
        </w:tc>
        <w:tc>
          <w:tcPr>
            <w:tcW w:w="0" w:type="dxa"/>
            <w:vAlign w:val="bottom"/>
          </w:tcPr>
          <w:p>
            <w:pPr>
              <w:spacing w:after="0"/>
              <w:rPr>
                <w:sz w:val="1"/>
                <w:szCs w:val="1"/>
                <w:color w:val="auto"/>
              </w:rPr>
            </w:pPr>
          </w:p>
        </w:tc>
      </w:tr>
      <w:tr>
        <w:trPr>
          <w:trHeight w:val="227"/>
        </w:trPr>
        <w:tc>
          <w:tcPr>
            <w:tcW w:w="142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Great Basin</w:t>
            </w:r>
          </w:p>
        </w:tc>
        <w:tc>
          <w:tcPr>
            <w:tcW w:w="428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Great Basin Gas Transmission Company</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T&amp;M</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Time-and-materials</w:t>
            </w:r>
          </w:p>
        </w:tc>
        <w:tc>
          <w:tcPr>
            <w:tcW w:w="0" w:type="dxa"/>
            <w:vAlign w:val="bottom"/>
          </w:tcPr>
          <w:p>
            <w:pPr>
              <w:spacing w:after="0"/>
              <w:rPr>
                <w:sz w:val="1"/>
                <w:szCs w:val="1"/>
                <w:color w:val="auto"/>
              </w:rPr>
            </w:pPr>
          </w:p>
        </w:tc>
      </w:tr>
      <w:tr>
        <w:trPr>
          <w:trHeight w:val="227"/>
        </w:trPr>
        <w:tc>
          <w:tcPr>
            <w:tcW w:w="14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HB</w:t>
            </w:r>
          </w:p>
        </w:tc>
        <w:tc>
          <w:tcPr>
            <w:tcW w:w="42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House Bill</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TEAM</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Tax Expense Adjustor Mechanism</w:t>
            </w:r>
          </w:p>
        </w:tc>
        <w:tc>
          <w:tcPr>
            <w:tcW w:w="0" w:type="dxa"/>
            <w:vAlign w:val="bottom"/>
          </w:tcPr>
          <w:p>
            <w:pPr>
              <w:spacing w:after="0"/>
              <w:rPr>
                <w:sz w:val="1"/>
                <w:szCs w:val="1"/>
                <w:color w:val="auto"/>
              </w:rPr>
            </w:pPr>
          </w:p>
        </w:tc>
      </w:tr>
      <w:tr>
        <w:trPr>
          <w:trHeight w:val="174"/>
        </w:trPr>
        <w:tc>
          <w:tcPr>
            <w:tcW w:w="1420" w:type="dxa"/>
            <w:vAlign w:val="bottom"/>
            <w:tcBorders>
              <w:left w:val="single" w:sz="8" w:color="auto"/>
            </w:tcBorders>
            <w:shd w:val="clear" w:color="auto" w:fill="CCEEFF"/>
          </w:tcPr>
          <w:p>
            <w:pPr>
              <w:spacing w:after="0"/>
              <w:rPr>
                <w:sz w:val="15"/>
                <w:szCs w:val="15"/>
                <w:color w:val="auto"/>
              </w:rPr>
            </w:pPr>
          </w:p>
        </w:tc>
        <w:tc>
          <w:tcPr>
            <w:tcW w:w="4280" w:type="dxa"/>
            <w:vAlign w:val="bottom"/>
            <w:tcBorders>
              <w:right w:val="single" w:sz="8" w:color="auto"/>
            </w:tcBorders>
            <w:shd w:val="clear" w:color="auto" w:fill="CCEEFF"/>
          </w:tcPr>
          <w:p>
            <w:pPr>
              <w:ind w:left="140"/>
              <w:spacing w:after="0" w:line="174" w:lineRule="exact"/>
              <w:rPr>
                <w:sz w:val="20"/>
                <w:szCs w:val="20"/>
                <w:color w:val="auto"/>
              </w:rPr>
            </w:pPr>
            <w:r>
              <w:rPr>
                <w:rFonts w:ascii="Times New Roman" w:cs="Times New Roman" w:eastAsia="Times New Roman" w:hAnsi="Times New Roman"/>
                <w:sz w:val="18"/>
                <w:szCs w:val="18"/>
                <w:color w:val="auto"/>
              </w:rPr>
              <w:t>Carl C. Icahn and the persons and entities listed in the</w:t>
            </w:r>
          </w:p>
        </w:tc>
        <w:tc>
          <w:tcPr>
            <w:tcW w:w="1440" w:type="dxa"/>
            <w:vAlign w:val="bottom"/>
            <w:shd w:val="clear" w:color="auto" w:fill="CCEEFF"/>
          </w:tcPr>
          <w:p>
            <w:pPr>
              <w:spacing w:after="0"/>
              <w:rPr>
                <w:sz w:val="15"/>
                <w:szCs w:val="15"/>
                <w:color w:val="auto"/>
              </w:rPr>
            </w:pPr>
          </w:p>
        </w:tc>
        <w:tc>
          <w:tcPr>
            <w:tcW w:w="412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142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Icahn Group</w:t>
            </w:r>
          </w:p>
        </w:tc>
        <w:tc>
          <w:tcPr>
            <w:tcW w:w="428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cooperation agreement</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Transwestern</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Transwestern Pipeline Company</w:t>
            </w:r>
          </w:p>
        </w:tc>
        <w:tc>
          <w:tcPr>
            <w:tcW w:w="0" w:type="dxa"/>
            <w:vAlign w:val="bottom"/>
          </w:tcPr>
          <w:p>
            <w:pPr>
              <w:spacing w:after="0"/>
              <w:rPr>
                <w:sz w:val="1"/>
                <w:szCs w:val="1"/>
                <w:color w:val="auto"/>
              </w:rPr>
            </w:pPr>
          </w:p>
        </w:tc>
      </w:tr>
      <w:tr>
        <w:trPr>
          <w:trHeight w:val="174"/>
        </w:trPr>
        <w:tc>
          <w:tcPr>
            <w:tcW w:w="1420" w:type="dxa"/>
            <w:vAlign w:val="bottom"/>
            <w:tcBorders>
              <w:left w:val="single" w:sz="8" w:color="auto"/>
            </w:tcBorders>
          </w:tcPr>
          <w:p>
            <w:pPr>
              <w:spacing w:after="0"/>
              <w:rPr>
                <w:sz w:val="15"/>
                <w:szCs w:val="15"/>
                <w:color w:val="auto"/>
              </w:rPr>
            </w:pPr>
          </w:p>
        </w:tc>
        <w:tc>
          <w:tcPr>
            <w:tcW w:w="4280" w:type="dxa"/>
            <w:vAlign w:val="bottom"/>
            <w:tcBorders>
              <w:right w:val="single" w:sz="8" w:color="auto"/>
            </w:tcBorders>
          </w:tcPr>
          <w:p>
            <w:pPr>
              <w:spacing w:after="0"/>
              <w:rPr>
                <w:sz w:val="15"/>
                <w:szCs w:val="15"/>
                <w:color w:val="auto"/>
              </w:rPr>
            </w:pPr>
          </w:p>
        </w:tc>
        <w:tc>
          <w:tcPr>
            <w:tcW w:w="1440" w:type="dxa"/>
            <w:vAlign w:val="bottom"/>
          </w:tcPr>
          <w:p>
            <w:pPr>
              <w:spacing w:after="0"/>
              <w:rPr>
                <w:sz w:val="15"/>
                <w:szCs w:val="15"/>
                <w:color w:val="auto"/>
              </w:rPr>
            </w:pPr>
          </w:p>
        </w:tc>
        <w:tc>
          <w:tcPr>
            <w:tcW w:w="4120" w:type="dxa"/>
            <w:vAlign w:val="bottom"/>
            <w:tcBorders>
              <w:right w:val="single" w:sz="8" w:color="auto"/>
            </w:tcBorders>
          </w:tcPr>
          <w:p>
            <w:pPr>
              <w:ind w:left="120"/>
              <w:spacing w:after="0" w:line="174" w:lineRule="exact"/>
              <w:rPr>
                <w:sz w:val="20"/>
                <w:szCs w:val="20"/>
                <w:color w:val="auto"/>
              </w:rPr>
            </w:pPr>
            <w:r>
              <w:rPr>
                <w:rFonts w:ascii="Times New Roman" w:cs="Times New Roman" w:eastAsia="Times New Roman" w:hAnsi="Times New Roman"/>
                <w:sz w:val="18"/>
                <w:szCs w:val="18"/>
                <w:color w:val="auto"/>
              </w:rPr>
              <w:t>U.S. Department of Homeland Security Transportation</w:t>
            </w:r>
          </w:p>
        </w:tc>
        <w:tc>
          <w:tcPr>
            <w:tcW w:w="0" w:type="dxa"/>
            <w:vAlign w:val="bottom"/>
          </w:tcPr>
          <w:p>
            <w:pPr>
              <w:spacing w:after="0"/>
              <w:rPr>
                <w:sz w:val="1"/>
                <w:szCs w:val="1"/>
                <w:color w:val="auto"/>
              </w:rPr>
            </w:pPr>
          </w:p>
        </w:tc>
      </w:tr>
      <w:tr>
        <w:trPr>
          <w:trHeight w:val="241"/>
        </w:trPr>
        <w:tc>
          <w:tcPr>
            <w:tcW w:w="14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IDRB</w:t>
            </w:r>
          </w:p>
        </w:tc>
        <w:tc>
          <w:tcPr>
            <w:tcW w:w="42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Industrial Development Revenue Bonds</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TSA</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Security Administration</w:t>
            </w:r>
          </w:p>
        </w:tc>
        <w:tc>
          <w:tcPr>
            <w:tcW w:w="0" w:type="dxa"/>
            <w:vAlign w:val="bottom"/>
          </w:tcPr>
          <w:p>
            <w:pPr>
              <w:spacing w:after="0"/>
              <w:rPr>
                <w:sz w:val="1"/>
                <w:szCs w:val="1"/>
                <w:color w:val="auto"/>
              </w:rPr>
            </w:pPr>
          </w:p>
        </w:tc>
      </w:tr>
      <w:tr>
        <w:trPr>
          <w:trHeight w:val="227"/>
        </w:trPr>
        <w:tc>
          <w:tcPr>
            <w:tcW w:w="142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IPO</w:t>
            </w:r>
          </w:p>
        </w:tc>
        <w:tc>
          <w:tcPr>
            <w:tcW w:w="428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Initial public offering</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TSR</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shareholder return</w:t>
            </w:r>
          </w:p>
        </w:tc>
        <w:tc>
          <w:tcPr>
            <w:tcW w:w="0" w:type="dxa"/>
            <w:vAlign w:val="bottom"/>
          </w:tcPr>
          <w:p>
            <w:pPr>
              <w:spacing w:after="0"/>
              <w:rPr>
                <w:sz w:val="1"/>
                <w:szCs w:val="1"/>
                <w:color w:val="auto"/>
              </w:rPr>
            </w:pPr>
          </w:p>
        </w:tc>
      </w:tr>
      <w:tr>
        <w:trPr>
          <w:trHeight w:val="227"/>
        </w:trPr>
        <w:tc>
          <w:tcPr>
            <w:tcW w:w="14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IRS</w:t>
            </w:r>
          </w:p>
        </w:tc>
        <w:tc>
          <w:tcPr>
            <w:tcW w:w="42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Internal Revenue Service</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Tuscarora</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Tuscarora Gas Pipeline Company</w:t>
            </w:r>
          </w:p>
        </w:tc>
        <w:tc>
          <w:tcPr>
            <w:tcW w:w="0" w:type="dxa"/>
            <w:vAlign w:val="bottom"/>
          </w:tcPr>
          <w:p>
            <w:pPr>
              <w:spacing w:after="0"/>
              <w:rPr>
                <w:sz w:val="1"/>
                <w:szCs w:val="1"/>
                <w:color w:val="auto"/>
              </w:rPr>
            </w:pPr>
          </w:p>
        </w:tc>
      </w:tr>
      <w:tr>
        <w:trPr>
          <w:trHeight w:val="174"/>
        </w:trPr>
        <w:tc>
          <w:tcPr>
            <w:tcW w:w="1420" w:type="dxa"/>
            <w:vAlign w:val="bottom"/>
            <w:tcBorders>
              <w:left w:val="single" w:sz="8" w:color="auto"/>
            </w:tcBorders>
            <w:shd w:val="clear" w:color="auto" w:fill="CCEEFF"/>
          </w:tcPr>
          <w:p>
            <w:pPr>
              <w:spacing w:after="0"/>
              <w:rPr>
                <w:sz w:val="15"/>
                <w:szCs w:val="15"/>
                <w:color w:val="auto"/>
              </w:rPr>
            </w:pPr>
          </w:p>
        </w:tc>
        <w:tc>
          <w:tcPr>
            <w:tcW w:w="4280" w:type="dxa"/>
            <w:vAlign w:val="bottom"/>
            <w:tcBorders>
              <w:right w:val="single" w:sz="8" w:color="auto"/>
            </w:tcBorders>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4120" w:type="dxa"/>
            <w:vAlign w:val="bottom"/>
            <w:tcBorders>
              <w:right w:val="single" w:sz="8" w:color="auto"/>
            </w:tcBorders>
            <w:shd w:val="clear" w:color="auto" w:fill="CCEEFF"/>
          </w:tcPr>
          <w:p>
            <w:pPr>
              <w:ind w:left="120"/>
              <w:spacing w:after="0" w:line="174" w:lineRule="exact"/>
              <w:rPr>
                <w:sz w:val="20"/>
                <w:szCs w:val="20"/>
                <w:color w:val="auto"/>
              </w:rPr>
            </w:pPr>
            <w:r>
              <w:rPr>
                <w:rFonts w:ascii="Times New Roman" w:cs="Times New Roman" w:eastAsia="Times New Roman" w:hAnsi="Times New Roman"/>
                <w:sz w:val="18"/>
                <w:szCs w:val="18"/>
                <w:color w:val="auto"/>
              </w:rPr>
              <w:t>Automatic Shelf Registration Statement (File No. 333-</w:t>
            </w:r>
          </w:p>
        </w:tc>
        <w:tc>
          <w:tcPr>
            <w:tcW w:w="0" w:type="dxa"/>
            <w:vAlign w:val="bottom"/>
          </w:tcPr>
          <w:p>
            <w:pPr>
              <w:spacing w:after="0"/>
              <w:rPr>
                <w:sz w:val="1"/>
                <w:szCs w:val="1"/>
                <w:color w:val="auto"/>
              </w:rPr>
            </w:pPr>
          </w:p>
        </w:tc>
      </w:tr>
      <w:tr>
        <w:trPr>
          <w:trHeight w:val="241"/>
        </w:trPr>
        <w:tc>
          <w:tcPr>
            <w:tcW w:w="142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ITCs</w:t>
            </w:r>
          </w:p>
        </w:tc>
        <w:tc>
          <w:tcPr>
            <w:tcW w:w="428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tax credits</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Universal Shelf</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275774)</w:t>
            </w:r>
          </w:p>
        </w:tc>
        <w:tc>
          <w:tcPr>
            <w:tcW w:w="0" w:type="dxa"/>
            <w:vAlign w:val="bottom"/>
          </w:tcPr>
          <w:p>
            <w:pPr>
              <w:spacing w:after="0"/>
              <w:rPr>
                <w:sz w:val="1"/>
                <w:szCs w:val="1"/>
                <w:color w:val="auto"/>
              </w:rPr>
            </w:pPr>
          </w:p>
        </w:tc>
      </w:tr>
      <w:tr>
        <w:trPr>
          <w:trHeight w:val="227"/>
        </w:trPr>
        <w:tc>
          <w:tcPr>
            <w:tcW w:w="14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Kern River</w:t>
            </w:r>
          </w:p>
        </w:tc>
        <w:tc>
          <w:tcPr>
            <w:tcW w:w="42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Kern River Gas Transmission Company</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0" w:type="dxa"/>
            <w:vAlign w:val="bottom"/>
          </w:tcPr>
          <w:p>
            <w:pPr>
              <w:spacing w:after="0"/>
              <w:rPr>
                <w:sz w:val="1"/>
                <w:szCs w:val="1"/>
                <w:color w:val="auto"/>
              </w:rPr>
            </w:pPr>
          </w:p>
        </w:tc>
      </w:tr>
      <w:tr>
        <w:trPr>
          <w:trHeight w:val="227"/>
        </w:trPr>
        <w:tc>
          <w:tcPr>
            <w:tcW w:w="142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LDC</w:t>
            </w:r>
          </w:p>
        </w:tc>
        <w:tc>
          <w:tcPr>
            <w:tcW w:w="428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Local distribution company</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UGCE</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Unrecovered Gas Cost Expense</w:t>
            </w:r>
          </w:p>
        </w:tc>
        <w:tc>
          <w:tcPr>
            <w:tcW w:w="0" w:type="dxa"/>
            <w:vAlign w:val="bottom"/>
          </w:tcPr>
          <w:p>
            <w:pPr>
              <w:spacing w:after="0"/>
              <w:rPr>
                <w:sz w:val="1"/>
                <w:szCs w:val="1"/>
                <w:color w:val="auto"/>
              </w:rPr>
            </w:pPr>
          </w:p>
        </w:tc>
      </w:tr>
      <w:tr>
        <w:trPr>
          <w:trHeight w:val="227"/>
        </w:trPr>
        <w:tc>
          <w:tcPr>
            <w:tcW w:w="14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LDI</w:t>
            </w:r>
          </w:p>
        </w:tc>
        <w:tc>
          <w:tcPr>
            <w:tcW w:w="42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Liability-driven investment</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VCOs</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Voluntary carbon offsets</w:t>
            </w:r>
          </w:p>
        </w:tc>
        <w:tc>
          <w:tcPr>
            <w:tcW w:w="0" w:type="dxa"/>
            <w:vAlign w:val="bottom"/>
          </w:tcPr>
          <w:p>
            <w:pPr>
              <w:spacing w:after="0"/>
              <w:rPr>
                <w:sz w:val="1"/>
                <w:szCs w:val="1"/>
                <w:color w:val="auto"/>
              </w:rPr>
            </w:pPr>
          </w:p>
        </w:tc>
      </w:tr>
      <w:tr>
        <w:trPr>
          <w:trHeight w:val="227"/>
        </w:trPr>
        <w:tc>
          <w:tcPr>
            <w:tcW w:w="142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Linetec</w:t>
            </w:r>
          </w:p>
        </w:tc>
        <w:tc>
          <w:tcPr>
            <w:tcW w:w="428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Linetec Services, LLC</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WSN</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W.S. Nicholls Western Construction Ltd</w:t>
            </w:r>
          </w:p>
        </w:tc>
        <w:tc>
          <w:tcPr>
            <w:tcW w:w="0" w:type="dxa"/>
            <w:vAlign w:val="bottom"/>
          </w:tcPr>
          <w:p>
            <w:pPr>
              <w:spacing w:after="0"/>
              <w:rPr>
                <w:sz w:val="1"/>
                <w:szCs w:val="1"/>
                <w:color w:val="auto"/>
              </w:rPr>
            </w:pPr>
          </w:p>
        </w:tc>
      </w:tr>
      <w:tr>
        <w:trPr>
          <w:trHeight w:val="227"/>
        </w:trPr>
        <w:tc>
          <w:tcPr>
            <w:tcW w:w="1420" w:type="dxa"/>
            <w:vAlign w:val="bottom"/>
            <w:tcBorders>
              <w:left w:val="single" w:sz="8" w:color="auto"/>
              <w:bottom w:val="single" w:sz="8" w:color="auto"/>
            </w:tcBorders>
          </w:tcPr>
          <w:p>
            <w:pPr>
              <w:spacing w:after="0"/>
              <w:rPr>
                <w:sz w:val="19"/>
                <w:szCs w:val="19"/>
                <w:color w:val="auto"/>
              </w:rPr>
            </w:pPr>
          </w:p>
        </w:tc>
        <w:tc>
          <w:tcPr>
            <w:tcW w:w="428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Williams</w:t>
            </w:r>
          </w:p>
        </w:tc>
        <w:tc>
          <w:tcPr>
            <w:tcW w:w="41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Williams Partners Operating LLC</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60"/>
          </w:cols>
          <w:pgMar w:left="320" w:top="1163"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11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This annual report contains statements which constitute “forward-looking statements” within the meaning of the Reform Act. All statements other than statements of historical fact included or incorporated by reference in this annual report are forward-looking statements, including, without limitation, statements regarding the Company’s plans, objectives, goals, intentions, projections, strategies, future events or performance, negotiations, and underlying assumptions. The words “may,” “if,” “will,” “should,” “could,” “expect,” “plan,” “anticipate,” “believe,” “estimate,” “predict,” “project,” “continue,” “forecast,” “intend,” “endeavor,” “promote,” “seek,” “pursue,” and similar words and expressions are generally used and intended to identify forward-looking statements. For example, statements regarding plans to refinance near-term debt maturities, those regarding separating from Centuri following the completed IPO, by means of sales into the market, a distribution to Company stockholders, or through an exchange of Centuri shares for Company shares, or a combination thereof, and any references as to the timing of any separation of Centuri, those regarding operating margin patterns, customer growth, the composition of our customer base, price volatility, utility optimization initiatives, the level of expense or cost containment, seasonal patterns, the ability to pay debt, the Company’s COLI strategy, the magnitude of future acquisition or divestiture purchase price true-ups or post-closing payments and related impairments or losses related thereto, replacement market and new construction market, including opportunities believed to be available to Centuri in the utility infrastructure replacement market, the purpose and intentions regarding investment in replacement gas plant infrastructure by Southwest Gas, expectation that customers will continue service once established, the frequency of filing rate cases, impacts from pandemics, including on our employees, customers, business, financial position, earnings, bad debt expense, work deployment and related uncertainties, expected impacts of valuation adjustments associated with any redeemable noncontrolling interests, the profitability of storm work, mix of work, or absorption of fixed costs by larger infrastructure services customers including Southwest Gas, the impacts of U.S. tax reform including disposition in any regulatory proceeding and bonus depreciation tax deductions, expectations of a tax-free nature of a separation of Centuri to the Company or its stockholders or impacts from a tax or other deconsolidation of Centuri, the impact of recent Pipeline and Hazardous Materials Safety Administration rulemaking or proposed rulemaking, the amounts and timing for completion of estimated future construction expenditures, plans to pursue infrastructure programs and tracking mechanisms or programs under SB 151 legislation in Nevada, forecasted operating cash flows and results of operations, net earnings impacts or recovery of costs from gas infrastructure replacements, programs and mechanisms, or other mechanisms, funding sources of cash requirements, amounts generally expected to be reflected in future period revenues from regulatory rate proceedings including amounts requested, stipulated or settled from recent and ongoing general rate cases or other regulatory proceedings, rates and surcharges, PGA administration, recovery and timing, and other rate adjustments, sufficiency of working capital and current credit facilities or the ability to cure negative working capital balances, bank lending practices, the Company’s views regarding its liquidity position, ability to raise funds and receive external financing capacity and the intent and ability to issue various financing instruments and stock under an at-the-market equity program or otherwise, future dividends or increases and the Board’s current payout strategy, pension and postretirement benefits, assumptions used and the expectations regarding the treasury futures overlay, certain impacts of tax acts, the effect of any other rate changes or regulatory proceedings, contract or construction change order negotiations, impacts of accounting standards updates, statements regarding future gas prices, gas purchase contracts and pipeline imbalance charges or claims related thereto, recoverability of regulatory assets, the impact of certain legal proceedings or claims, and the timing and results of future rate hearings, including any ongoing or future general rate cases and other proceedings, and statements regarding pending approvals, including proposed regulatory mechanisms, or references to impacts believed to be timing-related, are forward-looking statements. All forward-looking statements are intended to be subject to the safe harbor protection provided by the Reform Act.</w:t>
      </w:r>
    </w:p>
    <w:p>
      <w:pPr>
        <w:spacing w:after="0" w:line="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 number of important factors affecting the business and financial results of the Company could cause actual results to differ materially from those stated in the forward-looking statements. These factors include, but are not limited to, customer growth rates, conditions in the housing market, inflation, interest rates and related government actions, including the impact of tariffs, sufficiency of labor markets and ability to timely hire qualified employees or similar resources, acquisition and divestiture decisions including prices paid or received, adjustments, indemnifications, or commitments related thereto, and their impacts to impairments, write-downs, or losses or expenses generally, the impacts of pandemics including that which may result from a restriction by government officials or otherwise, including impacts on employment in our territories, the health impacts to our customers and employees, the ability to collect on customer accounts due to the earlier suspension or lifted moratorium on late fees or service disconnection or escalation in customer rates or otherwise in any or all jurisdictions, the ability to obtain regulatory recovery of related costs, the ability of the infrastructure services business to conduct work and the impact of a delay or termination of work, and decisions of Centuri customers (including Southwest Gas) as to whether to pursue capital projects due to economic impacts resulting from a pandemic or otherwise, or to engage Centuri or its competitors for new or replacement work, the ability to recover and timing thereof related to costs associated with the PGA mechanisms or other regulatory assets or programs, the effects of regulation/deregulation, governmental or regulatory policy regarding pipeline safety, greenhouse gas emissions, natural gas, potential prohibitions on the use of natural gas by customers or potential customers, including related to electric generation or natural gas appliances, or regarding alternative energy, the regulatory support for ongoing infrastructure programs or expansions, the timing and amount of rate relief, the impact of other regulatory</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6" w:name="page7"/>
    <w:bookmarkEnd w:id="6"/>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proceedings, the timing and methods determined by regulators to refund amounts to customers resulting from U.S. tax reform, changes in rate design, impacts of other tax regulations, impacts to rate base or otherwise from deferred tax balances, including from IRS gas industry guidelines and the safe harbor method related to tax repairs or otherwise, variability in volume of gas or transportation service sold to customers, changes in gas procurement practices, changes in capital requirements and funding, the impact of credit rating actions and conditions in the capital markets on financing costs, changes in federal policies that affect U.S. relations with other countries, including with respect to taxes, trade policies, and tariffs, changes in construction expenditures and financing, levels of or changes in operations and maintenance expenses, or other costs, including fuel costs and other costs impacted by inflation, any tariffs, or otherwise, the results of any cost containment efforts, geopolitical influences on the business or its costs, effects of pension or other postretirement benefit expense forecasts, including related to discount rates, the treasury futures overlay mechanism, plan modifications, or other conditions, accounting changes and regulatory treatment related thereto, currently unresolved and future liability claims and disputes, changes in pipeline capacity for the transportation of gas and related costs, results of Centuri bid work, the impact of tariffs, weather, delays, or customer budgetary plans on Centuri’s operations, projections about acquired businesses’ earnings, or those that may be planned, future acquisition-related costs, differences between the actual experience and projections in costs to integrate or stand-up portions of newly acquired business operations, impacts of changes in the value of any redeemable noncontrolling interests if at other than fair value, Centuri utility infrastructure expenses, differences between actual and originally expected outcomes of Centuri bid or other fixed-price construction agreements, outcomes from contract and change order negotiations, ability to successfully procure new work and impacts from work awarded or failing to be awarded from significant customers (collectively, including from Southwest Gas) or related to significant projects, the mix of work awarded, the result of productivity inefficiencies from regulatory requirements or efficiencies in performing storm-related or other types of work, the frequency or amount of work associated with storms, customer supply chain challenges, or otherwise, delays or challenges in commissioning individual projects, acquisitions and management’s plans related thereto, the ability of management to successfully finance, close, and assimilate any acquired businesses, the timing, form, and ability of management to successfully consummate the Centuri separation following the completed IPO, the impact on our stock price or our credit ratings due to undertaking or failing to undertake acquisition or divestiture activities or other strategic endeavors, the impact on our stock price, costs, actions or disruptions or continuation thereof related to significant stockholders and their activism, competition, our ability to raise capital in external financings, our ability to continue to remain within the ratios and other limits subject to our debt covenants, and ongoing evaluations in regard to goodwill, including any impacts from separation deployment or partial separation or any other change impacting aggregation of reporting units in assessing goodwill for impairment or otherwise, evaluations of other intangible assets, and of utility optimization initiatives or deployments or uncompleted deployments thereof. In addition, the Company can provide no assurance that its discussions regarding certain trends or plans relating to its financing and operating expenses will continue, proceed as planned, or cease to continue, or fail to be alleviated, in future periods. For additional information on the risks associated with the Company’s business, see </w:t>
      </w:r>
      <w:r>
        <w:rPr>
          <w:rFonts w:ascii="Times New Roman" w:cs="Times New Roman" w:eastAsia="Times New Roman" w:hAnsi="Times New Roman"/>
          <w:sz w:val="18"/>
          <w:szCs w:val="18"/>
          <w:b w:val="1"/>
          <w:bCs w:val="1"/>
          <w:color w:val="auto"/>
        </w:rPr>
        <w:t>Item 1A. Risk Factors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Item 7A. Quantitative and Qualitative Disclosures About Market Risk</w:t>
      </w:r>
      <w:r>
        <w:rPr>
          <w:rFonts w:ascii="Times New Roman" w:cs="Times New Roman" w:eastAsia="Times New Roman" w:hAnsi="Times New Roman"/>
          <w:sz w:val="18"/>
          <w:szCs w:val="18"/>
          <w:color w:val="auto"/>
        </w:rPr>
        <w:t xml:space="preserve"> in this Annual Report on Form 10-K for the year ended December 31, 2024.</w:t>
      </w:r>
    </w:p>
    <w:p>
      <w:pPr>
        <w:spacing w:after="0" w:line="86"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 xml:space="preserve">All forward-looking statements in this annual report are made as of the date hereof, based on information available to the Company and Southwest Gas as of the date hereof, and the Company and Southwest Gas assume no obligation to update or revise any of their forward-looking statements even if experience or future changes show that the indicated results or events will not be realized. </w:t>
      </w:r>
      <w:r>
        <w:rPr>
          <w:rFonts w:ascii="Times New Roman" w:cs="Times New Roman" w:eastAsia="Times New Roman" w:hAnsi="Times New Roman"/>
          <w:sz w:val="17"/>
          <w:szCs w:val="17"/>
          <w:b w:val="1"/>
          <w:bCs w:val="1"/>
          <w:color w:val="auto"/>
        </w:rPr>
        <w:t>We caution you to not rely unduly on any forward-looking statement(s).</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54"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 Delaware corporation, is a holding company headquartered in Las Vegas, Nevada, owning all of the shares of common stock of Southwest Gas; until April 22, 2024, all of the shares of common stock of Centuri; and until February 14, 2023, all of the shares of common stock of MountainWest. References throughout this document to Centuri relate to Centuri Group, Inc. for periods prior to April 22, 2024, or subsequently, to Centuri Holdings, Inc. Following the sale of MountainWest, the Company operates two business segments, Natural Gas Distribution and Utility Infrastructure Services. The Company is incorporated in Delaware and Southwest Gas is incorporated in California.</w:t>
      </w:r>
    </w:p>
    <w:p>
      <w:pPr>
        <w:spacing w:after="0" w:line="7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The Company, through its primary operating wholly-owned subsidiary Southwest Gas, engages in the business of purchasing, distributing, and transporting natural gas for its customers. Southwest Gas is a dynamic energy company committed to exceeding the expectations of its more than two million customers throughout Arizona, Nevada, and California by providing safe and reliable service while innovating sustainable energy solutions to fuel the growth in its communities. In addition, the Company is the majority owner of Centuri, which provides comprehensive utility infrastructure services across North America.</w:t>
      </w:r>
    </w:p>
    <w:p>
      <w:pPr>
        <w:spacing w:after="0" w:line="6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December 2022, the Company announced that its Board unanimously determined to take strategic actions to simplify the Company’s portfolio of businesses. These actions included entering into a definitive agreement to sell 100% of MountainWest to Williams. The MountainWest sale closed on February 14, 2023. As such, limited information with respect to MountainWest is included in this Annual Report on Form 10-K.</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7" w:name="page8"/>
    <w:bookmarkEnd w:id="7"/>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Also as part of this simplification strategy, the Company previously communicated that it would pursue a separation of Centuri from the Company. In April 2024, the Company and Centuri announced the completion of the Centuri IPO. Following the Centuri IPO, the Company owns approximately 81% of Centuri’s common stock. Through the first quarter of 2024 and leading up to the Centuri IPO, Centuri was a wholly owned subsidiary of the Company. Centuri continues to be consolidated as an operating segment of the Company and under the Internal Revenue Code, and will continue to be consolidated until such time as the conditions for consolidation are no longer met. Centuri now makes separate filings with the SEC as a public company. The Company’s common stock continues to trade under the ticker symbol “SWX,” while Centuri’s common stock trades under the ticker symbol “CTRI.” See </w:t>
      </w:r>
      <w:r>
        <w:rPr>
          <w:rFonts w:ascii="Times New Roman" w:cs="Times New Roman" w:eastAsia="Times New Roman" w:hAnsi="Times New Roman"/>
          <w:sz w:val="18"/>
          <w:szCs w:val="18"/>
          <w:b w:val="1"/>
          <w:bCs w:val="1"/>
          <w:color w:val="auto"/>
        </w:rPr>
        <w:t>Note 15 -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Dispositions </w:t>
      </w:r>
      <w:r>
        <w:rPr>
          <w:rFonts w:ascii="Times New Roman" w:cs="Times New Roman" w:eastAsia="Times New Roman" w:hAnsi="Times New Roman"/>
          <w:sz w:val="18"/>
          <w:szCs w:val="18"/>
          <w:color w:val="auto"/>
        </w:rPr>
        <w:t>in the Notes to the Consolidated Financial Statements in Item 8.</w:t>
      </w:r>
    </w:p>
    <w:p>
      <w:pPr>
        <w:spacing w:after="0" w:line="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Southwest Gas and its subsidiaries provide regulated natural gas delivery services to customers in portions of Arizona, Nevada, and California to meet heating, cooking, and other household needs in residential communities across these territories, as well as to facilitate the ongoing business operations of commercial and industrial customers. Southwest Gas makes investments in infrastructure to support customer demand associated with population growth and economic development activity, and the safe and reliable operation of its system through adherence to integrity management programs. Public utility rates, practices, facilities, and service territories of Southwest Gas are subject to regulatory oversight. The timing and amount of rate relief can materially impact results of operations. Natural gas purchases and the timing of related recoveries can materially impact liquidity. Results for the natural gas distribution segment are higher during winter periods due to the seasonality incorporated in its regulatory rate structures.</w:t>
      </w:r>
    </w:p>
    <w:p>
      <w:pPr>
        <w:spacing w:after="0" w:line="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Centuri is a strategic utility infrastructure services company dedicated to partnering with North America’s electric and gas providers to build and maintain the energy network that powers millions of homes across the U.S. and Canada. Centuri’s skilled workforce delivers a comprehensive and integrated array of solutions through its primary operating companies: NPL, NPL Canada, Neuco, Linetec, Riggs Distler, and National. Centuri has strategically expanded its geographic reach and service offerings through organic and inorganic growth to better meet diverse customer needs across both electric and gas infrastructure, including growing customer attention to achieving environmental objectives. Utility infrastructure services activity is seasonal in most of Centuri’s operating areas. Peak periods are the summer and fall months in colder climate areas, such as the northeastern and midwestern U.S. and in Canada. In warmer climate areas, such as the southwestern and southeastern U.S., utility infrastructure services activity continues year round. The availability of customer-provided materials, input costs, nature of specific customer contracts, and timing of incorporation of costs in change orders, if at all, can materially impact results.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Financial information concerning the Company’s business segments is included in </w:t>
      </w:r>
      <w:r>
        <w:rPr>
          <w:rFonts w:ascii="Times New Roman" w:cs="Times New Roman" w:eastAsia="Times New Roman" w:hAnsi="Times New Roman"/>
          <w:sz w:val="18"/>
          <w:szCs w:val="18"/>
          <w:b w:val="1"/>
          <w:bCs w:val="1"/>
          <w:color w:val="auto"/>
        </w:rPr>
        <w:t>Note 13 - Segment Information</w:t>
      </w:r>
      <w:r>
        <w:rPr>
          <w:rFonts w:ascii="Times New Roman" w:cs="Times New Roman" w:eastAsia="Times New Roman" w:hAnsi="Times New Roman"/>
          <w:sz w:val="18"/>
          <w:szCs w:val="18"/>
          <w:color w:val="auto"/>
        </w:rPr>
        <w:t xml:space="preserve"> of the Notes to the Consolidated Financial Statements in Item 8.</w:t>
      </w:r>
    </w:p>
    <w:p>
      <w:pPr>
        <w:spacing w:after="0" w:line="5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maintains a website (www.swgasholdings.com) for the benefit of stockholders, investors, customers, and other interested parties. Similarly, Southwest Gas maintains a website (www.swgas.com) mainly focused on utility operations. The annual report on Form 10-K, quarterly reports on Form 10-Q, current reports on Form 8-K, and all amendments to those reports are available, free of charge, through the SEC’s website at www.sec.gov and the www.swgasholdings.com website as soon as reasonably practicable after such material is electronically filed with, or furnished to, the SEC. All Company SEC filings are also available on the www.swgasholdings.com website. Nothing included on our website shall be deemed to be a part of this Annual Report on Form 10-K. The Corporate Governance Guidelines, Code of Business Conduct and Ethics, and charters of the Nominating and Corporate Governance, Audit, and Compensation Committees of the Board are also available on the www.swgasholdings.com website. Print versions of these documents are available to stockholders upon request directed to the Corporate Secretary, Southwest Gas Holdings, Inc., 8360 S. Durango Drive, Las Vegas, NV 89113.</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NATURAL GAS DISTRIBUTION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Description</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Southwest Gas is subject to regulation by the ACC, the PUCN, and the CPUC. These commissions regulate public utility rates, practices, facilities, and service territories in their respective states. The CPUC also regulates the issuance of all debt securities by Southwest Gas, with the exception of short-term borrowings. Certain accounting practices, transmission facilities, and rates are subject to regulation by the FERC. Centuri, by contrast, is not rate regulated by the state utilities commissions or by the FERC in any of its operating areas.</w:t>
      </w:r>
    </w:p>
    <w:p>
      <w:pPr>
        <w:spacing w:after="0" w:line="7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As of December 31, 2024, Southwest Gas purchased and distributed or transported natural gas to approximately 2,258,000 residential, commercial, and industrial customers in geographically diverse portions of Arizona, Nevada, and California. Southwest Gas added 41,000 first-time meter sets during 2024.</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lists the percentage of operating margin (operating revenues less net cost of gas) by major customer class for the years indicated:</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5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gridSpan w:val="3"/>
          </w:tcPr>
          <w:p>
            <w:pPr>
              <w:ind w:left="1540"/>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20" w:type="dxa"/>
            <w:vAlign w:val="bottom"/>
            <w:gridSpan w:val="3"/>
          </w:tcPr>
          <w:p>
            <w:pPr>
              <w:spacing w:after="0"/>
              <w:rPr>
                <w:sz w:val="2"/>
                <w:szCs w:val="2"/>
                <w:color w:val="auto"/>
              </w:rPr>
            </w:pPr>
          </w:p>
        </w:tc>
        <w:tc>
          <w:tcPr>
            <w:tcW w:w="1540" w:type="dxa"/>
            <w:vAlign w:val="bottom"/>
            <w:gridSpan w:val="2"/>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2420" w:type="dxa"/>
            <w:vAlign w:val="bottom"/>
            <w:tcBorders>
              <w:top w:val="single" w:sz="8" w:color="auto"/>
            </w:tcBorders>
            <w:gridSpan w:val="3"/>
          </w:tcPr>
          <w:p>
            <w:pPr>
              <w:jc w:val="center"/>
              <w:ind w:right="560"/>
              <w:spacing w:after="0" w:line="129" w:lineRule="exact"/>
              <w:rPr>
                <w:sz w:val="20"/>
                <w:szCs w:val="20"/>
                <w:color w:val="auto"/>
              </w:rPr>
            </w:pPr>
            <w:r>
              <w:rPr>
                <w:rFonts w:ascii="Times New Roman" w:cs="Times New Roman" w:eastAsia="Times New Roman" w:hAnsi="Times New Roman"/>
                <w:sz w:val="14"/>
                <w:szCs w:val="14"/>
                <w:b w:val="1"/>
                <w:bCs w:val="1"/>
                <w:color w:val="auto"/>
              </w:rPr>
              <w:t>Residential and</w:t>
            </w:r>
          </w:p>
        </w:tc>
        <w:tc>
          <w:tcPr>
            <w:tcW w:w="1420" w:type="dxa"/>
            <w:vAlign w:val="bottom"/>
            <w:tcBorders>
              <w:top w:val="single" w:sz="8" w:color="auto"/>
            </w:tcBorders>
          </w:tcPr>
          <w:p>
            <w:pPr>
              <w:jc w:val="center"/>
              <w:ind w:right="358"/>
              <w:spacing w:after="0" w:line="129" w:lineRule="exact"/>
              <w:rPr>
                <w:sz w:val="20"/>
                <w:szCs w:val="20"/>
                <w:color w:val="auto"/>
              </w:rPr>
            </w:pPr>
            <w:r>
              <w:rPr>
                <w:rFonts w:ascii="Times New Roman" w:cs="Times New Roman" w:eastAsia="Times New Roman" w:hAnsi="Times New Roman"/>
                <w:sz w:val="14"/>
                <w:szCs w:val="14"/>
                <w:b w:val="1"/>
                <w:bCs w:val="1"/>
                <w:color w:val="auto"/>
              </w:rPr>
              <w:t>Other Sales</w:t>
            </w:r>
          </w:p>
        </w:tc>
        <w:tc>
          <w:tcPr>
            <w:tcW w:w="120" w:type="dxa"/>
            <w:vAlign w:val="bottom"/>
          </w:tcPr>
          <w:p>
            <w:pPr>
              <w:spacing w:after="0"/>
              <w:rPr>
                <w:sz w:val="11"/>
                <w:szCs w:val="11"/>
                <w:color w:val="auto"/>
              </w:rPr>
            </w:pPr>
          </w:p>
        </w:tc>
        <w:tc>
          <w:tcPr>
            <w:tcW w:w="186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0" w:type="dxa"/>
            <w:vAlign w:val="bottom"/>
          </w:tcPr>
          <w:p>
            <w:pPr>
              <w:spacing w:after="0"/>
              <w:rPr>
                <w:sz w:val="1"/>
                <w:szCs w:val="1"/>
                <w:color w:val="auto"/>
              </w:rPr>
            </w:pPr>
          </w:p>
        </w:tc>
      </w:tr>
      <w:tr>
        <w:trPr>
          <w:trHeight w:val="193"/>
        </w:trPr>
        <w:tc>
          <w:tcPr>
            <w:tcW w:w="5360" w:type="dxa"/>
            <w:vAlign w:val="bottom"/>
            <w:gridSpan w:val="2"/>
            <w:vMerge w:val="continue"/>
          </w:tcPr>
          <w:p>
            <w:pPr>
              <w:spacing w:after="0"/>
              <w:rPr>
                <w:sz w:val="16"/>
                <w:szCs w:val="16"/>
                <w:color w:val="auto"/>
              </w:rPr>
            </w:pPr>
          </w:p>
        </w:tc>
        <w:tc>
          <w:tcPr>
            <w:tcW w:w="242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Small Commercial</w:t>
            </w:r>
          </w:p>
        </w:tc>
        <w:tc>
          <w:tcPr>
            <w:tcW w:w="15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Customers</w:t>
            </w:r>
          </w:p>
        </w:tc>
        <w:tc>
          <w:tcPr>
            <w:tcW w:w="1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5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27"/>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27"/>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color w:val="auto"/>
        </w:rPr>
        <w:t>Southwest Gas is not dependent on any one or a few customers such that the loss of any one or several would have a significant adverse impact on earnings or cash flows.</w:t>
      </w:r>
    </w:p>
    <w:p>
      <w:pPr>
        <w:spacing w:after="0" w:line="5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Transportation of customer-secured gas to end-users accounted for 42% of total system throughput in 2024, but represents only 11% of operating margin as shown in the table above. Customers who utilized this service transported 93 million dekatherms in 2024, 86 million dekatherms in 2023, and 93 million dekatherms in 2022.</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demand for natural gas is seasonal, with greater demand in the colder winter months and decreased demand in the warmer summer months. It is the opinion of management that comparisons of earnings for interim periods do not reliably reflect overall trends and changes in operations due to this seasonality. The decoupled rate mechanisms in place in the three state service territories, as described below, are structured with seasonal variations. Also, earnings for interim, or any, periods can be significantly affected by the timing of general rate relief.</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Rates and Regulation</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Rates that Southwest Gas is authorized to charge its distribution system customers are determined by the ACC, PUCN, and CPUC, primarily in general rate cases, and are notably derived using rate base, cost of service, and cost of capital experienced in an historical test year, as adjusted in Arizona and Nevada, and projected for a future test year in California. The FERC regulates the northern Nevada transmission and LNG storage facilities of Great Basin, a wholly owned subsidiary, and the rates it charges for transportation of gas directly to certain end-users and to various LDCs. The LDCs transporting on the Great Basin system are NV Energy (serving Reno and Sparks, Nevada) and Southwest Gas (serving Truckee, South and North Lake Tahoe in California, and various locations throughout northern Nevada).</w:t>
      </w:r>
    </w:p>
    <w:p>
      <w:pPr>
        <w:spacing w:after="0" w:line="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Rates charged to customers vary according to customer class and rate jurisdiction and are set at levels that are intended to allow for the recovery of all commission-approved costs, including a return on rate base sufficient to pay interest on debt as well as a reasonable return on common equity in financing rate base investments. Rate base consists generally of the original cost of utility plant in service, net of amounts associated with costs borne by third parties, plus certain other assets such as working capital and inventories, less accumulated depreciation on utility plant in service, net deferred income tax liabilities, and certain other deductions. Southwest Gas files rate cases frequently, as necessary or required, to reduce the effect regulatory lag may have on revenue levels necessary to support its cost to serve customers, and in turn, to better align actual returns with allowable returns designed/authorized in rate proceedings.</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Rate structures in all service territories allow Southwest Gas to separate or “decouple” the recovery of operating margin from natural gas consumption, though decoupled structures (alternative revenue programs) vary by state. In California, authorized operating margin levels vary by month. In Nevada and Arizona, the decoupled rate structures apply to most customer classes on the basis of margin per customer, which varies by month. Collectively, these mechanisms provide stability in annual operating margin. Nearly all of our customers, and resulting revenue and margin, are included as part of mechanisms that reduce the impact of weather and volume variability on our earnings.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9" w:name="page10"/>
    <w:bookmarkEnd w:id="9"/>
    <w:p>
      <w:pPr>
        <w:jc w:val="both"/>
        <w:spacing w:after="0" w:line="263" w:lineRule="auto"/>
        <w:rPr>
          <w:sz w:val="20"/>
          <w:szCs w:val="20"/>
          <w:color w:val="auto"/>
        </w:rPr>
      </w:pPr>
      <w:r>
        <w:rPr>
          <w:rFonts w:ascii="Times New Roman" w:cs="Times New Roman" w:eastAsia="Times New Roman" w:hAnsi="Times New Roman"/>
          <w:sz w:val="18"/>
          <w:szCs w:val="18"/>
          <w:color w:val="auto"/>
        </w:rPr>
        <w:t>Rate schedules in all service areas contain deferred energy or purchased gas adjustment provisions, which allow Southwest Gas to file for rate adjustments as the cost of purchased gas changes. Deferred energy and PGA rate changes affect cash flows, but have no direct impact on profit margin. Filings to change rates in accordance with PGA clauses are subject to audit by the appropriate state regulatory commission staff.</w:t>
      </w:r>
    </w:p>
    <w:p>
      <w:pPr>
        <w:spacing w:after="0" w:line="6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Information with respect to recent general rate cases, PGA filings, and other regulatory proceedings can be found in the Rates and Regulatory Proceedings section of Management’s Discussion and Analysis included in Item 7.</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lists recent docketed general rate filings and the status of such filing within each ratemaking area:</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Ratemaking Area</w:t>
            </w:r>
          </w:p>
        </w:tc>
        <w:tc>
          <w:tcPr>
            <w:tcW w:w="1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Type of Filing</w:t>
            </w:r>
          </w:p>
        </w:tc>
        <w:tc>
          <w:tcPr>
            <w:tcW w:w="1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Month Filed</w:t>
            </w: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Month Final Rates</w:t>
            </w:r>
          </w:p>
        </w:tc>
        <w:tc>
          <w:tcPr>
            <w:tcW w:w="0" w:type="dxa"/>
            <w:vAlign w:val="bottom"/>
          </w:tcPr>
          <w:p>
            <w:pPr>
              <w:spacing w:after="0"/>
              <w:rPr>
                <w:sz w:val="1"/>
                <w:szCs w:val="1"/>
                <w:color w:val="auto"/>
              </w:rPr>
            </w:pPr>
          </w:p>
        </w:tc>
      </w:tr>
      <w:tr>
        <w:trPr>
          <w:trHeight w:val="193"/>
        </w:trPr>
        <w:tc>
          <w:tcPr>
            <w:tcW w:w="5600" w:type="dxa"/>
            <w:vAlign w:val="bottom"/>
            <w:gridSpan w:val="2"/>
            <w:vMerge w:val="continue"/>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Effective</w:t>
            </w:r>
          </w:p>
        </w:tc>
        <w:tc>
          <w:tcPr>
            <w:tcW w:w="0" w:type="dxa"/>
            <w:vAlign w:val="bottom"/>
          </w:tcPr>
          <w:p>
            <w:pPr>
              <w:spacing w:after="0"/>
              <w:rPr>
                <w:sz w:val="1"/>
                <w:szCs w:val="1"/>
                <w:color w:val="auto"/>
              </w:rPr>
            </w:pPr>
          </w:p>
        </w:tc>
      </w:tr>
      <w:tr>
        <w:trPr>
          <w:trHeight w:val="226"/>
        </w:trPr>
        <w:tc>
          <w:tcPr>
            <w:tcW w:w="5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Arizona*</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General rate case</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December 2021</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February 2023</w:t>
            </w:r>
          </w:p>
        </w:tc>
        <w:tc>
          <w:tcPr>
            <w:tcW w:w="0" w:type="dxa"/>
            <w:vAlign w:val="bottom"/>
          </w:tcPr>
          <w:p>
            <w:pPr>
              <w:spacing w:after="0"/>
              <w:rPr>
                <w:sz w:val="1"/>
                <w:szCs w:val="1"/>
                <w:color w:val="auto"/>
              </w:rPr>
            </w:pPr>
          </w:p>
        </w:tc>
      </w:tr>
      <w:tr>
        <w:trPr>
          <w:trHeight w:val="227"/>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Northern, Southern, and South Lake Tahoe**</w:t>
            </w:r>
          </w:p>
        </w:tc>
        <w:tc>
          <w:tcPr>
            <w:tcW w:w="18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General rate case</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August 2019</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2021</w:t>
            </w:r>
          </w:p>
        </w:tc>
        <w:tc>
          <w:tcPr>
            <w:tcW w:w="0" w:type="dxa"/>
            <w:vAlign w:val="bottom"/>
          </w:tcPr>
          <w:p>
            <w:pPr>
              <w:spacing w:after="0"/>
              <w:rPr>
                <w:sz w:val="1"/>
                <w:szCs w:val="1"/>
                <w:color w:val="auto"/>
              </w:rPr>
            </w:pPr>
          </w:p>
        </w:tc>
      </w:tr>
      <w:tr>
        <w:trPr>
          <w:trHeight w:val="227"/>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Nevada:</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Northern and Southern</w:t>
            </w:r>
          </w:p>
        </w:tc>
        <w:tc>
          <w:tcPr>
            <w:tcW w:w="18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General rate case</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September 2023</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0" w:type="dxa"/>
            <w:vAlign w:val="bottom"/>
          </w:tcPr>
          <w:p>
            <w:pPr>
              <w:spacing w:after="0"/>
              <w:rPr>
                <w:sz w:val="1"/>
                <w:szCs w:val="1"/>
                <w:color w:val="auto"/>
              </w:rPr>
            </w:pPr>
          </w:p>
        </w:tc>
      </w:tr>
      <w:tr>
        <w:trPr>
          <w:trHeight w:val="227"/>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FERC:</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Great Basin***</w:t>
            </w:r>
          </w:p>
        </w:tc>
        <w:tc>
          <w:tcPr>
            <w:tcW w:w="18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General rate case</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March 2024</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November 2024</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*Southwest Gas filed a general rate case in Arizona in February 2024, with rates expected to be effective in April 2025.</w:t>
      </w:r>
    </w:p>
    <w:p>
      <w:pPr>
        <w:spacing w:after="0" w:line="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**Southwest Gas filed a general rate case in California in September 2024, with rates expected to be effective in January 2026.</w:t>
      </w:r>
    </w:p>
    <w:p>
      <w:pPr>
        <w:spacing w:after="0" w:line="3" w:lineRule="exact"/>
        <w:rPr>
          <w:sz w:val="20"/>
          <w:szCs w:val="20"/>
          <w:color w:val="auto"/>
        </w:rPr>
      </w:pPr>
    </w:p>
    <w:p>
      <w:pPr>
        <w:ind w:left="160" w:right="360"/>
        <w:spacing w:after="0" w:line="270" w:lineRule="auto"/>
        <w:rPr>
          <w:sz w:val="20"/>
          <w:szCs w:val="20"/>
          <w:color w:val="auto"/>
        </w:rPr>
      </w:pPr>
      <w:r>
        <w:rPr>
          <w:rFonts w:ascii="Times New Roman" w:cs="Times New Roman" w:eastAsia="Times New Roman" w:hAnsi="Times New Roman"/>
          <w:sz w:val="16"/>
          <w:szCs w:val="16"/>
          <w:color w:val="auto"/>
        </w:rPr>
        <w:t>***Great Basin filed notice of a change in rates in March 2024. Motion rates, subject to refund, became effective September 2024 with a final decision expected in the second quarter of 2025.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Demand for Natural Gas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Deliveries of natural gas by Southwest Gas are made under a priority system established by state regulatory commissions. The priority system is intended to ensure that the gas requirements of higher-priority customers, primarily residential customers and other customers who use 500 therms or less of gas per day, are fully satisfied on a daily basis before lower-priority customers, primarily electric utility and large industrial customers able to use alternative fuels, are provided any quantity of gas or capacity.</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Demand for natural gas is greatly affected by temperature. On cold days, use of gas by residential and commercial customers can be as much as seven times greater than on warm days because of increased use of gas for space heating. To fully satisfy this increased high-priority demand, gas is withdrawn from storage in certain service areas, or peaking supplies are purchased from suppliers. If necessary, service to interruptible lower-priority customers may be curtailed to provide the needed delivery system capacity. Southwest Gas maintains no significant backlog on its orders for gas service.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Natural Gas Supply</w:t>
      </w:r>
    </w:p>
    <w:p>
      <w:pPr>
        <w:spacing w:after="0" w:line="11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Southwest Gas is responsible for acquiring and arranging delivery of natural gas to its system in sufficient quantities to meet its customers’ needs. Southwest Gas’ primary natural gas procurement objective is to ensure that adequate supplies of natural gas are available at a reasonable cost. Southwest Gas acquires natural gas from a wide variety of sources with a mix of purchase provisions, which includes spot market and firm supplies. The purchases may have terms from one day to several years and utilize both fixed and indexed pricing. During 2024, Southwest Gas acquired natural gas from 44 suppliers. Southwest Gas regularly monitors the number of suppliers, their performance, and their relative contribution to the overall customer supply portfolio. New suppliers are contracted when possible, and solicitations for supplies are extended to the largest practicable list of suppliers, taking into account each supplier’s creditworthiness. Competitive pricing, flexibility in meeting Southwest Gas’ requirements, and demonstrated reliability of service are instrumental to any one supplier’s inclusion in Southwest Gas’ portfolio. The goal of this practice is to mitigate the risk of nonperformance by any one supplier and ensure competitive prices in the portfolio.</w:t>
      </w:r>
    </w:p>
    <w:p>
      <w:pPr>
        <w:spacing w:after="0" w:line="8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Balancing reliability with supply cost results in a continually changing mix of purchase provisions within the supply portfolios. To address the unique requirements of its various market areas, Southwest Gas assembles and administers a separate natural gas supply portfolio for each of its jurisdictional areas. Southwest Gas facilitates most natural gas purchases through competitive bid processes.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mitigate customer exposure to short-term market price volatility, during 2024 Southwest Gas sought to fix the price on a portion of its forecasted annual normal-weather volume requirement (up to 25% in the California jurisdiction and to a limited extent, in the Arizona jurisdiction), primarily using firm, fixed-price purchasing arrangements that are secured periodically throughout the year. Southwest Gas does not currently plan to make fixed-price term purchases broadly other than in California (as set forth above), nor engage in financial swap transactions for any of its territories. However, plans could change as Southwest Gas monitors conditions and collaborates with regulatory commissions over time.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0" w:name="page11"/>
    <w:bookmarkEnd w:id="10"/>
    <w:p>
      <w:pPr>
        <w:jc w:val="both"/>
        <w:spacing w:after="0" w:line="258" w:lineRule="auto"/>
        <w:rPr>
          <w:sz w:val="20"/>
          <w:szCs w:val="20"/>
          <w:color w:val="auto"/>
        </w:rPr>
      </w:pPr>
      <w:r>
        <w:rPr>
          <w:rFonts w:ascii="Times New Roman" w:cs="Times New Roman" w:eastAsia="Times New Roman" w:hAnsi="Times New Roman"/>
          <w:sz w:val="18"/>
          <w:szCs w:val="18"/>
          <w:color w:val="auto"/>
        </w:rPr>
        <w:t>For the 2024/2025 heating season, firm fixed-price physical commodity purchases ranged from approximately $4.18 to approximately $6.53 per dekatherm. Southwest Gas makes natural gas purchases, not covered by firm fixed-price contracts, under variable-price contracts with firm quantities or on the spot market. Prices for these contracts are determined at the beginning of each month to reflect that month’s published first-of-month index price or based on a published daily price index. These monthly or daily index prices are not published or known until the purchase period begins.</w:t>
      </w:r>
    </w:p>
    <w:p>
      <w:pPr>
        <w:spacing w:after="0" w:line="73"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color w:val="auto"/>
        </w:rPr>
        <w:t>The baseload firm natural gas supply arrangements are structured such that Southwest Gas must nominate a stated volume of natural gas and the supplier must confirm that nomination. Contracts provide for fixed or market-based penalties to be paid by the non-performing party.</w:t>
      </w:r>
    </w:p>
    <w:p>
      <w:pPr>
        <w:spacing w:after="0" w:line="5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Storage availability may influence the average annual price of natural gas, as storage may allow a company to purchase natural gas quantities during the off-peak season and store it for use in high demand periods when prices may be greater or supplies/capacity, tighter. Dependent upon the rate jurisdiction, Southwest Gas has some access to storage services, but overall there are small quantities of storage services available for Southwest Gas’ use. For available storage services, Southwest Gas purchases natural gas for injection during the off-peak period for use in the high demand months; however, since storage is limited, its impact is also limited in regard to Southwest Gas’ annual average price of natural gas. Additionally, Southwest Gas utilizes most available storage services for operational purposes to meet customer demand and not for economic purposes. This also limits the influence the available storage services have on Southwest Gas’ average annual price of natural gas.</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Southwest Gas receives supply area storage services from Spire Storage West that is used for the southern Nevada rate jurisdiction, but could also be used to service the northern Nevada or northern California rate jurisdictions. Southwest Gas generally has limited market area storage services availability for the southern and northern California, northern Nevada, and Arizona rate jurisdictions. The following summarizes Southwest Gas’ access to storage services for those rate jurisdictions.</w:t>
      </w:r>
    </w:p>
    <w:p>
      <w:pPr>
        <w:spacing w:after="0" w:line="7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Southwest Gas has a storage services contract with Southern California Gas Company for use only within Southwest Gas’ southern California rate jurisdiction.</w:t>
      </w:r>
    </w:p>
    <w:p>
      <w:pPr>
        <w:spacing w:after="0" w:line="5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Southwest Gas contracts for storage services from Great Basin’s above-ground LNG facility. This storage service generally provides vaporization and injection, as well as peaking capability only for the northern Nevada and northern California rate jurisdictions.</w:t>
      </w:r>
    </w:p>
    <w:p>
      <w:pPr>
        <w:spacing w:after="0" w:line="5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Southwest Gas also has interruptible storage contracts with NWPL for the northern Nevada and northern California rate jurisdictions. NWPL has the discretion to limit Southwest Gas’ ability to inject or withdraw from this interruptible storage, which consequently limits Southwest Gas’ use of this interruptible storage capacity. As such, this storage provides limited operational flexibility to adjust daily flowing supplies to meet demand.</w:t>
      </w:r>
    </w:p>
    <w:p>
      <w:pPr>
        <w:spacing w:after="0" w:line="6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For the Arizona rate jurisdiction, Southwest Gas operates a 233,000 dekatherm above-ground LNG facility in southern Arizona. This facility is intended to enhance service reliability and flexibility in natural gas deliveries in the area by providing a local storage option that is operated by Southwest Gas and connected directly to its distribution system.</w:t>
      </w:r>
    </w:p>
    <w:p>
      <w:pPr>
        <w:spacing w:after="0" w:line="6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Natural gas supplies for Southwest Gas’ southern system (Arizona, southern Nevada, and southern California jurisdictions) are primarily obtained from producing regions in Colorado and New Mexico (San Juan basin), Texas (Permian basin), and Rocky Mountain areas. For its northern system (northern Nevada and northern California properties), Southwest Gas primarily obtains natural gas from Rocky Mountain producing areas and from Canada.</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landscape for national natural gas supply is continuously changing, including impacts related to governmental policies. Advanced drilling techniques continue to provide access to abundant and sustainable natural gas supplies. The natural gas market has responded to the abundant supply of natural gas at prices that are competitive with other forms of energy. Natural gas prices were relatively stable in 2024 when compared to the latter part of 2022 and early 2023 as upstream maintenance events have been resolved and storage inventory impacting the southwest region has replenished to above 5-year average levels. Current forecasts show that an ample and diverse natural gas supply continues to be available to Southwest Gas’ customers at a competitive price when compared to competing energy forms.</w:t>
      </w:r>
    </w:p>
    <w:p>
      <w:pPr>
        <w:spacing w:after="0" w:line="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Southwest Gas arranges for transportation of natural gas to its Arizona, Nevada, and California service territories through the pipeline systems of El Paso, Kern River, Transwestern, NWPL, Tuscarora, Southern California Gas Company, Great Basin, and Ruby, costs for which are recovered from Southwest Gas’ customers through each states’ respective PGA mechanism. Southwest Gas regularly monitors short- and long-term supply and pipeline capacity availability to ensure the reliability of service to its customers. Southwest Gas currently receives firm transportation service, both on a short- and long-term basis, for all its service territories on the pipeline systems noted above. Southwest Gas also contracts for firm natural gas supplies that are delivered to its city gates to supplement its firm capacity on the interstate pipelines and to meet projected peak-day demands. Southwest Gas could also utilize its interruptible contracts on the interstate pipelines for the transportation of additional natural gas supplies.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1" w:name="page12"/>
    <w:bookmarkEnd w:id="11"/>
    <w:p>
      <w:pPr>
        <w:jc w:val="both"/>
        <w:spacing w:after="0" w:line="255" w:lineRule="auto"/>
        <w:rPr>
          <w:sz w:val="20"/>
          <w:szCs w:val="20"/>
          <w:color w:val="auto"/>
        </w:rPr>
      </w:pPr>
      <w:r>
        <w:rPr>
          <w:rFonts w:ascii="Times New Roman" w:cs="Times New Roman" w:eastAsia="Times New Roman" w:hAnsi="Times New Roman"/>
          <w:sz w:val="18"/>
          <w:szCs w:val="18"/>
          <w:color w:val="auto"/>
        </w:rPr>
        <w:t>Southwest Gas believes that the current levels of contracted firm interstate capacity and delivered purchases are sufficient to serve each of its service territories’ forecasted peak-day requirements. As the need arises to acquire additional capacity on one of the interstate pipeline transmission systems and to secure additional supply, primarily due to customer growth, Southwest Gas will continue to consider available options to obtain that capacity (either through the use of firm contracts with a pipeline company or by purchasing capacity on the open market), and will also consider options for the purchase of additional firm delivered natural gas supplies.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Electric utilities are the principal competitors of Southwest Gas for the residential and small commercial markets throughout its service areas. Competition for space heating, general household, and small commercial energy needs generally occurs at the initial installation phase when the customer/builder typically makes the decision as to which type of equipment to install and operate. The customer will generally continue to use the chosen energy source for the life of the equipment, meaning that notwithstanding a premise vacancy, customers will continue their service each month and on an ongoing basis. Southwest Gas interfaces with regulators and directly with the various home builders and commercial property developers in its service territories to ensure that natural gas appliances are considered in new developments and commercial centers. As a result of these efforts, Southwest Gas has continued to experience growth in the new construction market among residential and small commercial customer classes. In 2024, Southwest Gas provided natural gas to a large majority of the new homes constructed during the year in the major metropolitan markets composing our service territories.</w:t>
      </w:r>
    </w:p>
    <w:p>
      <w:pPr>
        <w:spacing w:after="0" w:line="8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Certain large commercial, industrial, and electric generation customers have the capability to switch to alternative energy sources. To date, Southwest Gas has been successful in retaining most of these customers by setting rates (subject to conditions of the respective state tariffs) at levels competitive with commercially available alternative energy sources such as electricity and fuel oils. To address potential state policies surrounding electrification and reducing fossil fuels, Southwest Gas has taken steps to align with these efforts by supporting energy efficiency in our jurisdictions, being part of GHG protocols and initiatives in California, partnering on hydrogen blending innovation, and creating new biogas and RNG tariff schedules in Arizona, California, and Nevada. In 2023, the legislature in Nevada passed SB 281 that establishes a long-term planning process for gas utilities before the PUCN. Under SB 281, natural gas utilities are required to file a three-year plan to include current and projected demands, significant projects and investments, energy efficiency and load management programs, and renewable energy and low carbon fuel initiatives. The bill creates an opportunity to seek regulatory pre-approval for certain investments and reinforces natural gas’ role in providing safe, reliable, and affordable energy. Proposed draft regulations are pending final adoption. The first plan under the new law is required to be filed by October 1, 2025. Additionally, Arizona has in place certain protections prohibiting municipalities and counties from banning or restricting natural gas use. Specifically, it prevents municipalities and counties from adopting a code, ordinance, land use regulation, or general or specific plan that would prohibit or have the effect of restricting a person’s or entity’s ability to use the services of a utility provider that is capable and authorized to provide service, and also prevents municipalities and counties from denying a building permit or imposing discriminatory fees or requirements on a building permit based on the utility provider proposed to serve a project. While certain forms of renewable energy initiatives compete with natural gas, the abundance, low cost, resiliency, and reliability of natural gas, as well as the convenience and comfort it provides to our customers, result in competitive advantages across our portfolio of customers. Overall, management does not anticipate any material adverse impact on operating margin from fuel switching or alternative energy initiatives over the near term. See also “Environmental Matters” below.</w:t>
      </w:r>
    </w:p>
    <w:p>
      <w:pPr>
        <w:spacing w:after="0" w:line="2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Southwest Gas competes with interstate transmission pipeline companies, such as El Paso, Kern River, Transwestern, Tuscarora, and Ruby to provide service to certain large end-users. End-use customers located in proximity to these interstate pipelines pose a potential bypass threat. Southwest Gas closely monitors each customer situation and provides competitive service in order to retain the customer. Southwest Gas has remained competitive through the use of negotiated transportation contract rates (subject to conditions of the respective state tariffs), special long-term contracts with electric generation and cogeneration customers, and other tariff programs. These competitive response initiatives have mitigated the loss of operating margin earned from large customers.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Federal, state, and local laws and regulations governing the discharge of materials into the environment have a direct impact upon Southwest Gas. Environmental efforts, with respect to matters such as storm water management, emissions of air pollutants, hazardous material management, and protection of endangered species and archaeological resources, directly impact the complexity and time required to obtain pipeline rights-of-way and construction permits. There have also been several federal and state legislative and regulatory initiatives proposed and implemented in recent years attempting to control or limit the effects of global warming and overall climate change, including those focused on GHGs, such as carbon dioxide or methane. The adoption of this type of legislation by Congress or similar legislation by state governments mandating a substantial reduction in GHGs, reduction in pipeline or project permitting, or decarbonization generally, could have significant impacts on the energy industry. Such new legislation or regulations could result in increased energy costs overall, increased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2" w:name="page13"/>
    <w:bookmarkEnd w:id="12"/>
    <w:p>
      <w:pPr>
        <w:jc w:val="both"/>
        <w:spacing w:after="0" w:line="252" w:lineRule="auto"/>
        <w:rPr>
          <w:sz w:val="20"/>
          <w:szCs w:val="20"/>
          <w:color w:val="auto"/>
        </w:rPr>
      </w:pPr>
      <w:r>
        <w:rPr>
          <w:rFonts w:ascii="Times New Roman" w:cs="Times New Roman" w:eastAsia="Times New Roman" w:hAnsi="Times New Roman"/>
          <w:sz w:val="18"/>
          <w:szCs w:val="18"/>
          <w:color w:val="auto"/>
        </w:rPr>
        <w:t>compliance costs or additional operating restrictions on our business, affect the demand for natural gas, or impact the supply costs we incur and prices we charge our customers. Additionally, it is not uncommon for outgoing or incoming U.S. administrations to vary energy policy and to take certain executive actions related thereto, from limiting or expanding federal land leases and permits for the extractive or mid-stream industries, to limiting offshore energy activities, or others. At this time, we cannot predict the potential impact of such actions, laws or regulations, if adopted or upheld, on our future business, financial condition, or results. However, increased environmental legislation and regulation can be beneficial to the natural gas industry. Natural gas can be more environmentally friendly than many other fuels currently available and its use can help energy users comply with stricter environmental air quality standards. While motor vehicle transportation is typically cited as the leading source of carbon dioxide emissions in the U.S., natural gas for residential consumption/use is cited as accounting for approximately 6% of total U.S. GHG emissions (U.S. EPA, 2024).</w:t>
      </w:r>
    </w:p>
    <w:p>
      <w:pPr>
        <w:spacing w:after="0" w:line="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Southwest Gas remains committed to providing customers with safe, reliable, sustainable, and affordable natural gas service and continues to work with policy makers and regulators to support and adopt renewable initiatives and expanded use of RNG and CNG as a transportation fuel. Additionally, Southwest Gas is investigating blending hydrogen into its gas supply. Southwest Gas serves multiple companies with CNG across Arizona and Nevada, in addition to supporting a regional transportation customer in Nevada with its fleet’s RNG and CNG needs. Southwest Gas has converted part of its own vehicle fleet to CNG. These steps demonstrate part of our response to support state GHG emission reduction goals where they exist. In recent years, regulatory activity in Arizona, California, and Nevada led to provisions allowing for the development of RNG projects. In addition, proposals were previously made in all three states to allow Southwest Gas to purchase RNG as part of its gas supply portfolio; in the California and Nevada jurisdictions, those proposals have been accepted by regulators or legislative bodies.</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U.S. and State of California EPA regulations require the reporting of GHG emissions from large sources and suppliers in order to facilitate the development of policies and programs to reduce GHG emissions. Southwest Gas reports required information to the U.S. and State of California EPA under respective rules, including the volumes of natural gas that it receives for distribution to LDC customers, and the GHG emissions that result from the operation of its LDC pipelines.</w:t>
      </w:r>
    </w:p>
    <w:p>
      <w:pPr>
        <w:spacing w:after="0" w:line="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California legislation and regulations promulgated by the CARB require Southwest Gas to comply with the California GHG Emissions Reporting Program and the California Cap and Trade Program, which is intended to help the state reach its goal of reducing GHG emissions to 40% below 1990 levels by 2030. Southwest Gas must report annual GHG emissions each year. The CARB annually allocates to Southwest Gas a certain number of allowances based on Southwest Gas’ reported 2011 GHG emissions. Of those allocated allowances, Southwest Gas must consign a certain percentage to the CARB for auction. Southwest Gas can use any allocated allowances that remain after consignment, along with allowances it can purchase through CARB auctions or reserve sales, or through over-the-counter purchases with other market participants, to meet its compliance obligations.</w:t>
      </w:r>
    </w:p>
    <w:p>
      <w:pPr>
        <w:spacing w:after="0" w:line="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part of this program, there are ongoing annual and three-year compliance periods. Southwest Gas successfully met its earlier compliance obligations by surrendering a sufficient number of allowances prior to the required date. Most recently, Southwest Gas met the 2024, as well as its three-year compliance obligation ending in 2023, by surrendering a sufficient number of allowances and carbon offsets prior to November 1, 2024. In 2022, Southwest Gas purchased carbon offsets that were used to meet its compliance obligation. Carbon offsets can only be used to satisfy a portion of the compliance obligations, and those combined with ongoing allowance purchases supported compliance years through 2024. The CPUC previously issued a decision that provides for the regulatory treatment of the program costs. The decision also implemented the California Climate Credit in October 2018, representing a return of auction proceeds, which is updated annually and normally distributed each April. There is no expected direct impact on earnings.</w:t>
      </w:r>
    </w:p>
    <w:p>
      <w:pPr>
        <w:spacing w:after="0" w:line="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California legislation and regulations require Southwest Gas to incorporate RNG produced from diverted waste into its California gas supply portfolios. Southwest Gas representatives have been actively working with the other major California natural gas distribution companies and the state’s regulatory bodies on the processes, procedures, and plans needed to meet this requirement. During the fourth quarter of 2023, Southwest Gas issued a request for proposal seeking RNG supplies compatible with the requirements and received responses in early 2024. Southwest Gas is in the process of completing the purchase of selected RNG supplies. Southwest Gas will need to file with the CPUC for approval of the RNG purchase agreements and to receive regulatory treatment for any above-market costs. There is no expected direct impact on earnings.</w:t>
      </w:r>
    </w:p>
    <w:p>
      <w:pPr>
        <w:spacing w:after="0" w:line="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October 2023, California Governor Gavin Newsom signed into law two state senate bills and one state assembly bill that collectively require certain public and private U.S. companies that perform certain business activities in California to provide disclosures about their GHG emissions, climate-related financial risks, VCOs, and certain climate-related emission claims. The two senate bills, SB 253, Climate Corporate Data Accountability Act, and SB 261, Greenhouse Gases: Climate-Related Financial Risks, establishing the first U.S. regulations that mandate the corporate reporting of GHG emissions and climate risks in the U.S. The assembly bill, AB 1305, Voluntary Carbon Market Disclosures, is intended to combat companies’ “greenwashing” of climate-related emission claims and establishes requirements for both U.S. and international entities that</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3" w:name="page14"/>
    <w:bookmarkEnd w:id="13"/>
    <w:p>
      <w:pPr>
        <w:jc w:val="both"/>
        <w:spacing w:after="0" w:line="274" w:lineRule="auto"/>
        <w:rPr>
          <w:sz w:val="20"/>
          <w:szCs w:val="20"/>
          <w:color w:val="auto"/>
        </w:rPr>
      </w:pPr>
      <w:r>
        <w:rPr>
          <w:rFonts w:ascii="Times New Roman" w:cs="Times New Roman" w:eastAsia="Times New Roman" w:hAnsi="Times New Roman"/>
          <w:sz w:val="17"/>
          <w:szCs w:val="17"/>
          <w:color w:val="auto"/>
        </w:rPr>
        <w:t>market or sell VCOs within California as well as entities that operate in California and make certain climate-related emission claims (whether or not they purchase or use VCOs). In 2024, a follow up bill, SB 219, was passed modifying some of the reporting requirements under SB 253 and SB 261 by delegating implementation authority to CARB and extending the timeline the agency has to adopt implementation regulations to July 1, 2025. Reporting under SB 253 is required starting in 2026, reporting under SB 261 is required on or before January 1, 2026, and AB 1305 was effective January 1, 2024; however, the reporting obligations of the earliest compliance date do not apply, as Southwest Gas does not currently have a voluntary carbon offset program in California.</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UTILITY INFRASTRUCTURE SERVICES</w:t>
      </w:r>
    </w:p>
    <w:p>
      <w:pPr>
        <w:spacing w:after="0" w:line="11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Centuri is a strategic utility infrastructure services company dedicated to partnering with North America’s gas and electric providers to build and maintain the energy network that powers millions of homes across the U.S. and Canada. Centuri’s skilled workforce delivers a comprehensive and integrated array of solutions through its operating companies. Centuri derives revenue primarily from installation, replacement, repair, and maintenance of energy networks. The primary focus of Centuri operations is the replacement of natural gas distribution pipelines and electric service lines, as well as new infrastructure installations. Centuri has formalized a service offering for emergency utility system restoration services to bring customers’ above-ground utility infrastructure back online following regional storms and other extreme weather events. Utility infrastructure services work varies from relatively small projects to the installation of infrastructure for entire residential communities or business parks. Centuri seeks to build long-term relationships with customers to meet their needs across geographies and across both gas and electric infrastructure. Utility infrastructure services activity is seasonal in many of Centuri’s operating areas. Peak periods are the summer and fall months in colder climate areas, such as the northeastern and midwestern U.S. and Canada. In warmer climate areas, such as the southwestern and southeastern U.S., utility infrastructure services activity typically continues year round.</w:t>
      </w:r>
    </w:p>
    <w:p>
      <w:pPr>
        <w:spacing w:after="0" w:line="8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During recent years, various factors resulted in an increase in large multi-year utility system replacement programs and expanded protocols. The U.S. Department of Transportation’s PHMSA instituted DIMP, which required operators of gas distribution pipelines to develop and implement integrity management programs to enhance safety by identifying and reducing pipeline integrity risks as well as the establishment of transmission planning requirements to encourage development of electric transmission infrastructure projects. In 2020, PHMSA issued its final “Mega Rule,” including requirements for reconfirming transmission pipeline maximum allowable operating pressure and verification of pipeline materials, in addition to expanding assessments and requirements for work in moderate consequence areas, among other things. Then, in March 2022, and August 2022, PHMSA issued rules amending federal pipeline safety regulations applicable to valve installation and minimum rupture detection standards for transmission pipelines, and amendments applicable to transmission pipeline integrity management, effective in October 2022 and May 2023, respectively. Even with the regulations in place having spurred significant investment in recent years, substantial opportunity is believed to continue to exist, given multi-decade infrastructure modernization demand expected across North America due to PHMSA-related reports on early vintage systems in operation and in need of upgrade.</w:t>
      </w:r>
    </w:p>
    <w:p>
      <w:pPr>
        <w:spacing w:after="0" w:line="8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Likewise, there has been significant attention placed on electric grid modernization through national infrastructure legislation and related initiatives such as the U.S. Energy Policy Act of 2005, which established mandatory electric grid reliability standards and incentivized investments in transmission and distribution systems. The Inflation Reduction Act also included a number of provisions to accelerate the deployment of clean energy technologies, including incentives for the buildout of necessary electric infrastructure. According to the Department of Energy, almost 70% of electric infrastructure in North America is over 25 years old. Recent legislation and the result of aging electric utility infrastructure creates a growing need for investment in the electrical grid as well as related delivery system hardening, which will also help withstand more frequent adverse weather events and support renewable energy innovation. Given the expected demand for replacements and upgrades, Centuri is well positioned to support continued growth in the industries it serves.</w:t>
      </w:r>
    </w:p>
    <w:p>
      <w:pPr>
        <w:spacing w:after="0" w:line="6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Centuri’s contract terms with utility customers generally specify unit-price or T&amp;M terms under MSAs, and occasionally, fixed-price arrangements for bid work. Unit-price contracts establish prices for all of the various services to be performed during the contract period. These contracts often have annual pricing reviews that provide an opportunity for Centuri to reflect anticipated increases in labor costs. Centuri customers supply materials required for building and maintenance services under the majority of Centuri’s contracts, and thus, increased costs of materials generally do not present a direct material risk to Centuri. During 2024, approximately 80% of revenue was earned under unit-price and T&amp;M contracts. Storm restoration services are often contracted under T&amp;M rates and generally involve a higher number of hours worked per day given the emergency response nature of the work performed. Centuri maintains an average customer relationship tenure of more than 20 years, supported by its commitments to safety, quality, community engagement, and workforce development.</w:t>
      </w:r>
    </w:p>
    <w:p>
      <w:pPr>
        <w:spacing w:after="0" w:line="8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Materials used by Centuri in its utility infrastructure service activities are typically specified, purchased, and supplied by Centuri’s customers. Contracts with customers also contain provisions which make customers generally liable for remediating environmental hazards encountered during the construction process. Such hazards might include digging in an area that was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4" w:name="page15"/>
    <w:bookmarkEnd w:id="14"/>
    <w:p>
      <w:pPr>
        <w:jc w:val="both"/>
        <w:spacing w:after="0" w:line="278" w:lineRule="auto"/>
        <w:rPr>
          <w:sz w:val="20"/>
          <w:szCs w:val="20"/>
          <w:color w:val="auto"/>
        </w:rPr>
      </w:pPr>
      <w:r>
        <w:rPr>
          <w:rFonts w:ascii="Times New Roman" w:cs="Times New Roman" w:eastAsia="Times New Roman" w:hAnsi="Times New Roman"/>
          <w:sz w:val="18"/>
          <w:szCs w:val="18"/>
          <w:color w:val="auto"/>
        </w:rPr>
        <w:t>contaminated prior to construction, finding endangered animals, digging in historically significant sites, etc. Otherwise, Centuri’s operations have limited environmental impact (dust control, normal waste disposal, handling harmful materials, etc.).</w:t>
      </w:r>
    </w:p>
    <w:p>
      <w:pPr>
        <w:spacing w:after="0" w:line="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Competition within the industry has traditionally been limited to several regional and numerous local competitors in what has been a largely fragmented industry. Some national competitors also exist within the industry. Centuri operates in 87 primary locations across 45 U.S. states and two Canadian provinces, with its corporate headquarters located in Phoenix, Arizona. During 2024, Centuri served over 400 customers. Southwest Gas accounted for approximately 4% of total revenue. Three additional customers accounted for approximately 18% of total revenue. No other customers individually accounted for 5% or more of total revenue.</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Centuri is not directly affected by regulations promulgated by the ACC, PUCN, CPUC, or FERC. Centuri is an unregulated subsidiary of the Company. However, because Centuri performs work for Southwest Gas, its associated costs are subject indirectly to “prudency reviews” like any other capital work performed by third parties or directly by Southwest Gas. However, these reviews do not bring Centuri under the regulatory jurisdiction of any of the commissions noted above.</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Throughout our collective operations, employees are critical to our success. Their talent and dedication are what allow us to provide safe and reliable service to customers and explore new opportunities that align with our strategies, while carrying out organizational core values related to safety, quality, stewardship, integrity, relationships, and sustainability, among others. The Board oversees matters relating to our vision, values, and culture where employee health and safety; diversity, equity, and inclusion; and human and workplace rights are priorities. The Board receives regular reports from management and subject matter experts in these areas, and in turn provides guidance on current and future initiatives. The Board also assists management in integrating responsibility and sustainability into strategic activities to create long-term customer and shareholder value.</w:t>
      </w:r>
    </w:p>
    <w:p>
      <w:pPr>
        <w:spacing w:after="0" w:line="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and the Board are committed to a culture of continuous improvement in operations and efficiency, and with respect to the safety of our employees and the communities we serve every day. Employees and contract workers receive initial safety orientation training to learn practices, procedures, and policies established by our businesses. New and recurring safety training occurs at regular intervals thereafter. Frontline safety strategies, developed with executive leadership, contribute to the improvement of our safety management systems. Safety metrics also form part of incentive compensation programs for leaders of the Company’s business segments, reinforcing our top priority to safeguard our communities, our employees, and our assets. At Southwest Gas, such metrics include Damages per 1,000 Tickets and Incident Response Time; at Centuri, they include Total Recordable Incident Rate and DART. In each case, the measures are widely used in the respective industries comprising our businesses. All segments maintain additional behavioral-based programs and extensive employee training initiatives to promote safe work.</w:t>
      </w:r>
    </w:p>
    <w:p>
      <w:pPr>
        <w:spacing w:after="0" w:line="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At December 31, 2024, Southwest Gas had 2,435 regular full-time equivalent employees. Southwest Gas believes that a skilled, highly trained workforce is a key to success in the utility industry, and a driver of Southwest Gas’ safety performance and high customer satisfaction ratings. Southwest Gas has a positive reputation as an employer and strong relationships with its employees. The compensation, benefits, and working conditions of Southwest Gas’ employees are comparable to those generally found in the utility industry. Employee engagement surveys are periodically deployed to gauge the extent to which employees feel connected and valued. Flexible working arrangements are available to employees, which support work-life balance. In April 2024, 69 employees from our southern California division voted in the United Steelworkers Union to represent them. Initial contract negotiations are underway. We are not aware of any organizing activities in our other locations. A stable workforce has been important to knowledge transfer and succession processes, with the average tenure of Southwest Gas employees being approximately 10 years. Germane to attracting and retaining employees are our compensation and benefits programs, which are regularly reviewed. For employees hired on or before December 31, 2021, Southwest Gas offers an employee pension and employer matching contributions to the employee defined contribution plan. Employees hired on or after January 1, 2022 do not participate in the employee pension plan, but receive non-elective employer contributions and increased employer matching contributions to the employee defined contribution plan. The health and wellness of our workforce are supported by group insurance programs, incentive programs in support of total health, and related employee programs. In 2024, Southwest Gas added a preferred provider organization option to our health care coverage, providing more choices for our employees. Southwest Gas also offers a tuition assistance program and encourages employees to leverage this program to remain current in their role or to acquire new skills for career advancement. Regular succession planning helps ensure that talent is identified and prospective leaders are developed in order to build their skills and be prepared for future roles.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December 31, 2024, Centuri had 8,687 regular full-time equivalent employees working across 45 U.S. states and two Canadian provinces. Employee counts fluctuate between seasonal periods, normally heaviest in the summer and fall. Typical of the segment’s industry, a majority of Centuri employees are represented by unions and covered by collective bargaining agreements. Centuri maintains a market-based total rewards strategy to attract, retain, motivate, and develop employees.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Additionally, Centuri has a scholarship program, which awards more than half of the grants to minority students who are dependents of Centuri employees.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Similar employee engagement and succession planning protocols to those existing at Southwest Gas are deployed at Centuri.</w:t>
      </w:r>
    </w:p>
    <w:p>
      <w:pPr>
        <w:spacing w:after="0" w:line="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commit to creating a safe and respectful workplace and strive to have a workforce that reflects the communities we serve and that benefits from diverse backgrounds, cultures, and perspectives. Our belief is that adherence to these principles forms the genesis of a workforce that is capable and inclusive. Southwest Gas and Centuri have several programs, including employee resource groups, educational outreach programs, and other initiatives designed to attract and retain a qualified and engaged workforce. Through these and other efforts, we are committed to the success of our employees and their development while ensuring equitable opportunity for everyone.</w:t>
      </w:r>
    </w:p>
    <w:p>
      <w:pPr>
        <w:spacing w:after="0" w:line="113"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1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Described below (and in </w:t>
      </w:r>
      <w:r>
        <w:rPr>
          <w:rFonts w:ascii="Times New Roman" w:cs="Times New Roman" w:eastAsia="Times New Roman" w:hAnsi="Times New Roman"/>
          <w:sz w:val="18"/>
          <w:szCs w:val="18"/>
          <w:b w:val="1"/>
          <w:bCs w:val="1"/>
          <w:i w:val="1"/>
          <w:iCs w:val="1"/>
          <w:color w:val="auto"/>
        </w:rPr>
        <w:t>Item 7A. Quantitative and Qualitative Disclosures about Market Risk</w:t>
      </w:r>
      <w:r>
        <w:rPr>
          <w:rFonts w:ascii="Times New Roman" w:cs="Times New Roman" w:eastAsia="Times New Roman" w:hAnsi="Times New Roman"/>
          <w:sz w:val="18"/>
          <w:szCs w:val="18"/>
          <w:i w:val="1"/>
          <w:iCs w:val="1"/>
          <w:color w:val="auto"/>
        </w:rPr>
        <w:t xml:space="preserve"> of this report) are risk factors that we have identified that may have a material negative impact on our future financial performance or affect whether we achieve the goals or expectations expressed or implied in any forward-looking statements contained herein. References below to “we,” “us,” and “our” should be read to refer to Southwest Gas Holdings, Inc. and any combination of its subsidiaries, including Southwest Gas Corporation and Centuri Holdings, Inc.</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Operational Risks</w:t>
      </w:r>
    </w:p>
    <w:p>
      <w:pPr>
        <w:spacing w:after="0" w:line="1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color w:val="auto"/>
        </w:rPr>
        <w:t>Southwest Gas relies on having access to interstate pipelines’ transportation capacity. If these pipelines and related transportation capacity were not available, it could impact Southwest Gas’ ability to meet customers’ full requirements.</w:t>
      </w:r>
    </w:p>
    <w:p>
      <w:pPr>
        <w:spacing w:after="0" w:line="5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Southwest Gas must acquire both sufficient natural gas supplies and interstate pipeline capacity to meet customer requirements. We must contract for reliable and adequate delivery capacity for our distribution system, while considering the dynamics of the interstate pipeline capacity market, our own on-system resources, as well as the characteristics of our customer base. Interruptions to or reductions of interstate pipeline service caused by physical constraints, other restrictions, excessive customer usage, cyber attacks, or other force majeure could reduce our normal supply of gas. Restrictions placed on pipelines or the extractive and mid-stream industries could disrupt our business and reduce cash flows and earnings. A prolonged interruption or reduction of interstate pipeline service or availability of natural gas in any of our jurisdictions, particularly during the winter heating season, would reduce cash flow and earnings.</w:t>
      </w:r>
    </w:p>
    <w:p>
      <w:pPr>
        <w:spacing w:after="0" w:line="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color w:val="auto"/>
        </w:rPr>
        <w:t>Failure to attract and retain an appropriately qualified employee workforce, including executives and other management, could adversely affect our collective operations and ability to timely deploy on our plans.</w:t>
      </w:r>
    </w:p>
    <w:p>
      <w:pPr>
        <w:spacing w:after="0" w:line="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implement our business strategy and serve our customers is dependent upon our continuing ability to attract and retain talented professionals, including executives and other management, and a technically skilled workforce overall, and impacts our ability to transfer the knowledge and expertise of our workforce to new employees as our aging employees retire. It also impacts our ability to timely deploy on strategic initiatives we plan. Failure to attract, hire, onboard, and adequately train replacement employees, including strategic leaders, and to transfer significant internal historical knowledge and expertise to the new employees and management, or the future availability and cost of contract labor could adversely affect our ability to manage and operate our business, and to execute on our strategic plans, or to do so within the timeframes we plan.</w:t>
      </w:r>
    </w:p>
    <w:p>
      <w:pPr>
        <w:spacing w:after="0" w:line="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particular, the productivity of Centuri’s labor force and its ongoing relationship with clients is largely dependent on those serving in foreman, general foreman, regional, and executive level management positions. The ability to retain these individuals, due in large part to the competitive nature of the utility infrastructure service business, is necessary for the ongoing success and growth of Centuri. Further, the competitive environment within which Centuri performs work creates pricing pressures, specifically when its unionized business segment is bidding against non-union competitors. This workforce competition, including that which exists for resources across our businesses, could adversely impact our business, financial condition, results of operations, and cash flows.</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collective businesses have recently experienced turnover, including at the executive ranks at Centuri in 2024. Turnover at these ranks can limit or delay our ability to deploy on plans, including strategic plans, which could adversely impact our business, stock price, financial condition, results of operations, and cash flows. In addition, executive leadership transition periods can often be difficult and may result in changes in leadership strategy and style. We can provide no assurances that any associated organizational change, or changes in business strategy, will be beneficial or have the desired impact on the Company.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of, or a reduction in business from, one or more significant customers at Centuri could adversely affect results.</w:t>
      </w:r>
    </w:p>
    <w:p>
      <w:pPr>
        <w:spacing w:after="0" w:line="11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During 2024, over half of our utility infrastructure services revenues were generated from thirteen customers. This concentration of risk could impact operating results if construction work slowed or halted with one or more of these customers, if competition for work increased, or if existing contracts were not renewed or extended.</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6" w:name="page17"/>
    <w:bookmarkEnd w:id="16"/>
    <w:p>
      <w:pPr>
        <w:jc w:val="both"/>
        <w:spacing w:after="0" w:line="265" w:lineRule="auto"/>
        <w:rPr>
          <w:sz w:val="20"/>
          <w:szCs w:val="20"/>
          <w:color w:val="auto"/>
        </w:rPr>
      </w:pPr>
      <w:r>
        <w:rPr>
          <w:rFonts w:ascii="Times New Roman" w:cs="Times New Roman" w:eastAsia="Times New Roman" w:hAnsi="Times New Roman"/>
          <w:sz w:val="18"/>
          <w:szCs w:val="18"/>
          <w:b w:val="1"/>
          <w:bCs w:val="1"/>
          <w:color w:val="auto"/>
        </w:rPr>
        <w:t>Certain of our costs, such as operating expenses (including labor, fuel, and materials) at Southwest Gas and Centuri, and interest and general and administrative expenses at both segments and the Company could be adversely impacted by periods of heightened inflation, which could have an adverse impact on our results of operations.</w:t>
      </w:r>
    </w:p>
    <w:p>
      <w:pPr>
        <w:spacing w:after="0" w:line="6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In recent years, the consumer price index has increased substantially and may continue to remain at elevated levels for an extended period of time. Federal policies and global events, such as the volatility in prices of oil and natural gas, the recent implementation of, and potential increase in, tariffs by the current U.S. administration, retaliatory tariffs as a results thereof, or the failure of current energy policy intended to combat inflation, as well as the conflicts between Russia and Ukraine and in the Middle East, may continue to exacerbate increases in the consumer price index. In addition, during periods of rising inflation, variable interest rates and the interest rates of any newly issued debt securities will likely be higher than those incurred in connection with previous debt issuances, which will further tend to reduce returns to our stockholders. A sustained or further increase in inflation could have a material adverse impact on our operating expenses incurred in connection with, among others, the cost of fuel, labor, equipment/equipment-related, and materials costs, as well as general administrative expenses, operating supplies and expenses, and maintenance of our system, as well as increasing outlays for gas supply passed on to customers and the cost of capital improvements at Southwest Gas, in addition to requiring us to borrow amounts to fund the incremental outlays.</w:t>
      </w:r>
    </w:p>
    <w:p>
      <w:pPr>
        <w:spacing w:after="0" w:line="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With regard to Southwest Gas, rate schedules in each of its service territories contain purchased gas adjustment clauses which permit Southwest Gas to file for rate adjustments to recover increases in the cost of purchased gas. Increases in the cost of purchased gas have no direct impact on our profit margins, but do affect cash flows and can therefore impact the amount of our capital resources. In order to help cope with the effects of inflation on its operations, Southwest Gas has filed and may file requests for rate increases to cover the increased cost of purchased gas included in a regulatory asset when applicable or expense items noted above. However, there can be no assurance that Southwest Gas will be able to obtain timely rate relief to offset the effects of inflation or to timely or adequately cover borrowing costs to fund the increased cost of purchased gas and capital expenditures; and any non-recovery of costs or regulatory lag will reduce our cash flows and earnings. As a result, during periods in which the inflation rate exceeds customer rate increases, we may not adequately mitigate the impact of inflation, which may adversely affect our business, financial condition, results of operations, and cash flows.</w:t>
      </w:r>
    </w:p>
    <w:p>
      <w:pPr>
        <w:spacing w:after="0" w:line="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Additionally, inflationary pricing has had and may continue to have a negative effect on the construction costs necessary for us to complete projects at Centuri, particularly with respect to fuel, labor, and subcontractor costs discussed above. Centuri has and continues to experience pressures on fuel, materials, and certain labor costs as a result of the inflationary environment and current general labor shortage, which has resulted in increased competition for skilled labor and wage inflation. The cost of fuel is an appreciable operating expense of Centuri’s business, and significant increases in fuel prices for extended periods of time has caused, and could continue to cause, Centuri’s operating expenses to fluctuate. Centuri has not been able to (except in limited circumstances), and may not be able to, fully adjust its contract pricing to compensate for these cost increases, which has adversely affected, and may continue to adversely affect, Centuri’s profitability and cash flows. Inflationary pressures and any related recessionary concerns in light of governmental and central bank efforts to mitigate inflation could also cause uncertainty for our customers and affect the level of their project activity, which could also adversely affect our profitability and cash flows.</w:t>
      </w:r>
    </w:p>
    <w:p>
      <w:pPr>
        <w:spacing w:after="0" w:line="8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Inflationary pressures, including any related impacts of increased indebtedness, on customers of both Southwest Gas and Centuri may influence the timely remittance (or any remittance) of customer payments for services, which may adversely affect our cash flows and associated reserves for uncollectible accounts and earnings.</w:t>
      </w:r>
    </w:p>
    <w:p>
      <w:pPr>
        <w:spacing w:after="0" w:line="6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As a result of the inflationary factors discussed above affecting the Company, Southwest Gas, and Centuri, our business, financial condition, results of operations, cash flows, and liquidity could be adversely affected over time.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Fixed-price and unit-price contracts are subject to potential losses that could adversely affect our results of operations.</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Centuri enters into a variety of types of contracts customary in the utility infrastructure services industry. These contracts include unit-priced contracts (including unit-priced contracts with revenue caps), T&amp;M contracts, cost plus contracts, and fixed-price (lump sum) contracts. Contracts with revenue caps and fixed-price arrangements can be susceptible to constrained profits, or even losses, especially those contracts that cover an extended-duration performance period. This is due, in part, to the necessity of estimating costs at the inception of a bid process, which is far in advance of the completion date (at bid inception) of a particular project. Unforeseen inflation, operating inefficiencies due to weather-related or workmanship issues or other costs unanticipated at inception, can detrimentally impact profitability for these types of contracts, which could have an adverse impact on our financial condition, results of operations, and cash flows.</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Centuri's customer T&amp;M contracts, Centuri is paid for labor at negotiated hourly billing rates and for certain other allowable expenses, subject to, in most cases, a specified maximum contract value. Profitability on these contracts is driven by billable headcount and cost control. Some of Centuri's T&amp;M contracts are subject to contract ceiling amounts, and are reimbursed for allowable costs and fees, which may be fixed or performance based. If Centuri’s costs exceed the contract</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7" w:name="page18"/>
    <w:bookmarkEnd w:id="17"/>
    <w:p>
      <w:pPr>
        <w:jc w:val="both"/>
        <w:spacing w:after="0" w:line="278" w:lineRule="auto"/>
        <w:rPr>
          <w:sz w:val="20"/>
          <w:szCs w:val="20"/>
          <w:color w:val="auto"/>
        </w:rPr>
      </w:pPr>
      <w:r>
        <w:rPr>
          <w:rFonts w:ascii="Times New Roman" w:cs="Times New Roman" w:eastAsia="Times New Roman" w:hAnsi="Times New Roman"/>
          <w:sz w:val="18"/>
          <w:szCs w:val="18"/>
          <w:color w:val="auto"/>
        </w:rPr>
        <w:t>ceiling or are not allowable under the provisions of the contract or any applicable regulations, Centuri may not be able to obtain reimbursement for all of the costs Centuri incurs, which could have an adverse impact on our financial condition, results of operations, and cash flows.</w:t>
      </w:r>
    </w:p>
    <w:p>
      <w:pPr>
        <w:spacing w:after="0" w:line="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in Centuri’s fixed- and unit-price contracts, Centuri may provide a project completion date, and in some of its projects Centuri may commit that the project will achieve specific performance standards. Failure to complete the project as scheduled or at the contracted performance standards could result in additional costs or penalties, including liquidated damages, and such amounts could exceed expected project profit, which could have a material adverse impact on our financial condition, results of operations, and cash flows.</w:t>
      </w:r>
    </w:p>
    <w:p>
      <w:pPr>
        <w:spacing w:after="0" w:line="6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color w:val="auto"/>
        </w:rPr>
        <w:t>Centuri derives a significant portion of its revenues from long-term MSAs that may be cancelled by customers on short notice, or which Centuri may be unable to renew on favorable terms or at all.</w:t>
      </w:r>
    </w:p>
    <w:p>
      <w:pPr>
        <w:spacing w:after="0" w:line="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2024, approximately 80% of Centuri’s total revenue was generated from long-term MSAs. Generally, Centuri’s MSAs do not require its customers to commit to a minimum amount of services. The majority of these contracts may be cancelled by Centuri’s customers for convenience upon minimal notice (typically 30 days), regardless of whether Centuri is in default. In situations where a customer determines it has cause to terminate a contract, even shorter notice is generally required (48 hours to 10 days). In addition, many of these contracts permit cancellation of particular purchase orders or statements of work without any notice or limited notice (anywhere from 48 hours to 30 days).</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agreements typically do not require Centuri’s customers to assign a specific amount of work to Centuri until a purchase order or statement of work is signed. Consequently, projected expenditures by customers are not assured to generate revenue until a definitive purchase order or statement of work is placed with Centuri and the work is completed. Furthermore, Centuri’s customers generally require competitive bidding of these contracts. As a result, Centuri could be underbid by its competitors or be required to lower the prices charged under a contract being rebid. The loss of work obtained through MSAs and long-term contracts or the reduced profitability of such work, could materially and adversely affect Centuri’s business or results of operations.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nature of our operations presents inherent risks of loss that could adversely affect our results of operations.</w:t>
      </w:r>
    </w:p>
    <w:p>
      <w:pPr>
        <w:spacing w:after="0" w:line="11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natural gas distribution operations are subject to inherent hazards and risks such as gas leaks, fires, natural disasters, catastrophic accidents, explosions, pipeline ruptures, and other hazards and risks that may cause unforeseen interruptions, personal injury, or property damage. Our utility infrastructure services operations are reliant on skilled personnel who are trained and qualified to install utility infrastructure under established safety protocols and operator qualification programs, and in conformance with mandated engineering design specifications. Lapses in judgment or failure to follow protocol could lead to warranty and indemnification liabilities or catastrophic accidents, causing property damage or personal injury. Additionally, our facilities, machinery, and equipment, including our pipelines, are subject to third-party damage from construction activities, vandalism, or acts of terrorism. Such incidents could result in severe business disruptions, significant decreases in revenues, and/or significant additional costs to us. Any such incident could have an adverse effect on our financial condition, earnings, and cash flows. In addition, any of these or similar events could result in legal claims against us, cause environmental pollution, personal injury or death claims, damage to our properties or the properties of others, or loss of revenue by us or others.</w:t>
      </w:r>
    </w:p>
    <w:p>
      <w:pPr>
        <w:spacing w:after="0" w:line="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maintains liability insurance that covers Southwest Gas for some, but not all, risks associated with the operation of our natural gas pipelines and facilities. In connection with these liability insurance policies, each entity is responsible for an initial deductible or self-insured retention amount per incident, after which the insurance carriers would be responsible for amounts up to the policy limits. Liability insurance policies at Southwest Gas require us to be responsible for the first $1 million (self-insured retention) of each incident plus the first $4 million in total claims above our self-insured retention in the policy year; while Centuri’s self-insured retention amount is $750,000 per occurrence. We cannot predict the likelihood that any future event will occur which will result in a claim exceeding these amounts; however, a large claim for which we were deemed liable would reduce our earnings up to and including these self-insurance maximums, and uninsured claims for which we were deemed liable would reduce our earnings in the amount of the claim.</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Weather conditions in our operating areas can adversely affect operations, financial position, and cash flows.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Centuri’s results of operations, financial position, and cash flows can be significantly impacted by changes in weather that affect the ability of Centuri to provide utility companies with contracted-for trenching, installation, and replacement of underground pipes, as well as maintenance services for energy distribution systems. Generally, Centuri’s revenues are lowest during the first quarter of the year due to less favorable winter weather conditions in colder areas such as the northeastern and midwestern U.S. and Canada. These conditions also require certain areas to scale back their workforce at times during the winter season, presenting challenges associated with maintaining an adequately skilled labor force when it comes time to re-staff its work crews following the winter layoffs.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8" w:name="page19"/>
    <w:bookmarkEnd w:id="18"/>
    <w:p>
      <w:pPr>
        <w:jc w:val="both"/>
        <w:spacing w:after="0" w:line="255" w:lineRule="auto"/>
        <w:rPr>
          <w:sz w:val="20"/>
          <w:szCs w:val="20"/>
          <w:color w:val="auto"/>
        </w:rPr>
      </w:pPr>
      <w:r>
        <w:rPr>
          <w:rFonts w:ascii="Times New Roman" w:cs="Times New Roman" w:eastAsia="Times New Roman" w:hAnsi="Times New Roman"/>
          <w:sz w:val="18"/>
          <w:szCs w:val="18"/>
          <w:color w:val="auto"/>
        </w:rPr>
        <w:t>Southwest Gas’ revenues are highest during the first and fourth quarters of the year as customer consumption increases during the winter months. While Southwest Gas has decoupling mechanisms in place in all three states in which it operates, warmer than normal weather can reduce the amount of billed revenue, as well as amounts collected or returned related to regulatory tracking mechanisms under various programs, thereby impacting cash flows. Deviations from normal weather conditions, as well as the seasonal nature of our businesses, can create fluctuations in short-term cash requirements of both Southwest Gas and Centuri, and earnings, primarily related to Centuri.</w:t>
      </w:r>
    </w:p>
    <w:p>
      <w:pPr>
        <w:spacing w:after="0" w:line="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color w:val="auto"/>
        </w:rPr>
        <w:t>Regulatory and legislative developments related to climate change, or renewable portfolio standards or costs for renewables, may adversely affect our operations and financial results.</w:t>
      </w:r>
    </w:p>
    <w:p>
      <w:pPr>
        <w:spacing w:after="0" w:line="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While natural gas can be more environmentally friendly than many other fuels currently available, and its use has assisted energy users to comply with stricter environmental air quality standards, there have been several federal and state legislative and regulatory initiatives proposed, some of which have been implemented in recent years, attempting to control or limit the effects of global warming and overall climate change, including focus on GHG emissions, such as carbon dioxide or methane. The adoption of this type of legislation by Congress or similar legislation by state governments mandating a substantial reduction in GHG emissions, or decarbonization generally, could have significant impacts on the utility industry. Any resulting legislation or regulations could result in increased compliance costs or additional operating restrictions on our business, affect the demand for natural gas and utility infrastructure services, or impact the prices we charge our customers.</w:t>
      </w:r>
    </w:p>
    <w:p>
      <w:pPr>
        <w:spacing w:after="0" w:line="7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Furthermore, changes in renewable portfolio standards or costs related to renewable initiatives may result in decreased demand for renewable energy projects related to Centuri or Southwest Gas. Offshore wind energy and other renewable energy facilities and investments are dependent on the existence of related standards and requirements, and in some cases, government incentives.</w:t>
      </w:r>
    </w:p>
    <w:p>
      <w:pPr>
        <w:spacing w:after="0" w:line="6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At this time, we cannot predict the likelihood of the adoption or elimination of such laws or regulations, or U.S. energy policies overall; nor can we predict potential impacts, related thereto, on our future businesses, financial condition, or results.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Southwest Gas and Centuri may be impacted by the effects of weather and climate change, including physical and transition risks.</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Extreme weather events and climate change could adversely impact our businesses. To the extent climate change or extreme weather events materially increase temperatures, financial results or our financial position could be adversely affected through lower gas volumes and revenues. While Southwest Gas has in place decoupling mechanisms to guard against weather and volume variability in all three states, lower volumes could protract the period of recovery of certain regulatory mechanisms, and, for jurisdictions in which decoupling benchmarks are designed on a per-customer basis, earnings may deteriorate if these factors cause shifts in population, notably, customers moving away from our service territories.</w:t>
      </w:r>
    </w:p>
    <w:p>
      <w:pPr>
        <w:spacing w:after="0" w:line="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While Centuri is at times able to benefit by providing storm-restoration services in regard to its customers’ above-ground utility infrastructure, and this type of work generates a higher profit margin than core infrastructure services (due to improved operating efficiencies related to equipment utilization and absorption of fixed costs), climate change could detrimentally result in more frequent and more severe weather events, such as hurricanes, tornadoes, extreme precipitation/flooding, and extreme snow events, increasing the cost of supporting restoration or limiting access to perform the necessary work efficiently or at all. Drought and high temperature variations are common occurrences in the southwestern U.S. and could impact Southwest Gas’ growth and results of operations. In addition, if we were unable to obtain a sufficient supply of natural gas as a result of extreme weather events impacting our suppliers, or if extreme weather events impact our ability to deliver natural gas to our customers, our reputation may suffer, and financial results could be impacted by insufficient cash flows from lower billed revenues and higher borrowing costs, even if decoupling mechanisms permit recognition of revenues for later cash collection under the mechanisms.</w:t>
      </w:r>
    </w:p>
    <w:p>
      <w:pPr>
        <w:spacing w:after="0" w:line="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Additionally, if the Company does not evolve its business practices to participate in a lower-carbon economy, its business and reputation may be negatively impacted. Although the number of renewable energy sources is growing, it will take time for North America to transition to a lower-carbon economy and will require innovation, technological advancements, and substantial investments that result in new low- and no-carbon energy options. As a builder of both energy and renewable energy infrastructure, and as a natural gas service provider, the Company plays a vital role. Transition activities, such as reducing GHG emissions; investing in RNG, hydrogen, and other sustainable sources of energy; increasing customer participation in energy efficiency programs; displacing higher carbon intensive fuels with natural gas and reducing carbon intensity of fuels we deliver; working with upstream suppliers on certified or responsibly sourced gas; and taking additional measures by offering and using carbon offset purchases, could result in significant capital outlays and increased expenses.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9" w:name="page20"/>
    <w:bookmarkEnd w:id="19"/>
    <w:p>
      <w:pPr>
        <w:jc w:val="both"/>
        <w:spacing w:after="0" w:line="282" w:lineRule="auto"/>
        <w:rPr>
          <w:sz w:val="20"/>
          <w:szCs w:val="20"/>
          <w:color w:val="auto"/>
        </w:rPr>
      </w:pPr>
      <w:r>
        <w:rPr>
          <w:rFonts w:ascii="Times New Roman" w:cs="Times New Roman" w:eastAsia="Times New Roman" w:hAnsi="Times New Roman"/>
          <w:sz w:val="18"/>
          <w:szCs w:val="18"/>
          <w:b w:val="1"/>
          <w:bCs w:val="1"/>
          <w:color w:val="auto"/>
        </w:rPr>
        <w:t>A cybersecurity incident has the potential to disrupt normal business operations, expose sensitive information, and/or lead to physical damages, and may result in legal claims or damage to our reputation.</w:t>
      </w:r>
    </w:p>
    <w:p>
      <w:pPr>
        <w:spacing w:after="0" w:line="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utility provider and infrastructure services provider, maintaining business operations is critical for our customers, business partners, suppliers, and employees. Our operations and information technology systems may be vulnerable to an attack by individuals or organizations intending to disrupt our business operations and information technology systems, even though the Company has implemented policies, procedures, and controls to prevent and detect these activities. Third-party service providers, including those in our supply chain or who have access to customer and employee data or our systems, can also be the target of cyber attacks. We use our information technology systems to manage our intrastate and interstate pipeline and storage operations and other business processes. Disruption of those systems could adversely impact our ability to safely deliver natural gas to our customers and operate our pipeline and storage systems, result in harm to our reputation, and result in adverse financial impacts, including possible legal claims.</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process and store sensitive information, including certain PII, intellectual property, and business proprietary information as part of normal business operations. A cybersecurity breach of this information could expose us to monetary and other damages from customers, suppliers, business partners, government agencies, and others. The federal and state legislative and regulatory environment surrounding PII, information security, and data privacy is evolving and is likely to become increasingly demanding. Should the Company experience a material breach and/or become subject to additional regulation, it could face substantial compliance costs, reputational damage, and uncertain litigation risks.</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Physical damage due to a cybersecurity incident or acts of cyber terrorism could impact our utility sales, transportation, storage, and related services provided to customers and could lead to material liabilities. The Company has taken the initiative in fortifying the core infrastructure that supports the provision of these services. While these measures provide layers of defense to mitigate these risks, there can be no assurance that the measures will be effective against any particular cyber attack. Even though we have insurance coverage in place for cyber-related risks, if such an attack or act of terrorism were to occur, the Company’s operations and financial results could be adversely affected to the extent not fully covered by such insurance.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Reliance on third-party suppliers and subcontractors.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Centuri maintains oversight of third-party suppliers, subcontractors, and equipment manufacturers, it utilizes to assist with certain aspects of the work it performs for clients, any delay or failure by these parties in the completion of their portion of a given project may result in delays in the overall progress of the project or cause us to incur additional costs, thereby potentially impacting Centuri’s overall profitability. Furthermore, if Centuri’s relationship with its third-party suppliers and subcontractors were to be damaged, it may be difficult to replace them in a cost-effective manner.</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Reliance on similar services, and their availability, may also impact the ability of Southwest Gas to execute on its objectives for projects undertaken.</w:t>
      </w:r>
    </w:p>
    <w:p>
      <w:pPr>
        <w:spacing w:after="0" w:line="1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b w:val="1"/>
          <w:bCs w:val="1"/>
          <w:color w:val="auto"/>
        </w:rPr>
        <w:t>Challenges related to supply chain constraints have negatively affected, and may in the future negatively affect, Centuri’s work mix and volumes and could adversely impact our results of operations overall.</w:t>
      </w:r>
    </w:p>
    <w:p>
      <w:pPr>
        <w:spacing w:after="0" w:line="5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Due to increased demand across a range of industries, the global supply market for certain customer-provided components, including, but not limited to, electric transformers and gas risers needed to complete our customer projects at Centuri, has experienced isolated performance constraint and disruption in recent periods in support of a few customers. This constrained supply environment has adversely affected, and could further affect, customer-provided component availability, lead times and cost, and could increase the likelihood of unexpected cancellations or delays of supply of key components to customers, thereby leading to delays in Centuri’s ability to timely deliver projects to customers. In an effort to mitigate these risks, Centuri has redirected efforts to projects whereby the customer has provided necessary materials, but delays in materials and the costs associated with mobilizing/demobilizing workforces can lead to inefficiencies in absorption of fixed costs, higher labor costs for teams waiting to be deployed, and delays in pivoting to projects where necessary materials are available. Centuri’s efforts to adapt quickly or redeploy to other projects may fail to reduce the effects of these adverse supply chain conditions on Centuri’s business.</w:t>
      </w:r>
    </w:p>
    <w:p>
      <w:pPr>
        <w:spacing w:after="0" w:line="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Despite these mitigation efforts, any constrained supply conditions and future tariffs imposed on goods/supplies in addition to those pre-existing, may materially and adversely impact Centuri’s business, financial conditions, results of operations, and cash flows. Weather-related events, inflationary pressure, a fluctuating labor market, and geopolitical instability, among others, have also contributed to and exacerbated this strain within and outside the U.S., and there can be no assurance that these impacts on the supply chain will not continue, or worsen, in the future, negatively impacting any of Centuri’s operating business lines and their results. The current supply chain challenges could also result in increased use of cash, engineering design changes, and delays in the completion of projects, each of which could adversely impact our business and results of operations. In the event these supply chain challenges persist for the foreseeable future, these conditions could materially and adversely impact our results of operations and financial condition over an extended period.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Disruptions in labor relations with Centuri’s employees could adversely affect results of operations.</w:t>
      </w:r>
    </w:p>
    <w:p>
      <w:pPr>
        <w:spacing w:after="0" w:line="11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majority of Centuri’s labor force is covered by collective bargaining agreements with labor unions, which is typical of the utility infrastructure services industry. Labor disruptions, boycotts, strikes, or significant negotiated wage and benefit increases at Centuri, whether due to employee turnover or otherwise, could have a material adverse effect on Centuri’s business and results of operations and cash flows.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Changing and uncertain work environment and conditions at Centuri could result in delays relating to billing and payment.</w:t>
      </w:r>
    </w:p>
    <w:p>
      <w:pPr>
        <w:spacing w:after="0" w:line="11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Centuri performs work in a variety of geographic locations, each presenting unique environmental, surface, and subsurface conditions. As a consequence of work being performed under change orders when unexpected conditions are encountered, Centuri periodically experiences delays relating to billing and payment under these altered conditions.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Previously Announced Strategic Transactions</w:t>
      </w:r>
    </w:p>
    <w:p>
      <w:pPr>
        <w:spacing w:after="0" w:line="1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color w:val="auto"/>
        </w:rPr>
        <w:t>Our options for disposing of our remaining ownership interest in Centuri may be limited by market conditions and tax considerations. Any disposition transaction of Centuri common stock may not occur on the anticipated timeline and may not have the anticipated benefits.</w:t>
      </w:r>
    </w:p>
    <w:p>
      <w:pPr>
        <w:spacing w:after="0" w:line="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15, 2022, we announced our intention to pursue a separation of Centuri into an independent publicly-traded company, subject to the satisfaction of certain conditions, including receipt of favorable rulings from the IRS and receipt of other regulatory approvals. On November 6, 2023, we announced that the IRS had advised us that it had exercised its discretion not to rule on certain tax questions related to a potential separation of Centuri due to the fact-intensive nature of the questions presented. On April 22, 2024, the Centuri IPO was completed. We remain committed to disposing of our remaining ownership interest in Centuri and continue to assess the value of a potential tax-free disposition of Centuri common stock. Following the Centuri IPO, we intend to fully dispose of our ownership in Centuri in one or more disposition transactions, including by way of sales of our shares of Centuri common stock, one or more exchange offers for Company shares, or distributions, or any combination thereof.</w:t>
      </w:r>
    </w:p>
    <w:p>
      <w:pPr>
        <w:spacing w:after="0" w:line="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While we currently intend any spin-off transaction, if effected, to qualify as a tax-free transaction to our stockholders and the Company, the availability of a tax-free spin-off will depend on the continuing satisfaction of a number of requirements, including a requirement that we own, and distribute in the spin-off, at least 80% of the outstanding voting stock of Centuri and at least 80% of any non-voting stock of Centuri. Although the agreements implementing the spin-off contain a number of provisions intended to ensure this “control” requirement and other tax-free spin-off requirements will be met, we cannot provide assurances that ultimately will be the case. For example, an issuance of additional equity by Centuri prior to a spin-off or any transaction we undertake that results in us owning less than 80% of the outstanding voting stock or less than 80% of any non-voting stock of Centuri could mean that a tax-free disposition would no longer be possible. In addition, the ability to effect a tax-free disposition for the Company (as opposed to our stockholders) could be lost if certain stock purchases (including by existing or new holders in the open market) are treated as part of a plan pursuant to which one or more persons directly or indirectly acquire a 50% or greater interest in the Company (a “355 Ownership Change”) occurs within applicable time periods for purposes of Section 355(e) of the Internal Revenue Code. We have taken certain actions, including the adoption of a plan to help preserve the tax-free nature of any disposition transaction. However, we can provide no assurance that such actions will ultimately permit us to complete a disposition transaction that is tax-free to us or our shareholders or that our existing net operating losses will fully offset the impact of any disposition transaction that is taxable to us. In addition, a disposition transaction other than a spin-off, such as a sell-down, would be taxable, causing substantial taxes to be paid or exhaust other tax net operating loss benefits otherwise available to us.</w:t>
      </w:r>
    </w:p>
    <w:p>
      <w:pPr>
        <w:spacing w:after="0" w:line="8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Disposing of our remaining ownership interest in Centuri will also require significant time and attention from management, which could distract them from other tasks in operating our business and disrupt our operations. We cannot provide assurances that the transactions described above, if consummated, will yield greater net benefits to us and our stockholders than if the transactions described above do not occur. Further, as of the date of this Annual Report on Form 10-K, we currently hold an approximately 81% ownership interest in Centuri. We cannot predict the trading price of shares of Centuri’s common stock and the market value of the Centuri shares are subject to market volatility and other factors outside of our control. While we currently intend to divest our remaining ownership interest in Centuri over time, as described above, there can be no assurance regarding the ultimate timing of such divestiture or as to the pricing or specific terms thereof. Unanticipated developments could delay, prevent or otherwise adversely affect the divestiture, including but not limited to financial market conditions. If we fail to achieve some or all of the benefits expected to result from the Centuri IPO and/or other potential disposition transactions described above, or if such benefits are delayed, our business, operating results and financial condition could be materially and adversely affected.</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1" w:name="page22"/>
    <w:bookmarkEnd w:id="21"/>
    <w:p>
      <w:pPr>
        <w:jc w:val="both"/>
        <w:spacing w:after="0" w:line="282" w:lineRule="auto"/>
        <w:rPr>
          <w:sz w:val="20"/>
          <w:szCs w:val="20"/>
          <w:color w:val="auto"/>
        </w:rPr>
      </w:pPr>
      <w:r>
        <w:rPr>
          <w:rFonts w:ascii="Times New Roman" w:cs="Times New Roman" w:eastAsia="Times New Roman" w:hAnsi="Times New Roman"/>
          <w:sz w:val="18"/>
          <w:szCs w:val="18"/>
          <w:b w:val="1"/>
          <w:bCs w:val="1"/>
          <w:color w:val="auto"/>
        </w:rPr>
        <w:t>If we dispose of our remaining equity ownership in Centuri, our and Centuri’s operational and financial profiles will change and each will be a less diversified company than each exists today.</w:t>
      </w:r>
    </w:p>
    <w:p>
      <w:pPr>
        <w:spacing w:after="0" w:line="5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disposition of our remaining ownership interest in Centuri, if effected, will result in us and Centuri being less diversified companies with more limited businesses concentrated in our respective industries. As a result, each company may be more vulnerable to changing market conditions, which could have a material adverse effect on our business, financial condition, and results of operations. In addition, the diversification of revenues, costs, and cash flows will diminish, such that each company’s results of operations, cash flows, working capital, effective tax rate, and financing requirements may be subject to increased volatility and its ability to fund capital expenditures and investments, pay dividends, and service debt may be diminished. Once we own stock representing less than 80% of the total value of all outstanding Centuri capital stock or less than 80% of the total voting power of all outstanding Centuri voting stock, Centuri will cease to be a member of the U.S. federal consolidated income tax group, of which Southwest Gas Holdings is the common parent, and the effective tax rate for each separate company will differ from our consolidated effective tax rate.</w:t>
      </w:r>
    </w:p>
    <w:p>
      <w:pPr>
        <w:spacing w:after="0" w:line="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color w:val="auto"/>
        </w:rPr>
        <w:t>If the disposition of our remaining equity ownership in Centuri is completed, there may be changes in our stockholder base, which may cause the price of our common stock to fluctuate</w:t>
      </w:r>
      <w:r>
        <w:rPr>
          <w:rFonts w:ascii="Times New Roman" w:cs="Times New Roman" w:eastAsia="Times New Roman" w:hAnsi="Times New Roman"/>
          <w:sz w:val="18"/>
          <w:szCs w:val="18"/>
          <w:color w:val="auto"/>
        </w:rPr>
        <w:t>.</w:t>
      </w:r>
    </w:p>
    <w:p>
      <w:pPr>
        <w:spacing w:after="0" w:line="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Investors holding our common stock may hold our common stock because of a decision to invest in a company that operates in multiple markets with a diversified portfolio. If we dispose of the remainder of our ownership interest in Centuri, shares of our common stock will represent an investment in a business concentrated in the natural gas distribution industry, and shares of the common stock of Centuri will represent an investment in the utility infrastructure services business. This change may not align with some stockholders’ investment strategies, which could cause them to sell their shares of our common stock or the common stock of Centuri, and excessive selling pressure could cause the market price to decrease following such disposition. Additionally, we cannot predict whether the market value of our common stock and the common stock of Centuri after we dispose of our remaining ownership interest in Centuri will be, in the aggregate, less than, equal to, or greater than the market value of our common stock prior to such disposition.</w:t>
      </w:r>
    </w:p>
    <w:p>
      <w:pPr>
        <w:spacing w:after="0" w:line="7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color w:val="auto"/>
        </w:rPr>
        <w:t>In connection with the Centuri IPO, Centuri agreed to indemnify us for certain liabilities. However, there can be no assurance that the indemnity will be sufficient to insure us against the full amount of such liabilities, or that Centuri’s ability to satisfy its indemnification obligations will not be impaired in the future.</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separation agreement and certain other agreements with Centuri, Centuri has agreed to indemnify us for certain liabilities. However, third parties could also seek to hold us responsible for any of the liabilities that Centuri has agreed to retain, and there can be no assurance that the indemnity from Centuri will be sufficient to protect us against the full amount of such liabilities, or that Centuri will be able to fully satisfy its indemnification obligations. In addition, our and/or Centuri’s insurance coverage may not be available or sufficient to cover certain occurrences of indemnified liabilities, and in any event insurers may deny coverage for liabilities associated with certain occurrences of indemnified liabilities. Moreover, even if we ultimately succeed in recovering from Centuri or such insurance providers any amounts for which we are held liable, we may be temporarily required to bear these losses. Each of these risks could have a material adverse effect on our businesses, financial condition, and results of operations.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or Centuri may fail to perform under various transaction agreements that were executed in connection with the Centuri IPO.</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separation agreement, the tax matters agreement, and other agreements that were entered into in connection with or as part of the Centuri IPO determine, among other matters, the allocation of assets and liabilities between the companies following the Centuri IPO for those respective areas and include related indemnifications related to liabilities and obligations. We have relied and will continue to rely on Centuri to satisfy its performance and payment obligations in good faith under these agreements. If Centuri is unable or unwilling to satisfy its obligations under these agreements, including its indemnification obligations, we could incur operational difficulties or losses.</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from time to time, claims, suits, or legal proceedings may arise in connection with the Centuri IPO and subsequent disposition transactions and the agreements that were entered into in connection with or as part of the Centuri IPO and subsequent disposition transactions. If we receive an adverse judgment in any such matter, we could be required to pay damages or cease certain practices or activities. Regardless of the merits of the claims, suits or other legal proceedings may be both time-consuming and disruptive to our business. The defense and ultimate outcome of any claims, suits or other legal proceedings could have a material adverse effect on our businesses, financial condition, and results of operations.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overlapping directors with Centuri, which may lead to conflicting interests or the appearance of conflicting interests.</w:t>
      </w:r>
    </w:p>
    <w:p>
      <w:pPr>
        <w:spacing w:after="0" w:line="11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Several of our directors and our CEO also serve as directors of Centuri. Our officers and members of our Board have fiduciary duties to our stockholders. Likewise, any such persons who serve as directors of Centuri have fiduciary duties to Centuri’s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2" w:name="page23"/>
    <w:bookmarkEnd w:id="22"/>
    <w:p>
      <w:pPr>
        <w:jc w:val="both"/>
        <w:spacing w:after="0" w:line="278" w:lineRule="auto"/>
        <w:rPr>
          <w:sz w:val="20"/>
          <w:szCs w:val="20"/>
          <w:color w:val="auto"/>
        </w:rPr>
      </w:pPr>
      <w:r>
        <w:rPr>
          <w:rFonts w:ascii="Times New Roman" w:cs="Times New Roman" w:eastAsia="Times New Roman" w:hAnsi="Times New Roman"/>
          <w:sz w:val="18"/>
          <w:szCs w:val="18"/>
          <w:color w:val="auto"/>
        </w:rPr>
        <w:t>stockholders. Therefore, such persons may have conflicts of interest or the appearance of conflicts of interest with respect to matters involving or affecting us and Centuri. The appearance of conflicts of interest created by such overlapping relationships also could impair the confidence of our investors.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Financial, Economic, and Market Risks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a holding company, the Company depends on operating subsidiaries to meet financial obligations.</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no significant assets other than the stock of operating subsidiaries and is not expected to have significant operations on its own. The Company’s ability to pay dividends to stockholders is dependent on the ability of its subsidiaries to generate sufficient net income and cash flows to service debt and pay upstream dividends. Because of the relative size of subsidiary operations, and their relative impacts to net income and cash flows, substantial dependency on the utility operations of Southwest Gas exists. The ability of the Company to pay upstream dividends and make other distributions are subject to relevant debt covenant restrictions of subsidiaries and applicable state law.</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Centuri’s clients’ budgetary constraints, regulatory support or decisions, and financial condition could adversely impact work awarded.</w:t>
      </w:r>
    </w:p>
    <w:p>
      <w:pPr>
        <w:spacing w:after="0" w:line="11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majority of Centuri’s clients are regulated utilities, whose capital budgets are influenced significantly by the various public utility commissions. As a result, the timing and volume of work performed by Centuri is largely dependent on the regulatory environment in its operating areas and related client capital constraints. If budgets of Centuri’s clients are reduced, or regulatory support for capital projects and programs is diminished, it could have a material adverse effect on Centuri’s business, results of operations, and cash flows. Additionally, the impact of new regulatory and compliance requirements could result in productivity inefficiencies and adversely impact Centuri’s results of operations and cash flows, or timing delays in their realization.</w:t>
      </w:r>
    </w:p>
    <w:p>
      <w:pPr>
        <w:spacing w:after="0" w:line="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color w:val="auto"/>
        </w:rPr>
        <w:t>Southwest Gas’ liquidity, and in certain circumstances, its earnings, may be reduced from historical amounts or expectations during periods in which natural gas prices are rising significantly or are more volatile.</w:t>
      </w:r>
    </w:p>
    <w:p>
      <w:pPr>
        <w:spacing w:after="0" w:line="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Increases in the cost of natural gas may arise from a variety of factors, including weather, changes in demand, the level of production and availability of natural gas, transportation constraints, transportation capacity cost increases, federal and state energy and environmental regulation and legislation, the degree of market liquidity, natural disasters, wars and other catastrophic events, national and worldwide economic and political conditions, the price and availability of alternative fuels, and the success of our strategies in managing price risk.</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Rate schedules in each of Southwest Gas’ service territories contain purchased gas adjustment clauses which permit Southwest Gas to file for rate adjustments to recover increases in the cost of purchased gas. Increases in the cost of purchased gas have no direct impact on our profit margins, but do affect cash flows and can therefore impact the amount of our capital resources. Southwest Gas has used short-term borrowings in the past to temporarily finance increases in purchased gas costs, and would expect to do so again if the need arises.</w:t>
      </w:r>
    </w:p>
    <w:p>
      <w:pPr>
        <w:spacing w:after="0" w:line="7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Southwest Gas may file requests for rate increases to cover the rise in the cost of purchased gas. Due to the nature of the regulatory process, there is a risk of disallowance of full recovery of these costs during any period in which there has been a substantial run-up of these costs or our costs are more volatile. Any disallowance of purchased gas costs would reduce cash flows and earnings.</w:t>
      </w:r>
    </w:p>
    <w:p>
      <w:pPr>
        <w:spacing w:after="0" w:line="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color w:val="auto"/>
        </w:rPr>
        <w:t>Southwest Gas’ earnings may be materially impacted due to volatility in the cash surrender value of our COLI policies during periods in which stock market changes are significant.</w:t>
      </w:r>
    </w:p>
    <w:p>
      <w:pPr>
        <w:spacing w:after="0" w:line="5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Southwest Gas has life insurance policies on members of management and other key employees to indemnify against the loss of talent, expertise, and knowledge, as well as to provide indirect funding for certain nonqualified benefit plans. Cash surrender values are directly influenced by the investment portfolio underlying the insurance policies. This portfolio includes both equity and fixed income (mutual fund) investments. As a result, the cash surrender value (but not the net death benefits) moves up and down consistent with the movements in the broader stock and bond markets. Current tax regulations provide for tax-free treatment of life insurance (death benefit) proceeds. Therefore, changes in the cash surrender value components of COLI policies, as they progress towards the ultimate death benefits, are also recorded without tax consequences. Currently, we intend to hold the COLI policies for their duration. Changes in the cash surrender value of COLI policies, except as related to the purchase of additional policies, affect our earnings but not our cash flows.</w:t>
      </w:r>
    </w:p>
    <w:p>
      <w:pPr>
        <w:spacing w:after="0" w:line="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color w:val="auto"/>
        </w:rPr>
        <w:t>The cost of providing pension and postretirement benefits is subject to changes in pension asset values, changing demographics, and actuarial assumptions which may have an adverse effect on our financial results.</w:t>
      </w:r>
    </w:p>
    <w:p>
      <w:pPr>
        <w:spacing w:after="0" w:line="5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Southwest Gas provides pension and postretirement benefits to eligible employees. The costs of providing such benefits are subject to changes in the market value of our pension fund assets, discount rate changes, changing demographics, life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3" w:name="page24"/>
    <w:bookmarkEnd w:id="23"/>
    <w:p>
      <w:pPr>
        <w:jc w:val="both"/>
        <w:spacing w:after="0" w:line="253" w:lineRule="auto"/>
        <w:rPr>
          <w:sz w:val="20"/>
          <w:szCs w:val="20"/>
          <w:color w:val="auto"/>
        </w:rPr>
      </w:pPr>
      <w:r>
        <w:rPr>
          <w:rFonts w:ascii="Times New Roman" w:cs="Times New Roman" w:eastAsia="Times New Roman" w:hAnsi="Times New Roman"/>
          <w:sz w:val="18"/>
          <w:szCs w:val="18"/>
          <w:color w:val="auto"/>
        </w:rPr>
        <w:t>expectancies of beneficiaries, current and future legislative changes, and various actuarial calculations and assumptions. The actuarial assumptions used may differ materially from actual results due to changing market and economic conditions, withdrawal rates, interest rates, and other factors. These differences may result in a significant impact on the amount of pension expense or other postretirement benefit costs recorded in future periods. For example, lower than assumed returns on investments and/or reductions in bond yields could result in increased contributions and higher pension expense which would have a negative impact on our cash flows and reduce net income. While a treasury futures overlay is part of the pension plan investment strategy starting in 2024, intending to reduce funded ratio volatility and cost volatility by increasing protection with regard to changes in discount rates, there is no assurance that intended results will sufficiently materialize.</w:t>
      </w:r>
    </w:p>
    <w:p>
      <w:pPr>
        <w:spacing w:after="0" w:line="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color w:val="auto"/>
        </w:rPr>
        <w:t>Uncertain economic conditions may affect Southwest Gas’ ability to finance capital expenditures and could reduce capital expenditures in the industries Centuri serves.</w:t>
      </w:r>
    </w:p>
    <w:p>
      <w:pPr>
        <w:spacing w:after="0" w:line="5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Southwest Gas’ business is capital intensive. Our ability to finance capital expenditures and other matters will depend upon general economic conditions in the capital markets. Declining interest rates are generally believed to be favorable to utilities while rising interest rates are believed to be unfavorable because of the high capital costs of utilities. In addition, our authorized rate of return is based upon certain assumptions regarding interest rates. If interest rates are lower than assumed rates, our authorized rate of return in the future could be reduced. If interest rates are higher than assumed rates, it will be more difficult for us to earn our currently authorized rate of return. Furthermore, declines in our stock price resulting from economic downturns or otherwise could impact our ability to finance our operations as planned. Historically, we have frequently used an ATM Program to fund certain liquidity requirements. During 2024, we established a new ATM Program, but did not issue any equity through the ATM Program. If the ATM Program is insufficient to meet all of or our capital needs, we may have to explore alternative financing sources, which may not be available to us on attractive terms or at all. Future issuances of securities could be more expensive than ATM Program issuances and may dilute our existing stockholders’ percentage of ownership.</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 demand for Centuri’s services has been, and likely will continue to be, seasonal in nature and vulnerable to general downturns in the U.S. and Canadian economies in which Centuri operates. Uncertain or unfavorable market conditions could have a negative effect on demand for, or the profitability of, the services of Centuri’s customers. Centuri’s customers may not have the ability to fund capital expenditures for infrastructure or may have difficulty obtaining financing for planned projects during economic downturns. Uncertain or adverse economic or political conditions, the lack of availability of debt or equity financing and/or higher interest rates could reduce the capital spending of Centuri’s customers or cause project cancellations or deferrals.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could be negatively affected as a result of actions of activist shareholders.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in the past, and may again in the future, be the subject of actions by activist stockholders. Following the initiation of a tender offer to purchase shares of our common stock and the initiation of a proxy contest, we entered into a cooperation agreement with Icahn Partners LP and Icahn Partners Master Fund LP, investment entities affiliated with Carl C. Icahn, which cooperation agreement has been subsequently amended and restated (the “Amended and Restated Cooperation Agreement”). As of December 31, 2024, the Icahn Group beneficially owned approximately 13.4% of the outstanding shares of our common stock. There can be no assurances that the Icahn Group, if the Amended and Restated Cooperation Agreement expires, or other activist stockholders will not pursue similar actions with respect to us in the future.</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Responding to actions by activist shareholders can be costly and time-consuming, disrupt our operations, and divert the attention of management and our employees. Perceived uncertainties among current and potential customers, employees, and other parties as to our future direction may result in the loss of potential business opportunities and may make it more difficult to attract and retain qualified personnel and business partners. These actions could also cause our stock price to experience periods of volatility, which could disrupt our plans to access the capital markets for financing purposes.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Increases in market interest rates may have an adverse effect on the market price of our common stock.</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One of the factors that investors may consider in deciding whether to buy or sell our common stock is our dividend yield, which is our dividend rate as a percentage of the share price of our common stock, relative to market interest rates. If market interest rates increase, prospective investors may desire a higher dividend yield on our common stock or may seek securities paying higher dividends or interest. As a result, interest rate fluctuations and capital market conditions may affect the market price of our common stock and such effects could be significant. For instance, if interest rates, including those on interest-bearing securities, such as bonds, rise without an increase in our dividend rate, the market price of our common stock could decrease because potential investors may require a higher dividend yield on our common stock.</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Regulatory, Legislative, and Legal Risks</w:t>
      </w:r>
    </w:p>
    <w:p>
      <w:pPr>
        <w:spacing w:after="0" w:line="1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color w:val="auto"/>
        </w:rPr>
        <w:t>The Company is currently subject to, and may in the future be subject to, litigation or threatened litigation, which may result in liability exposure that could have a material adverse effect on its business and results of operations.</w:t>
      </w:r>
    </w:p>
    <w:p>
      <w:pPr>
        <w:spacing w:after="0" w:line="5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are currently subject, and may be subject in the future, to litigation or threatened litigation, including claims brought by stockholders and otherwise in the ordinary course of business. Although we believe that adequate insurance coverage is maintained to protect against risk exposure, it is difficult to predict with absolute certainty the costs associated with litigation, indemnity obligations, or other claims asserted in any given year. Moreover, it is possible that not all liabilities and costs experienced will be covered by third-party insurance, and potential further claims against us may result in significant additional defense costs and potentially significant judgments against us, some of which may not be, or cannot be, insured against. Additionally, whether or not any dispute actually proceeds to litigation, we may be required to pay damages or expenses, which may be significant, or involve our agreement with terms that restrict the operation of our business. Resolution of these types of matters against us may result in our having to pay significant fines, judgments, or settlements, which, if in excess of insured levels, could have an adverse effect on our financial condition, results of operations, cash flows, the per share trading price of our common stock, and our ability to pay dividends to our stockholders. As a consequence, liability exposure could materially and adversely affect our business and results of operations to the extent it is not fully mitigated by such insurance coverage.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policies and regulatory actions can reduce Southwest Gas’ earnings or cash flows and impact demand for Centuri’s services.</w:t>
      </w:r>
    </w:p>
    <w:p>
      <w:pPr>
        <w:spacing w:after="0" w:line="11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Regulatory commissions set our utility customer rates and determine what we can charge for our rate-regulated services. Our ability to obtain timely future rate increases depends on regulatory discretion. Governmental policies and regulatory actions, including those of the ACC, CPUC, PUCN, and FERC relating to allowed rates of return, allowable rate base, rate structure, purchased gas and investment recovery, operation and construction of facilities, present or prospective wholesale and retail competition including electrification or decarbonization policies or proposed policies by governmental entities or other parties, changes in tax laws and policies (including regulatory recovery or refunds thereof), and changes in and compliance with environmental and safety laws, including state or federal EPA or PHMSA regulations, and regulations placed on us or our customers, regarding the product we deliver in meeting customer energy needs, could reduce our earnings. Risks and uncertainties relating to delays in obtaining, or failure to obtain, regulatory approvals, conditions imposed in regulatory approvals, and determinations in regulatory investigations can also impact financial performance. The timing and amount of rate relief can materially impact results of operations. The timing and amount associated with the recovery of regulatory assets and associated with the return of regulatory liabilities can materially impact cash flows.</w:t>
      </w:r>
    </w:p>
    <w:p>
      <w:pPr>
        <w:spacing w:after="0" w:line="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In general, we are unable to predict what types of conditions might be imposed on Southwest Gas or what types of determinations might be made in pending or future regulatory proceedings or investigations. We nevertheless believe that it is not uncommon for conditions to be imposed in regulatory proceedings, for our regulated operations to agree to conditions as part of a settlement of a regulatory proceeding, or for determinations to be made in regulatory investigations that reduce our earnings and liquidity. For example, we may request recovery of a particular operating expense in a general rate case filing that a regulator disallows, negatively impacting our earnings if the expense continues to be incurred. Southwest Gas records regulatory assets in the consolidated financial statements to reflect the ratemaking and regulatory decision-making authority of the regulators, or expected ratemaking treatment to be upheld, as allowed by U.S. GAAP. The creation of a regulatory asset allows for the deferral of costs which, absent a mechanism to recover such costs from customers in rates approved by regulators, would be charged to expense in the consolidated income statement in the period incurred. If there was a change in regulatory positions surrounding the collection of these deferred costs, there could be a material impact on financial position, results of operations, and cash flows.</w:t>
      </w:r>
    </w:p>
    <w:p>
      <w:pPr>
        <w:spacing w:after="0" w:line="6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Further, current and potential legislative or regulatory actions may impact demand for Centuri’s services, require utilities to meet reliability standards, and encourage installation of new electric transmission and distribution and renewable energy generation facilities. However, it is unclear whether these initiatives will create sufficient incentives for projects or result in increased demand for Centuri’s services, or if these incentives will continue to exist under President Trump’s administration. Because most of Centuri’s transmission and distribution revenue is derived from natural gas and electric transmission and distribution industries, regulatory and environmental requirements affecting those industries could adversely affect Centuri’s business, financial condition, results of operations, and cash flows. Customers in the industries Centuri serves overall face stringent regulatory and environmental requirements, as well as permitting processes, as they implement plans for their projects, which may result in delays, reductions and cancellations of some of their projects. These regulatory factors have resulted in decreased demand for Centuri’s services in the past, and they may do so in the future, potentially impacting Centuri’s operations and our ability to grow at historical levels, or at all.</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Southwest Gas may not be able to rely on rate decoupling to maintain a stable financial position, results of operations, and cash flows.</w:t>
      </w:r>
    </w:p>
    <w:p>
      <w:pPr>
        <w:spacing w:after="0" w:line="11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Management has worked with regulatory commissions in designing rate structures that strive to provide affordable and reliable service to our customers while mitigating the volatility in prices to customers and stabilizing returns to investors. Rate structures in all service territories allow Southwest Gas to separate or “decouple” the recovery of operating margin from natural gas consumption, though decoupled structures vary by state. In California, authorized operating margin levels vary by month. In Nevada and Arizona, the decoupled rate structures apply to most customer classes on the basis of margin per customer, which varies by month. Collectively, these mechanisms provide stability in annual operating margin. Significantly warmer-than-normal weather conditions in our service territories and other factors, such as climate change and alternative energy sources, may result in decreased cash flows attributable to lower natural gas sales and delays in recovering regulatory asset balances. Furthermore, continuation of the decoupled rate designs currently in place is subject to regulatory discretion, and if unfavorably modified or discontinued, could adversely impact Southwest Gas’ financial position and results of operations.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color w:val="auto"/>
        </w:rPr>
        <w:t>Southwest Gas may be subject to increased costs related to the operation of natural gas pipelines under regulations concerning natural gas pipeline safety, which could have an adverse effect on our results of operations, financial condition, and/or cash flows.</w:t>
      </w:r>
    </w:p>
    <w:p>
      <w:pPr>
        <w:spacing w:after="0" w:line="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committed to consistently monitoring and maintaining our distribution and transmission systems and storage operations to ensure that natural gas is acquired, stored, and/or delivered safely, reliably, and efficiently. Due to the combustible nature of our (or our customer-procured) product, we anticipate that the natural gas industry could be the subject of increased federal, state, and local regulatory oversight over time. We continue to work diligently with industry associations and federal, state, and local regulators to ensure compliance with any applicable laws. We expect there to be increased costs associated with compliance (and potential penalties for any non-compliance) with applicable laws over time. If these costs are not recoverable in our customer rates, or if there are delays in recoverability due to regulatory lag, they could have a negative impact on our operating costs and financial results.</w:t>
      </w:r>
    </w:p>
    <w:p>
      <w:pPr>
        <w:spacing w:after="0" w:line="7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color w:val="auto"/>
        </w:rPr>
        <w:t>Southwest Gas’ delivery and related systems require numerous permits and other approvals from various federal, state, and local governmental agencies, and others, including for pipeline expansion or infrastructure development; any failure to obtain or maintain required permits or approvals, or other factors that could prevent or delay planned development, could negatively affect our business and results of operations.</w:t>
      </w:r>
    </w:p>
    <w:p>
      <w:pPr>
        <w:spacing w:after="0" w:line="6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Southwest Gas’ existing and planned development projects require multiple permits and approvals. More broadly, the acquisition, ownership and operation of natural gas pipelines and storage facilities require numerous permits, rights-of-way, approvals and certificates from federal, state, and local governmental agencies or others. Various factors may prevent or delay us from completing such projects or may make completion more costly, including the inability to obtain approvals, public opposition to one or more projects, regulatory opposition to one or more projects or related programs or their delayed recovery and returns thereon, inability to obtain adequate financing, competition for labor and materials, construction delays, cost overruns, and inability to negotiate acceptable agreements relating to rights-of-way, construction, or other material development components. Once received, approvals may be subject to litigation, and projects may be delayed or approvals reversed. Furthermore, areas in which we operate may include concentrations of federal lands that may limit or increase the cost for economic development, which could impact the amount or timing of growth in our areas. If there is a delay in obtaining any required approvals by us or others, or if we or others fail to obtain or maintain any required approvals, easements or rights of way or to comply with any applicable laws or regulations, we may not be able to construct or operate our facilities, may not be able to adequately service existing customers or support or realize customer growth, or such conditions could cause us to incur additional costs. These circumstances could negatively impact our earnings.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General Risks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operating results may be adversely impacted by an economic downturn.</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an economic slowdown occurs, our financial condition, results of operations, and cash flows could be adversely affected. Fluctuations and uncertainties in the economy make it challenging for us to accurately forecast and plan future business activities and to identify risks that may affect our business, financial condition, and operating results. However, current global economic events such as the war in Ukraine and the ongoing conflicts in the Middle East, rising inflation, tariffs, and elevated interest rates may cause the global economy to enter a period of economic slowdown or recession. We cannot predict the timing, strength, or duration of any future economic slowdown or recession. If the economy or the markets in which we operate decline from present levels, it may have an adverse effect on our business, financial condition, and results of operations.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6" w:name="page27"/>
    <w:bookmarkEnd w:id="26"/>
    <w:p>
      <w:pPr>
        <w:jc w:val="both"/>
        <w:spacing w:after="0" w:line="282" w:lineRule="auto"/>
        <w:rPr>
          <w:sz w:val="20"/>
          <w:szCs w:val="20"/>
          <w:color w:val="auto"/>
        </w:rPr>
      </w:pPr>
      <w:r>
        <w:rPr>
          <w:rFonts w:ascii="Times New Roman" w:cs="Times New Roman" w:eastAsia="Times New Roman" w:hAnsi="Times New Roman"/>
          <w:sz w:val="18"/>
          <w:szCs w:val="18"/>
          <w:b w:val="1"/>
          <w:bCs w:val="1"/>
          <w:color w:val="auto"/>
        </w:rPr>
        <w:t>A significant reduction in the Company’s, Centuri’s, and Southwest Gas’ credit ratings could materially and adversely affect our business, financial condition, and results of operations.</w:t>
      </w:r>
    </w:p>
    <w:p>
      <w:pPr>
        <w:spacing w:after="0" w:line="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cannot be certain that any of our current credit ratings will remain in effect for any given period of time or that a credit rating will not be lowered or withdrawn entirely by a rating agency if, in its judgment, circumstances in the future so warrant. Our credit ratings are subject to change at any time at the discretion of the applicable ratings agencies. Numerous factors, including many which are not within our control, are considered by the ratings agencies in connection with assigning credit ratings.</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downgrade could increase our future borrowing costs, which would diminish our financial results. We would likely be required to pay a higher interest rate in certain current, as well as future, financings, and our potential pool of investors and funding sources could decrease. A downgrade could require additional support in the form of letters of credit or cash or other collateral and could otherwise adversely affect our business, financial condition, and results of operations.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unable to successfully integrate business acquisitions into our business and realize the anticipated benefits of such acquisitions.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Business acquisitions are expected to result in various benefits, including, among other things, being accretive to earnings in future periods. The achievement of the anticipated benefits of such acquisitions is subject to a number of uncertainties, including whether the businesses are integrated efficiently and effectively. Failure to achieve the anticipated benefits of acquisitions could result in increased costs, decreases in the amount of expected revenues generated, and the potential diversion of management’s time and energy, all of which could have an adverse effect on the consolidated financial position, results of operations, cash flows, credit ratings, or market price of our common stock. Acquisitions may also cause us to issue debt which would increase our liabilities and borrowing cost, or to issue equity securities, which would dilute our existing stockholders’ percentage of ownership.</w:t>
      </w:r>
    </w:p>
    <w:p>
      <w:pPr>
        <w:spacing w:after="0" w:line="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color w:val="auto"/>
        </w:rPr>
        <w:t>Natural disasters, public health crises and epidemic or pandemic related illness, war, or terrorist activities and other extreme events could adversely affect the Company’s business, results of operations, financial condition, liquidity and/or cash flows.</w:t>
      </w:r>
    </w:p>
    <w:p>
      <w:pPr>
        <w:spacing w:after="0" w:line="5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Local or national natural disasters, pandemic, or epidemic illness, actual or threatened acts of war or terrorist activities, including the political and economic disruption and uncertainty related to Russia's military invasion of Ukraine and the conflicts or any resurgence in the Middle East, catastrophic failure of pipeline systems and other extreme events may cause a threat to our assets and operations. Our service territories may face a heightened risk due to exposure to acts of terrorism that could target or impact our natural gas distribution, transmission, and storage facilities and disrupt our operations and ability to meet customer requirements. In addition, the threat of terrorist activities could lead to increased economic instability and volatility in the price of natural gas that could affect our operations. Natural disasters, political unrest or actual or threatened terrorist activities may also disrupt capital markets and our ability to raise capital or may impact our suppliers or our customers directly. A local disaster, pandemic, or epidemic illness could result in part of our workforce being unable to operate or maintain our infrastructure or perform other tasks necessary to conduct our business. In addition, these risks could result in loss of human life, significant damage to property, environmental damage, impairment of our operations and substantial loss to the Company. Our regulators may not allow us to recover from our customers part or all of the increased costs related to the foregoing events, which could negatively affect our financial condition, results of operations, and cash flows.</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slow or inadequate response to events that could cause business interruption may have an adverse impact on operations and earnings. We may be unable to obtain sufficient insurance to cover all risks associated with local and national disasters, pandemic or epidemic illness, terrorist activities, catastrophic failure of the pipeline system and other events, which could increase the risk that an event adversely affects our financial condition, results of operations, and cash flows.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goodwill and other assets have been subject to impairment and may be subject to further impairment in the future.</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assess long-lived assets, including intangible assets associated with acquisitions, for impairment whenever events or circumstances indicate that an asset’s carrying amount may not be recoverable. To the extent that circumstances change, there may be additional goodwill impairment that could have a material impact on our results of operations. We cannot predict the amount and timing of any future impairments, if any. Any future impairment of our goodwill or intangible assets could have an adverse effect on results of operations, as well as the trading price of our common stock.</w:t>
      </w:r>
    </w:p>
    <w:p>
      <w:pPr>
        <w:spacing w:after="0" w:line="109"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0"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 Management and Strategy</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recognize the importance of assessing, identifying, and managing material risks associated with cybersecurity threats. These risks include, among other things: operational risks; intellectual property and proprietary business information theft; fraud; extortion; harm to employees or customers; violation of privacy or security laws and other litigation and legal risk; physical damage to utility and transmission infrastructure; and reputational harm. We have implemented cybersecurity processes, technologies, and controls to aid in our efforts to assess, identify, and manage these risks. As part of our enterprise risk management program, we consider cybersecurity risks alongside other risks in our overall risk assessment process. Our enterprise risk professionals collaborate with subject matter specialists, as necessary, to gather insights for identifying material cybersecurity threats, assessing their severity, and deploying potential mitigations.</w:t>
      </w:r>
    </w:p>
    <w:p>
      <w:pPr>
        <w:spacing w:after="0" w:line="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Southwest Gas’ cybersecurity program focuses on people, processes, and technology, and takes a defense-in-depth approach by seeking to align with industry best practices. We invest in annual cybersecurity awareness training and testing for employees, by means of which we teach employees about remaining vigilant in daily work activities and practicing good security awareness. Specialized cybersecurity training is provided to those in specific job functions particularly susceptible to cyber incidents and phishing simulations are conducted monthly. Annually, a cybersecurity fair is held, and every employee is encouraged to participate. During this fair, outside experts present current and relevant information in an engaging and educational atmosphere. Tabletop exercises are periodically conducted to evaluate controls, processes, and procedures within Southwest Gas and with our partners in the handling of a cybersecurity incident. Southwest Gas maintains partnerships with law enforcement and other participants within the natural gas and electric utility industries. We also participate in the Information Sharing and Analysis Center to share threat intelligence and collaborate on cybersecurity issues affecting our industry.</w:t>
      </w:r>
    </w:p>
    <w:p>
      <w:pPr>
        <w:spacing w:after="0" w:line="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natural gas LDC, Southwest Gas’ objective is to comply with the TSA security directives for our gas monitoring and control systems. Pursuant to these directives, Southwest Gas engages outside consultants to regularly review our technical architecture and alignment with the TSA security directives. In addition to complying with these regulations, Southwest Gas takes a quantitative approach to cybersecurity risk to identify areas for future cybersecurity investment and periodically engages experts to attempt to infiltrate our information systems to further strengthen our security posture. We invest in a range of cybersecurity technologies within the perimeter, network, and endpoints, creating a defense-in-depth architecture designed for prevention and response to cybersecurity events and to help minimize risk exposure.</w:t>
      </w:r>
    </w:p>
    <w:p>
      <w:pPr>
        <w:spacing w:after="0" w:line="77"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To provide for the availability of critical data and systems, maintain regulatory compliance, manage our risks from cybersecurity threats, and to protect against, detect, and respond to cybersecurity incidents, Southwest Gas undertakes the following activities:</w:t>
      </w:r>
    </w:p>
    <w:p>
      <w:pPr>
        <w:spacing w:after="0" w:line="1" w:lineRule="exact"/>
        <w:rPr>
          <w:sz w:val="20"/>
          <w:szCs w:val="20"/>
          <w:color w:val="auto"/>
        </w:rPr>
      </w:pPr>
    </w:p>
    <w:p>
      <w:pPr>
        <w:ind w:left="640" w:hanging="312"/>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deploys a defense-in-depth approach with security measures in place at multiple layers;</w:t>
      </w:r>
    </w:p>
    <w:p>
      <w:pPr>
        <w:spacing w:after="0" w:line="25"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closely monitors information systems using a suite of technologies and a specialized cybersecurity team;</w:t>
      </w:r>
    </w:p>
    <w:p>
      <w:pPr>
        <w:spacing w:after="0" w:line="20"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emerging data protection laws and implements changes to our processes designed for compliance;</w:t>
      </w:r>
    </w:p>
    <w:p>
      <w:pPr>
        <w:spacing w:after="0" w:line="28"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trains each new employee who handles individual customer data on handling and use requirements for such data;</w:t>
      </w:r>
    </w:p>
    <w:p>
      <w:pPr>
        <w:spacing w:after="0" w:line="25" w:lineRule="exact"/>
        <w:rPr>
          <w:rFonts w:ascii="Times New Roman" w:cs="Times New Roman" w:eastAsia="Times New Roman" w:hAnsi="Times New Roman"/>
          <w:sz w:val="18"/>
          <w:szCs w:val="18"/>
          <w:color w:val="auto"/>
        </w:rPr>
      </w:pPr>
    </w:p>
    <w:p>
      <w:pPr>
        <w:ind w:left="640" w:hanging="312"/>
        <w:spacing w:after="0" w:line="255"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avoids, where possible, storing sensitive customer information like social security numbers or banking information for individual customers on our information systems;</w:t>
      </w:r>
    </w:p>
    <w:p>
      <w:pPr>
        <w:spacing w:after="0" w:line="1" w:lineRule="exact"/>
        <w:rPr>
          <w:rFonts w:ascii="Times New Roman" w:cs="Times New Roman" w:eastAsia="Times New Roman" w:hAnsi="Times New Roman"/>
          <w:sz w:val="18"/>
          <w:szCs w:val="18"/>
          <w:color w:val="auto"/>
        </w:rPr>
      </w:pPr>
    </w:p>
    <w:p>
      <w:pPr>
        <w:ind w:left="640" w:hanging="312"/>
        <w:spacing w:after="0" w:line="260"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conducts regular phishing email simulations for employees and contractors with access to corporate email systems to enhance awareness and responsiveness to possible threats;</w:t>
      </w:r>
    </w:p>
    <w:p>
      <w:pPr>
        <w:ind w:left="640" w:hanging="312"/>
        <w:spacing w:after="0" w:line="259"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policy, practice, and contracts (as applicable), encourages employees, as well as third parties who provide services on our behalf, to treat customer information and data with care;</w:t>
      </w:r>
    </w:p>
    <w:p>
      <w:pPr>
        <w:ind w:left="640" w:hanging="312"/>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runs tabletop exercises to simulate response activities to a cybersecurity incident and use the findings to improve our processes and technologies;</w:t>
      </w:r>
    </w:p>
    <w:p>
      <w:pPr>
        <w:spacing w:after="0" w:line="20" w:lineRule="exact"/>
        <w:rPr>
          <w:rFonts w:ascii="Times New Roman" w:cs="Times New Roman" w:eastAsia="Times New Roman" w:hAnsi="Times New Roman"/>
          <w:sz w:val="18"/>
          <w:szCs w:val="18"/>
          <w:color w:val="auto"/>
        </w:rPr>
      </w:pPr>
    </w:p>
    <w:p>
      <w:pPr>
        <w:ind w:left="640" w:right="20" w:hanging="312"/>
        <w:spacing w:after="0" w:line="260"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leverages the NIST Computer Security Incident Handling Process as a guideline to help identify, protect, detect, respond, and recover when there is an actual or potential cybersecurity incident; and</w:t>
      </w:r>
    </w:p>
    <w:p>
      <w:pPr>
        <w:ind w:left="640" w:hanging="312"/>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conducts vulnerability and penetration assessments, with associated remediation activities.</w:t>
      </w:r>
    </w:p>
    <w:p>
      <w:pPr>
        <w:spacing w:after="0" w:line="1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Southwest Gas’ incident response plan is designed to coordinate the activities we take to prepare for, detect, respond to, and recover from cybersecurity incidents. These activities include processes to triage, assess severity, communicate, contain, investigate, and remediate the incident, as well as to comply with applicable legal obligations and mitigate reputational damage.</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Southwest Gas’ processes also address cybersecurity threat risks associated with our use of third-party service providers, including those in our supply chain or those who have access to customer and employee data or our systems. Third-party risks are included within our cybersecurity-specific risk identification program. In addition, cybersecurity considerations affect the selection and oversight of our third-party service providers. We perform diligence on third parties that have access to our systems, data, or facilities that house such systems or data, and monitor cybersecurity threat risks identified through our diligence review. Our due diligence process involves the use of questionnaires that are completed by third-party service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28" w:name="page29"/>
    <w:bookmarkEnd w:id="28"/>
    <w:p>
      <w:pPr>
        <w:jc w:val="both"/>
        <w:spacing w:after="0" w:line="255" w:lineRule="auto"/>
        <w:rPr>
          <w:sz w:val="20"/>
          <w:szCs w:val="20"/>
          <w:color w:val="auto"/>
        </w:rPr>
      </w:pPr>
      <w:r>
        <w:rPr>
          <w:rFonts w:ascii="Times New Roman" w:cs="Times New Roman" w:eastAsia="Times New Roman" w:hAnsi="Times New Roman"/>
          <w:sz w:val="18"/>
          <w:szCs w:val="18"/>
          <w:color w:val="auto"/>
        </w:rPr>
        <w:t>providers and reviewed by business representatives and cybersecurity specialists to identify risks associated with third-party service providers. We use the responses provided to assist in finding ways to mitigate risks presented by a particular third-party service provider, consistent with the services provided. Additionally, contracts with third parties that could introduce significant cybersecurity risk to Southwest Gas include terms to assist in the mitigation of cybersecurity risks, including but not limited to, requiring counterparties to report data privacy or cybersecurity incidents to us and to agree to be subject to periodic cybersecurity audits as appropriate.</w:t>
      </w:r>
    </w:p>
    <w:p>
      <w:pPr>
        <w:spacing w:after="0" w:line="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describe whether and how risks from identified cybersecurity threats, including as a result of any previous cybersecurity incidents, have materially affected or are reasonably likely to materially affect us, including our business strategy, results of operations, or financial condition, under the heading “Operational Risks” as part of our risk factor disclosures in Item 1A of this Annual Report on Form 10-K, which are incorporated by reference herein. In the last three fiscal years, we have not experienced any material cybersecurity incidents and the expenses we have incurred from cybersecurity incidents were immaterial. However, because Southwest Gas’ operations involve critical infrastructure, as defined under federal law and by the TSA, we have been and will continue to be the target of cybersecurity attacks from time to time.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Governance</w:t>
      </w:r>
    </w:p>
    <w:p>
      <w:pPr>
        <w:spacing w:after="0" w:line="1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Cybersecurity is an important part of our risk management processes and an area of increasing focus for our Board and management. The responsibility for oversight of risks from cybersecurity threats rests with our entire Board, but the Audit Committee oversees certain cybersecurity related items as described below. At least twice per year the entire Board receives an overview from management on our cybersecurity threat risk management and strategy processes covering topics such as data security posture, results from third-party assessments, and cybersecurity threat risks or incidents and developments, as well as the steps management took to respond to such risks. Additionally, our Chief Information Officer attends Audit Committee meetings to present cybersecurity information for consideration in financial reporting, as necessary, and attends private Executive Sessions with the Audit Committee. Our Director of Internal Audit reports to the Audit Committee regarding attack and penetration exercise results and remediation. Members of the Board are also encouraged to regularly engage in ad hoc conversations with management on cybersecurity-related news or events and discuss any significant updates to our cybersecurity risk management and strategy programs. Material cybersecurity threat risks are also considered during separate Board meeting discussions of matters such as enterprise risk management, operational budgeting, mergers and acquisitions, and other relevant matters. In 2023, the Board participated in a tabletop exercise associated with cyber threats and in 2024 the Board received a presentation from the former Chief of Staff of the Cybersecurity and Infrastructure Security Agency.</w:t>
      </w:r>
    </w:p>
    <w:p>
      <w:pPr>
        <w:spacing w:after="0" w:line="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At the management level for Southwest Gas, our cybersecurity risk management and strategy processes, which are discussed in greater detail above, are led by Southwest Gas’ President and the Vice President/Information Services/Chief Information Officer, along with the Director of Information Security. A Cybersecurity Executive Committee, consisting of officer-level management appointees representing key areas of our business, exists to maintain situational awareness of cybersecurity risks, support methods of addressing cybersecurity risks, and support the Chief Information Officer’s efforts to help Southwest Gas follow natural gas sector-specific regulations and reporting. The Cybersecurity Executive Committee meets regularly with legal advisors and cybersecurity professionals. In our Information Services department, the cybersecurity management team members hold degrees in information technology or cybersecurity and industry-recognized certifications in cybersecurity, and each has many years of relevant work experience in various roles involving managing information security, developing cybersecurity strategy, and implementing effective information and cybersecurity programs. Cybersecurity team members are expected to keep their knowledge, skills, and training current by participating in industry events and continuing education programs as applicable.</w:t>
      </w:r>
    </w:p>
    <w:p>
      <w:pPr>
        <w:spacing w:after="0" w:line="8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These members of management and the Cybersecurity Executive Committee are informed about, and monitor the prevention, mitigation, detection, and remediation of, cybersecurity incidents through their management of, and participation in, the cybersecurity risk management and strategy processes described above, including the operation of our incident response plan. Our cybersecurity playbooks and incident response plan outline our procedures, communication protocols, and information escalation processes applicable throughout the lifecycle of a cybersecurity incident. The playbooks and plans cover information flow from discovery of a possible issue through the reporting of it to Information Services management, the Cybersecurity Executive Committee, and Board as necessary. As discussed above, members of management (our President, Chief Information Officer, and Director of Information Security) report to the entire Board about cybersecurity threat risks, among other cybersecurity related matters, at least twice per year, with the Audit Committee receiving more frequent updates as needed to assist in maintaining or enhancing cybersecurity posture in financial reporting, and monitoring attack and penetration testing results.</w:t>
      </w:r>
    </w:p>
    <w:p>
      <w:pPr>
        <w:spacing w:after="0" w:line="121"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11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plant investment of Southwest Gas consists primarily of transmission and distribution mains, compressor stations, peak shaving/storage facilities, service lines, meters, and regulators, which comprise the pipeline systems and facilities located in and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9" w:name="page30"/>
    <w:bookmarkEnd w:id="29"/>
    <w:p>
      <w:pPr>
        <w:jc w:val="both"/>
        <w:spacing w:after="0" w:line="255" w:lineRule="auto"/>
        <w:rPr>
          <w:sz w:val="20"/>
          <w:szCs w:val="20"/>
          <w:color w:val="auto"/>
        </w:rPr>
      </w:pPr>
      <w:r>
        <w:rPr>
          <w:rFonts w:ascii="Times New Roman" w:cs="Times New Roman" w:eastAsia="Times New Roman" w:hAnsi="Times New Roman"/>
          <w:sz w:val="18"/>
          <w:szCs w:val="18"/>
          <w:color w:val="auto"/>
        </w:rPr>
        <w:t>around the communities served. Southwest Gas also includes other properties such as land, buildings, furnishings, work equipment, vehicles, and software systems in utility plant. The northern Nevada and northern California properties of Southwest Gas are referred to as the northern system; the Arizona, southern Nevada, and southern California properties are referred to as the southern system. Total gas plant at December 31, 2024 was $11 billion at Southwest Gas, including construction work in progress. It is the opinion of management that the properties of Southwest Gas are suitable and adequate for its purposes.</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Substantially all gas main and service lines are constructed across property owned by others under right-of-way grants obtained from the record owners thereof, under the streets and on the grounds of municipalities under authority conferred by franchises or otherwise, or beneath public highways or public lands under authority of various federal and state statutes. None of the numerous county and municipal franchises are exclusive, and some are of limited duration. These franchises are renewed regularly as they expire, and Southwest Gas anticipates no serious difficulties in obtaining future renewals.</w:t>
      </w:r>
    </w:p>
    <w:p>
      <w:pPr>
        <w:spacing w:after="0" w:line="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respect to the right-of-way grants, Southwest Gas generally has had continuous and uninterrupted possession and use of such rights-of-way, and the associated gas mains and service lines, commencing with the initial stages of construction of such facilities. Permits have been obtained from public authorities and other governmental entities in certain instances to cross or to lay facilities along roads and highways. These permits typically are revocable at the election of the grantor, and Southwest Gas occasionally must relocate its facilities when requested to do so by the grantor. Permits have also been obtained from railroad companies to cross over or under railroad lands or rights-of-way, which in some instances require annual or other periodic payments and are revocable at the election of the grantors.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Southwest Gas, through two subsidiaries, operates two primary pipeline transmission systems:</w:t>
      </w:r>
    </w:p>
    <w:p>
      <w:pPr>
        <w:spacing w:after="0" w:line="34" w:lineRule="exact"/>
        <w:rPr>
          <w:sz w:val="20"/>
          <w:szCs w:val="20"/>
          <w:color w:val="auto"/>
        </w:rPr>
      </w:pPr>
    </w:p>
    <w:p>
      <w:pPr>
        <w:ind w:left="640" w:hanging="312"/>
        <w:spacing w:after="0" w:line="259"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system (including an LNG storage facility) owned by Great Basin extending from the Idaho-Nevada border to the Reno, Sparks, and Carson City areas and communities in the Lake Tahoe area in both California and Nevada and other communities in northern and western Nevada; and</w:t>
      </w:r>
    </w:p>
    <w:p>
      <w:pPr>
        <w:ind w:left="640" w:hanging="312"/>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system extending from the Colorado River at the southern tip of Nevada to the Las Vegas distribution area.</w:t>
      </w:r>
    </w:p>
    <w:p>
      <w:pPr>
        <w:spacing w:after="0" w:line="1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Southwest Gas provides natural gas service in parts of Arizona, Nevada, and California. Service areas in Arizona include most of the central and southern areas of the state, including Phoenix, Tucson, Yuma, and surrounding communities. Service areas in northern Nevada include Carson City, Yerington, Fallon, Lovelock, Winnemucca, Elko, and Spring Creek. Service areas in southern Nevada include the Las Vegas valley (including Henderson and Boulder City), Laughlin, and Mesquite. Service areas in southern California include Barstow, Big Bear, Needles, and Victorville. Service areas in northern California include the Lake Tahoe area and Truckee.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on properties of Centuri can be found in this Form 10-K under Utility Infrastructure Services under Part I.</w:t>
      </w:r>
    </w:p>
    <w:p>
      <w:pPr>
        <w:spacing w:after="0" w:line="150"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18"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The Company and Southwest Gas are named as a defendant in various legal proceedings. The ultimate dispositions of these proceedings are not presently determinable; however, it is the opinion of management that none of this litigation individually or in the aggregate will have a material adverse impact on the Company’s or Southwest Gas’ financial position or results of operations.</w:t>
      </w:r>
    </w:p>
    <w:p>
      <w:pPr>
        <w:spacing w:after="0" w:line="105"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54" w:lineRule="exact"/>
        <w:rPr>
          <w:sz w:val="20"/>
          <w:szCs w:val="20"/>
          <w:color w:val="auto"/>
        </w:rPr>
      </w:pPr>
    </w:p>
    <w:p>
      <w:pPr>
        <w:ind w:left="1260" w:right="40" w:hanging="1229"/>
        <w:spacing w:after="0" w:line="238" w:lineRule="auto"/>
        <w:tabs>
          <w:tab w:leader="none" w:pos="12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REGISTRANT’S COMMON EQUITY, RELATED STOCKHOLDER MATTERS, AND ISSUER PURCHASES OF EQUITY SECURITIES</w:t>
      </w:r>
    </w:p>
    <w:p>
      <w:pPr>
        <w:spacing w:after="0" w:line="102"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color w:val="auto"/>
        </w:rPr>
        <w:t>The principal market on which the common stock of the Company is traded is the NYSE and the ticker symbol of the stock is “SWX.” At February 18, 2025, there were 9,735 holders of record of common stock, and the market price of the common stock was $77.95.</w:t>
      </w:r>
    </w:p>
    <w:p>
      <w:pPr>
        <w:spacing w:after="0" w:line="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Dividends are payable on the Company’s common stock at the discretion of the Board. In setting the dividend rate, the Board considers, among other factors, current and expected future earnings levels, our ongoing capital expenditure plans and expected external funding needs, our payout ratio, and our ability to maintain strong credit ratings and liquidity. The Company has paid dividends on its common stock since 1956. The quarterly dividend was $0.62 in 2024, and in February 2025, the Board determined to retain the quarterly dividend at $0.62 per share effective with the June 2025 payment. Although no assurances can be provided on our future dividend payments, the Board currently intends to reevaluate the dividend upon the completion of the Centuri separation, and it is anticipated that we will pay a dividend at a level consistent with industry peers.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30" w:name="page31"/>
    <w:bookmarkEnd w:id="30"/>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48"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Southwest Gas Holdings is a holding company that owns all of the shares of common stock of Southwest Gas; until April 22, 2024, all of the shares of common stock of Centuri; and until February 14, 2023, all of the shares of common stock of MountainWest (February 14, 2023 is the date on which the MountainWest sale closed).</w:t>
      </w:r>
    </w:p>
    <w:p>
      <w:pPr>
        <w:spacing w:after="0" w:line="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Our business includes Southwest Gas, which is engaged in the business of purchasing, distributing, and transporting natural gas for customers in portions of Arizona, Nevada, and California. Southwest Gas is the largest regulated distributor of natural gas in Arizona and Nevada, and also distributes and transports natural gas for customers in portions of California. Additionally, through its subsidiaries, Southwest Gas operates two regulated interstate pipelines serving portions of Nevada and California. Southwest Gas makes investments in infrastructure to support customer demand associated with population growth and economic development activity and the safe and reliable operation of its system through adherence to integrity management programs.</w:t>
      </w:r>
    </w:p>
    <w:p>
      <w:pPr>
        <w:spacing w:after="0" w:line="6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2024, Southwest Gas had approximately 2,258,000 residential, commercial, industrial, and other natural gas customers, of which 1,210,000 customers were located in Arizona, 841,000 in Nevada, and 207,000 in California. First-time meter sets were approximately 41,000 in 2024 of which 23,000 were located in Arizona, 17,000 in Nevada, and 1,000 in California; compared to 40,000 in 2023 of which 24,000 were located in Arizona, 15,000 in Nevada, and 1,000 in California. Residential and commercial customers represented over 99% of the total customer base. During 2024, 53% of operating margin (gas operating revenues less the net cost of gas sold) was earned in Arizona, 35% in Nevada, and 12% in California. During this same period, Southwest Gas earned 85% of its operating margin from residential and small commercial customers, 4% from other sales customers, and 11% from transportation customers. These general patterns are expected to remain materially consistent for the foreseeable future.</w:t>
      </w:r>
    </w:p>
    <w:p>
      <w:pPr>
        <w:spacing w:after="0" w:line="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Southwest Gas recognizes operating revenues from the distribution and transportation of natural gas (and related services) to customers. Operating margin is a financial measure defined by management as Regulated operations revenues less the net cost of gas sold. However, operating margin is not specifically defined in U.S. GAAP. Thus, operating margin is considered a non-GAAP measure. Management uses this financial measure because Regulated operations revenues include the net cost of gas sold, which is a tracked cost that is passed through to customers without markup under PGA mechanisms. Fluctuations in the net cost of gas sold impact revenues on a dollar-for-dollar basis, but do not impact operating margin or operating income. Therefore, management believes operating margin provides investors and other interested parties with useful and relevant information to analyze Southwest Gas’ financial performance in a rate-regulated environment. The principal factors affecting changes in operating margin are general rate relief (including impacts of infrastructure program recoveries) and customer growth. Public utility commission decisions on the amount and timing of relief may impact our earnings. Refer to the Summary Operating Results table below for a reconciliation of gross margin to operating margin, and refer to </w:t>
      </w:r>
      <w:r>
        <w:rPr>
          <w:rFonts w:ascii="Times New Roman" w:cs="Times New Roman" w:eastAsia="Times New Roman" w:hAnsi="Times New Roman"/>
          <w:sz w:val="18"/>
          <w:szCs w:val="18"/>
          <w:i w:val="1"/>
          <w:iCs w:val="1"/>
          <w:color w:val="auto"/>
        </w:rPr>
        <w:t>Rates and Regulatory Proceedings</w:t>
      </w:r>
      <w:r>
        <w:rPr>
          <w:rFonts w:ascii="Times New Roman" w:cs="Times New Roman" w:eastAsia="Times New Roman" w:hAnsi="Times New Roman"/>
          <w:sz w:val="18"/>
          <w:szCs w:val="18"/>
          <w:color w:val="auto"/>
        </w:rPr>
        <w:t xml:space="preserve"> in this Management’s Discussion and Analysis for details of various rate proceedings.</w:t>
      </w:r>
    </w:p>
    <w:p>
      <w:pPr>
        <w:spacing w:after="0" w:line="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demand for natural gas is seasonal, with greater demand in the colder winter months and decreased demand in the warmer summer months. All of Southwest Gas’ service territories have decoupled rate structures (alternative revenue programs), which are designed to eliminate the direct link between volumetric sales and revenue, thereby mitigating the impacts of weather variability and conservation on operating margin, allowing Southwest Gas to pursue energy efficiency initiatives. Nearly all of our customers, and resulting revenue and margin, are included as part of mechanisms that reduce the impact of weather and volume variability on our earnings.</w:t>
      </w:r>
    </w:p>
    <w:p>
      <w:pPr>
        <w:spacing w:after="0" w:line="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Consistent with the Company’s earlier determination to simplify the Company’s portfolio of businesses, the Company determined it would pursue a separation of Centuri, including forming a new independent publicly traded utility infrastructure services company. In April 2024, the Company and Centuri announced the completion of an IPO of Centuri’s common stock, with the issuance of 14,260,000 shares ($0.01 par value) at a price of $21.00 per share, along with a concurrent private placement of 2,591,929 shares, at a price equal to the IPO price, with Icahn Partners LP and Icahn Partners Master Fund LP, investment entities associated with Carl C. Icahn. The Company owns approximately 81% of Centuri following these events. Through the first quarter of 2024 and leading up to the Centuri IPO, it was a wholly owned subsidiary of the Company. The net proceeds to Centuri from the IPO and the concurrent private placement totaled approximately $328 million, including optional purchase of IPO shares from underwriters. The Company intends to fully dispose of its ownership in Centuri in one or more disposition transactions, including by way of sales of our shares of Centuri common stock, one or more exchange offers for Company shares, or distributions, or any combination thereof.</w:t>
      </w:r>
    </w:p>
    <w:p>
      <w:pPr>
        <w:spacing w:after="0" w:line="8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Centuri is a strategic infrastructure services company that partners with regulated utilities to build and maintain the energy network that fuels millions of homes and businesses across the U.S. and Canada. With a commitment to serve as long-term</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1" w:name="page32"/>
    <w:bookmarkEnd w:id="31"/>
    <w:p>
      <w:pPr>
        <w:jc w:val="both"/>
        <w:spacing w:after="0" w:line="263" w:lineRule="auto"/>
        <w:rPr>
          <w:sz w:val="20"/>
          <w:szCs w:val="20"/>
          <w:color w:val="auto"/>
        </w:rPr>
      </w:pPr>
      <w:r>
        <w:rPr>
          <w:rFonts w:ascii="Times New Roman" w:cs="Times New Roman" w:eastAsia="Times New Roman" w:hAnsi="Times New Roman"/>
          <w:sz w:val="18"/>
          <w:szCs w:val="18"/>
          <w:color w:val="auto"/>
        </w:rPr>
        <w:t>partners to customers and communities, Centuri’s employees enable regulated utilities to safely and reliably deliver natural gas and electricity, as well as achieve their goals for environmental sustainability. Centuri operates in 87 primary locations across 45 U.S. states and two Canadian provinces. Centuri operates in the U.S., primarily as NPL, Neuco, Linetec, and Riggs Distler, and in Canada, primarily as NPL Canada.</w:t>
      </w:r>
    </w:p>
    <w:p>
      <w:pPr>
        <w:spacing w:after="0" w:line="6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Utility infrastructure services activity can be impacted by changes in infrastructure replacement programs and capital budgets of utilities, weather, and local and federal regulation (including tax rates and incentives). Utilities continue to implement or modify system integrity management programs to enhance safety pursuant to federal and state mandates. These programs have resulted in multi-year utility system replacement programs throughout the U.S. Likewise, there has been similar attention placed on electric grid modernization through national infrastructure legislation and related initiatives. Generally, Centuri revenues are lowest during the first quarter of the year due to less favorable winter weather working conditions. Revenues typically improve as more favorable weather conditions occur during the summer and fall months. In cases of severe weather, such as following a regional storm, Centuri may be engaged to perform restoration activities related to above-ground utility infrastructure, and related results impacts are not solely within the control of management. In addition, in certain circumstances, such as with large bid contracts (especially those of a longer duration), or unit-price contracts with revenue caps, results may be impacted by differences between costs incurred and those anticipated when the work was originally bid. Work awarded, or failing to be awarded, by individual large customers can impact operating results.</w:t>
      </w:r>
    </w:p>
    <w:p>
      <w:pPr>
        <w:spacing w:after="0" w:line="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of our businesses may be impacted by economic conditions that impact businesses generally, such as inflationary impacts on goods and services consumed in the business, rising or sustained high interest rates, labor markets and other costs (including in regard to contracted or professional services), and the availability of those resources. Certain of these impacts may be more predominant in certain of our operations, such as with regard to fuel costs for work equipment and skilled/trade labor costs at Centuri.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Executive Summary</w:t>
      </w:r>
    </w:p>
    <w:p>
      <w:pPr>
        <w:spacing w:after="0" w:line="1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b w:val="1"/>
          <w:bCs w:val="1"/>
          <w:color w:val="auto"/>
        </w:rPr>
        <w:t>The items discussed in this Executive Summary are intended to provide an overview of the results of the Company’s, Southwest Gas’, and Centuri’s operations and are covered in greater detail in later sections of management’s discussion and analysis.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5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Summary Operating Results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756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2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Year ended December 31,</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bottom w:val="single" w:sz="8" w:color="CCEEFF"/>
            </w:tcBorders>
          </w:tcPr>
          <w:p>
            <w:pPr>
              <w:spacing w:after="0"/>
              <w:rPr>
                <w:sz w:val="19"/>
                <w:szCs w:val="19"/>
                <w:color w:val="auto"/>
              </w:rPr>
            </w:pPr>
          </w:p>
        </w:tc>
        <w:tc>
          <w:tcPr>
            <w:tcW w:w="7560" w:type="dxa"/>
            <w:vAlign w:val="bottom"/>
            <w:tcBorders>
              <w:bottom w:val="single" w:sz="8" w:color="CCEEFF"/>
            </w:tcBorders>
            <w:gridSpan w:val="5"/>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8"/>
                <w:szCs w:val="18"/>
                <w:color w:val="auto"/>
                <w:w w:val="97"/>
              </w:rPr>
              <w:t>Contribution to net in</w:t>
            </w:r>
          </w:p>
        </w:tc>
        <w:tc>
          <w:tcPr>
            <w:tcW w:w="840" w:type="dxa"/>
            <w:vAlign w:val="bottom"/>
            <w:tcBorders>
              <w:bottom w:val="single" w:sz="8" w:color="auto"/>
            </w:tcBorders>
            <w:gridSpan w:val="3"/>
            <w:shd w:val="clear" w:color="auto" w:fill="CCEEFF"/>
          </w:tcPr>
          <w:p>
            <w:pPr>
              <w:spacing w:after="0" w:line="167" w:lineRule="exact"/>
              <w:rPr>
                <w:sz w:val="20"/>
                <w:szCs w:val="20"/>
                <w:color w:val="auto"/>
              </w:rPr>
            </w:pPr>
            <w:r>
              <w:rPr>
                <w:rFonts w:ascii="Times New Roman" w:cs="Times New Roman" w:eastAsia="Times New Roman" w:hAnsi="Times New Roman"/>
                <w:sz w:val="18"/>
                <w:szCs w:val="18"/>
                <w:color w:val="auto"/>
                <w:w w:val="98"/>
                <w:shd w:val="clear" w:color="auto" w:fill="CCEEFF"/>
              </w:rPr>
              <w:t>come (loss)</w:t>
            </w:r>
          </w:p>
        </w:tc>
        <w:tc>
          <w:tcPr>
            <w:tcW w:w="51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Borders>
              <w:top w:val="single" w:sz="8" w:color="CCEEFF"/>
            </w:tcBorders>
          </w:tcPr>
          <w:p>
            <w:pPr>
              <w:spacing w:after="0"/>
              <w:rPr>
                <w:sz w:val="19"/>
                <w:szCs w:val="19"/>
                <w:color w:val="auto"/>
              </w:rPr>
            </w:pPr>
          </w:p>
        </w:tc>
        <w:tc>
          <w:tcPr>
            <w:tcW w:w="7560" w:type="dxa"/>
            <w:vAlign w:val="bottom"/>
            <w:tcBorders>
              <w:top w:val="single" w:sz="8" w:color="CCEEFF"/>
            </w:tcBorders>
            <w:gridSpan w:val="5"/>
          </w:tcPr>
          <w:p>
            <w:pPr>
              <w:ind w:left="220"/>
              <w:spacing w:after="0"/>
              <w:rPr>
                <w:sz w:val="20"/>
                <w:szCs w:val="20"/>
                <w:color w:val="auto"/>
              </w:rPr>
            </w:pPr>
            <w:r>
              <w:rPr>
                <w:rFonts w:ascii="Times New Roman" w:cs="Times New Roman" w:eastAsia="Times New Roman" w:hAnsi="Times New Roman"/>
                <w:sz w:val="18"/>
                <w:szCs w:val="18"/>
                <w:color w:val="auto"/>
              </w:rPr>
              <w:t>Natural gas distribution</w:t>
            </w:r>
          </w:p>
        </w:tc>
        <w:tc>
          <w:tcPr>
            <w:tcW w:w="220" w:type="dxa"/>
            <w:vAlign w:val="bottom"/>
            <w:tcBorders>
              <w:top w:val="single" w:sz="8" w:color="CCEEFF"/>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261,176</w:t>
            </w: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242,226</w:t>
            </w: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154,380</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756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Utility infrastructure services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56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Pipeline and storage</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(283,733)</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756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Corporate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(94,701)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198,815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150,889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(203,290)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71,841</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70,787</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65,558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7560" w:type="dxa"/>
            <w:vAlign w:val="bottom"/>
            <w:gridSpan w:val="5"/>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auto"/>
              </w:rPr>
              <w:t>Basic earnings (loss) per share</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0" w:type="dxa"/>
            <w:vAlign w:val="bottom"/>
            <w:tcBorders>
              <w:top w:val="single" w:sz="8" w:color="CCEEFF"/>
            </w:tcBorders>
          </w:tcPr>
          <w:p>
            <w:pPr>
              <w:spacing w:after="0"/>
              <w:rPr>
                <w:sz w:val="19"/>
                <w:szCs w:val="19"/>
                <w:color w:val="auto"/>
              </w:rPr>
            </w:pPr>
          </w:p>
        </w:tc>
        <w:tc>
          <w:tcPr>
            <w:tcW w:w="21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5380" w:type="dxa"/>
            <w:vAlign w:val="bottom"/>
            <w:tcBorders>
              <w:top w:val="single" w:sz="8" w:color="CCEEFF"/>
            </w:tcBorders>
            <w:gridSpan w:val="2"/>
          </w:tcPr>
          <w:p>
            <w:pPr>
              <w:spacing w:after="0"/>
              <w:rPr>
                <w:sz w:val="19"/>
                <w:szCs w:val="19"/>
                <w:color w:val="auto"/>
              </w:rPr>
            </w:pPr>
          </w:p>
        </w:tc>
        <w:tc>
          <w:tcPr>
            <w:tcW w:w="220" w:type="dxa"/>
            <w:vAlign w:val="bottom"/>
            <w:tcBorders>
              <w:top w:val="single" w:sz="8" w:color="CCEEFF"/>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560" w:type="dxa"/>
            <w:vAlign w:val="bottom"/>
            <w:gridSpan w:val="5"/>
          </w:tcPr>
          <w:p>
            <w:pPr>
              <w:spacing w:after="0" w:line="188" w:lineRule="exact"/>
              <w:rPr>
                <w:sz w:val="20"/>
                <w:szCs w:val="20"/>
                <w:color w:val="auto"/>
              </w:rPr>
            </w:pPr>
            <w:r>
              <w:rPr>
                <w:rFonts w:ascii="Times New Roman" w:cs="Times New Roman" w:eastAsia="Times New Roman" w:hAnsi="Times New Roman"/>
                <w:sz w:val="18"/>
                <w:szCs w:val="18"/>
                <w:color w:val="auto"/>
              </w:rPr>
              <w:t>Natural Gas Distribution</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75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Reconciliation of Gross Margin to Operating Margin (Non-GAAP measure)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Utility Gross Margin</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696,964</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640,955</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574,534</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756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Plus: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56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Operations and maintenance (excluding Admin. &amp; General) expense</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308,276</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756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303,095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295,462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263,043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1,325,211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1,252,663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1,145,853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Overview</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Southwest Gas Holdings:</w:t>
      </w:r>
    </w:p>
    <w:p>
      <w:pPr>
        <w:spacing w:after="0" w:line="26" w:lineRule="exact"/>
        <w:rPr>
          <w:sz w:val="20"/>
          <w:szCs w:val="20"/>
          <w:color w:val="auto"/>
        </w:rPr>
      </w:pPr>
    </w:p>
    <w:p>
      <w:pPr>
        <w:ind w:left="320" w:hanging="313"/>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the Centuri IPO with net proceeds of $328 million used primarily to repay amounts under Centuri’s term loan and revolving credit facility</w:t>
      </w:r>
    </w:p>
    <w:p>
      <w:pPr>
        <w:spacing w:after="0" w:line="6" w:lineRule="exact"/>
        <w:rPr>
          <w:rFonts w:ascii="Times New Roman" w:cs="Times New Roman" w:eastAsia="Times New Roman" w:hAnsi="Times New Roman"/>
          <w:sz w:val="18"/>
          <w:szCs w:val="18"/>
          <w:color w:val="auto"/>
        </w:rPr>
      </w:pPr>
    </w:p>
    <w:p>
      <w:pPr>
        <w:ind w:left="320" w:right="20" w:hanging="313"/>
        <w:spacing w:after="0" w:line="248" w:lineRule="auto"/>
        <w:tabs>
          <w:tab w:leader="none" w:pos="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Finished the year with more than $360 million of cash on a consolidated basis given recovery of earlier under-recovered PGA balances; the Company continues to expect limited capital markets needs through the end of 2025</w:t>
      </w:r>
    </w:p>
    <w:p>
      <w:pPr>
        <w:ind w:left="320" w:hanging="313"/>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the $550 million term loan credit agreement, which now matures on July 31, 2025, with a 17.5 basis point reduction in the applicable spread</w:t>
      </w:r>
    </w:p>
    <w:p>
      <w:pPr>
        <w:spacing w:after="0" w:line="6" w:lineRule="exact"/>
        <w:rPr>
          <w:rFonts w:ascii="Times New Roman" w:cs="Times New Roman" w:eastAsia="Times New Roman" w:hAnsi="Times New Roman"/>
          <w:sz w:val="18"/>
          <w:szCs w:val="18"/>
          <w:color w:val="auto"/>
        </w:rPr>
      </w:pPr>
    </w:p>
    <w:p>
      <w:pPr>
        <w:ind w:left="320" w:right="20" w:hanging="313"/>
        <w:spacing w:after="0" w:line="256" w:lineRule="auto"/>
        <w:tabs>
          <w:tab w:leader="none" w:pos="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administrative expenses include $44 million in interest expense related to borrowings and $8.2 million in Centuri separation costs, offset by certain tax benefits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Natural gas distribution:</w:t>
      </w:r>
    </w:p>
    <w:p>
      <w:pPr>
        <w:spacing w:after="0" w:line="26" w:lineRule="exact"/>
        <w:rPr>
          <w:sz w:val="20"/>
          <w:szCs w:val="20"/>
          <w:color w:val="auto"/>
        </w:rPr>
      </w:pPr>
    </w:p>
    <w:p>
      <w:pPr>
        <w:ind w:left="320" w:hanging="313"/>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41,000 first-time meters sets (1.8% growth rate) added over the past 12 months</w:t>
      </w:r>
    </w:p>
    <w:p>
      <w:pPr>
        <w:spacing w:after="0" w:line="6" w:lineRule="exact"/>
        <w:rPr>
          <w:rFonts w:ascii="Times New Roman" w:cs="Times New Roman" w:eastAsia="Times New Roman" w:hAnsi="Times New Roman"/>
          <w:sz w:val="18"/>
          <w:szCs w:val="18"/>
          <w:color w:val="auto"/>
        </w:rPr>
      </w:pPr>
    </w:p>
    <w:p>
      <w:pPr>
        <w:ind w:left="320" w:hanging="313"/>
        <w:spacing w:after="0" w:line="248" w:lineRule="auto"/>
        <w:tabs>
          <w:tab w:leader="none" w:pos="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 increased $73 million, or 6%, between 2024 and 2023, including Arizona and Nevada rate relief, California attrition adjustments, and Great Basin rates effective September 2024 (subject to refund)</w:t>
      </w:r>
    </w:p>
    <w:p>
      <w:pPr>
        <w:ind w:left="320" w:hanging="313"/>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and Maintenance expenses were relatively flat between periods, reflecting cost discipline</w:t>
      </w:r>
    </w:p>
    <w:p>
      <w:pPr>
        <w:spacing w:after="0" w:line="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Replaced the existing $400 million revolving credit facility, extending the maturity from 2025 to 2029</w:t>
      </w:r>
    </w:p>
    <w:p>
      <w:pPr>
        <w:spacing w:after="0" w:line="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Finished the year with over $300 million of cash, following the collection of previously deferred purchased gas costs</w:t>
      </w:r>
    </w:p>
    <w:p>
      <w:pPr>
        <w:spacing w:after="0" w:line="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$847 million capital investment in 2024</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Utility infrastructure services:</w:t>
      </w:r>
    </w:p>
    <w:p>
      <w:pPr>
        <w:spacing w:after="0" w:line="26" w:lineRule="exact"/>
        <w:rPr>
          <w:sz w:val="20"/>
          <w:szCs w:val="20"/>
          <w:color w:val="auto"/>
        </w:rPr>
      </w:pPr>
    </w:p>
    <w:p>
      <w:pPr>
        <w:ind w:left="320" w:hanging="313"/>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$2.6 billion in 2024, a decrease of $262 million, or 9%, compared to 2023</w:t>
      </w:r>
    </w:p>
    <w:p>
      <w:pPr>
        <w:spacing w:after="0" w:line="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of $86.8 million in 2024, a decrease of $49.6 million, compared to 2023</w:t>
      </w:r>
    </w:p>
    <w:p>
      <w:pPr>
        <w:spacing w:after="0" w:line="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down $316 million of debt from proceeds of the Centuri IPO</w:t>
      </w:r>
    </w:p>
    <w:p>
      <w:pPr>
        <w:spacing w:after="0" w:line="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the remaining interest in Linetec previously held by noncontrolling parties</w:t>
      </w:r>
    </w:p>
    <w:p>
      <w:pPr>
        <w:spacing w:after="0" w:line="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an accounts receivable securitization facility</w:t>
      </w:r>
    </w:p>
    <w:p>
      <w:pPr>
        <w:spacing w:after="0" w:line="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allocation discipline and efficient asset utilization resulted in reductions in depreciation expense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3" w:name="page34"/>
    <w:bookmarkEnd w:id="33"/>
    <w:p>
      <w:pPr>
        <w:jc w:val="both"/>
        <w:spacing w:after="0" w:line="258" w:lineRule="auto"/>
        <w:rPr>
          <w:sz w:val="20"/>
          <w:szCs w:val="20"/>
          <w:color w:val="auto"/>
        </w:rPr>
      </w:pPr>
      <w:r>
        <w:rPr>
          <w:rFonts w:ascii="Times New Roman" w:cs="Times New Roman" w:eastAsia="Times New Roman" w:hAnsi="Times New Roman"/>
          <w:sz w:val="18"/>
          <w:szCs w:val="18"/>
          <w:color w:val="auto"/>
        </w:rPr>
        <w:t>This section of Form 10-K provides comparisons of 2024, 2023, and 2022 results and pertinent components indicated by segment. Also provided is a discussion of 2024 and 2023, including comparisons between those years. Discussion of 2022 items and year-to-year comparisons between 2023 and 2022, which are not included in this Form 10-K, can be found in "Management’s Discussion and Analysis of Financial Condition and Results of Operations" in Part II, Item 7 of the Company’s Annual Report on Form 10-K for the fiscal year ended December 31, 2023.</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Results of Natural Gas Distribution</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7"/>
        </w:trPr>
        <w:tc>
          <w:tcPr>
            <w:tcW w:w="7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Year Ended December 31,</w:t>
            </w: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7580" w:type="dxa"/>
            <w:vAlign w:val="bottom"/>
            <w:tcBorders>
              <w:bottom w:val="single" w:sz="8" w:color="CCEEFF"/>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1"/>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Regulated operations revenues</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2,475,216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2,499,564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1,935,069</w:t>
            </w:r>
          </w:p>
        </w:tc>
        <w:tc>
          <w:tcPr>
            <w:tcW w:w="0" w:type="dxa"/>
            <w:vAlign w:val="bottom"/>
          </w:tcPr>
          <w:p>
            <w:pPr>
              <w:spacing w:after="0"/>
              <w:rPr>
                <w:sz w:val="1"/>
                <w:szCs w:val="1"/>
                <w:color w:val="auto"/>
              </w:rPr>
            </w:pPr>
          </w:p>
        </w:tc>
      </w:tr>
      <w:tr>
        <w:trPr>
          <w:trHeight w:val="227"/>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cost of gas sold</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1,150,005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1,246,901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789,216</w:t>
            </w:r>
          </w:p>
        </w:tc>
        <w:tc>
          <w:tcPr>
            <w:tcW w:w="0" w:type="dxa"/>
            <w:vAlign w:val="bottom"/>
          </w:tcPr>
          <w:p>
            <w:pPr>
              <w:spacing w:after="0"/>
              <w:rPr>
                <w:sz w:val="1"/>
                <w:szCs w:val="1"/>
                <w:color w:val="auto"/>
              </w:rPr>
            </w:pPr>
          </w:p>
        </w:tc>
      </w:tr>
      <w:tr>
        <w:trPr>
          <w:trHeight w:val="221"/>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margin</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1,325,211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1,252,663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1,145,853</w:t>
            </w:r>
          </w:p>
        </w:tc>
        <w:tc>
          <w:tcPr>
            <w:tcW w:w="0" w:type="dxa"/>
            <w:vAlign w:val="bottom"/>
          </w:tcPr>
          <w:p>
            <w:pPr>
              <w:spacing w:after="0"/>
              <w:rPr>
                <w:sz w:val="1"/>
                <w:szCs w:val="1"/>
                <w:color w:val="auto"/>
              </w:rPr>
            </w:pPr>
          </w:p>
        </w:tc>
      </w:tr>
      <w:tr>
        <w:trPr>
          <w:trHeight w:val="227"/>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Operations and maintenance expense</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520,820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511,646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491,928</w:t>
            </w:r>
          </w:p>
        </w:tc>
        <w:tc>
          <w:tcPr>
            <w:tcW w:w="0" w:type="dxa"/>
            <w:vAlign w:val="bottom"/>
          </w:tcPr>
          <w:p>
            <w:pPr>
              <w:spacing w:after="0"/>
              <w:rPr>
                <w:sz w:val="1"/>
                <w:szCs w:val="1"/>
                <w:color w:val="auto"/>
              </w:rPr>
            </w:pPr>
          </w:p>
        </w:tc>
      </w:tr>
      <w:tr>
        <w:trPr>
          <w:trHeight w:val="227"/>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263,043</w:t>
            </w:r>
          </w:p>
        </w:tc>
        <w:tc>
          <w:tcPr>
            <w:tcW w:w="0" w:type="dxa"/>
            <w:vAlign w:val="bottom"/>
          </w:tcPr>
          <w:p>
            <w:pPr>
              <w:spacing w:after="0"/>
              <w:rPr>
                <w:sz w:val="1"/>
                <w:szCs w:val="1"/>
                <w:color w:val="auto"/>
              </w:rPr>
            </w:pPr>
          </w:p>
        </w:tc>
      </w:tr>
      <w:tr>
        <w:trPr>
          <w:trHeight w:val="227"/>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88,965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87,261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83,197</w:t>
            </w:r>
          </w:p>
        </w:tc>
        <w:tc>
          <w:tcPr>
            <w:tcW w:w="0" w:type="dxa"/>
            <w:vAlign w:val="bottom"/>
          </w:tcPr>
          <w:p>
            <w:pPr>
              <w:spacing w:after="0"/>
              <w:rPr>
                <w:sz w:val="1"/>
                <w:szCs w:val="1"/>
                <w:color w:val="auto"/>
              </w:rPr>
            </w:pPr>
          </w:p>
        </w:tc>
      </w:tr>
      <w:tr>
        <w:trPr>
          <w:trHeight w:val="221"/>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307,685</w:t>
            </w:r>
          </w:p>
        </w:tc>
        <w:tc>
          <w:tcPr>
            <w:tcW w:w="0" w:type="dxa"/>
            <w:vAlign w:val="bottom"/>
          </w:tcPr>
          <w:p>
            <w:pPr>
              <w:spacing w:after="0"/>
              <w:rPr>
                <w:sz w:val="1"/>
                <w:szCs w:val="1"/>
                <w:color w:val="auto"/>
              </w:rPr>
            </w:pPr>
          </w:p>
        </w:tc>
      </w:tr>
      <w:tr>
        <w:trPr>
          <w:trHeight w:val="227"/>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(deductions)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(6,884)</w:t>
            </w:r>
          </w:p>
        </w:tc>
        <w:tc>
          <w:tcPr>
            <w:tcW w:w="0" w:type="dxa"/>
            <w:vAlign w:val="bottom"/>
          </w:tcPr>
          <w:p>
            <w:pPr>
              <w:spacing w:after="0"/>
              <w:rPr>
                <w:sz w:val="1"/>
                <w:szCs w:val="1"/>
                <w:color w:val="auto"/>
              </w:rPr>
            </w:pPr>
          </w:p>
        </w:tc>
      </w:tr>
      <w:tr>
        <w:trPr>
          <w:trHeight w:val="227"/>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deductions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162,257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149,830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115,880</w:t>
            </w:r>
          </w:p>
        </w:tc>
        <w:tc>
          <w:tcPr>
            <w:tcW w:w="0" w:type="dxa"/>
            <w:vAlign w:val="bottom"/>
          </w:tcPr>
          <w:p>
            <w:pPr>
              <w:spacing w:after="0"/>
              <w:rPr>
                <w:sz w:val="1"/>
                <w:szCs w:val="1"/>
                <w:color w:val="auto"/>
              </w:rPr>
            </w:pPr>
          </w:p>
        </w:tc>
      </w:tr>
      <w:tr>
        <w:trPr>
          <w:trHeight w:val="221"/>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279,125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184,921</w:t>
            </w:r>
          </w:p>
        </w:tc>
        <w:tc>
          <w:tcPr>
            <w:tcW w:w="0" w:type="dxa"/>
            <w:vAlign w:val="bottom"/>
          </w:tcPr>
          <w:p>
            <w:pPr>
              <w:spacing w:after="0"/>
              <w:rPr>
                <w:sz w:val="1"/>
                <w:szCs w:val="1"/>
                <w:color w:val="auto"/>
              </w:rPr>
            </w:pPr>
          </w:p>
        </w:tc>
      </w:tr>
      <w:tr>
        <w:trPr>
          <w:trHeight w:val="227"/>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30,541</w:t>
            </w:r>
          </w:p>
        </w:tc>
        <w:tc>
          <w:tcPr>
            <w:tcW w:w="0" w:type="dxa"/>
            <w:vAlign w:val="bottom"/>
          </w:tcPr>
          <w:p>
            <w:pPr>
              <w:spacing w:after="0"/>
              <w:rPr>
                <w:sz w:val="1"/>
                <w:szCs w:val="1"/>
                <w:color w:val="auto"/>
              </w:rPr>
            </w:pPr>
          </w:p>
        </w:tc>
      </w:tr>
      <w:tr>
        <w:trPr>
          <w:trHeight w:val="221"/>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Contribution to consolidated results</w:t>
            </w: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261,176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242,226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154,380</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2024 vs. 2023</w:t>
            </w: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5"/>
        </w:trPr>
        <w:tc>
          <w:tcPr>
            <w:tcW w:w="75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Contribution to consolidated net income from natural gas distribution operations increased $19 million between 2024 and 2023. The increase was primarily due to an increase in Operating margin, offset by increases in Operations and maintenance expense, Net interest deductions, and Depreciation and amortization.</w:t>
      </w:r>
    </w:p>
    <w:p>
      <w:pPr>
        <w:spacing w:after="0" w:line="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Operating margin increased $73 million between years. Customer growth provided approximately $12 million as 41,000 first-time meter sets were added in 2024, and combined rate relief across all our service territories added approximately $66 million of incremental margin. Favorable impacts ($9.2 million, combined) were also realized in connection with certain rate components of infrastructure trackers and the Nevada variable interest rate expense mechanism. Furthermore, late fee assessments on customer account balances provided approximately $3 million in incremental margin. Offsetting these increases was a decrease in recoveries associated with regulatory programs, totaling $6.8 million for which an associated comparable decrease is also reflected in amortization expense (discussed below). In addition, certain immaterial out-of-period corrections occurred in both 2023 and 2024 resulting in an unfavorable variance between comparative periods, primarily driven by an $8 million favorable adjustment in 2023. Customary gas used in operations (the effects of which are offset in Operations and Maintenance expense) also reduced operating margin ($4 million).</w:t>
      </w:r>
    </w:p>
    <w:p>
      <w:pPr>
        <w:spacing w:after="0" w:line="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Operations and maintenance expense increased $9 million, or 2%, between 2024 and 2023. The increase was primarily driven by general cost increases in benefit, incentive, and pension related costs, and leak survey and line locating costs, partially offset by contractor and professional services costs (the majority of which related to utility optimization consulting fees in 2023). Both periods exclude costs attributable to construction that are part of Net regulated operations plant, and costs that would otherwise be expensed but are instead permissible to be deferred into regulatory assets (e.g., incremental leak survey costs in Nevada).</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Depreciation and amortization expense increased $8 million, or 3%, between years including due to a $720 million, or 7%, increase in average gas plant in service in the current year. The increase in gas plant was attributable to pipeline capacity reinforcement work, franchise requirements, scheduled pipe replacement activities, and new infrastructure. This increase was offset by a decrease in amortization of regulatory account balances of $6.8 million as noted above.</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income decreased $16 million between 2024 and 2023, primarily due to a decline of $17.2 million in interest income compared to the prior year, related to a reduction in carrying charges associated with regulatory account balances, notably, PGA balances, which decreased from an asset balance of $553 million as of December 31, 2023 to a net liability balance of $228 million as of December 31, 2024. Interest income is earned when these balances are in asset positions and interest expense is incurred when balances are in liability positions.</w:t>
      </w:r>
    </w:p>
    <w:p>
      <w:pPr>
        <w:spacing w:after="0" w:line="7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Net interest deductions increased $12 million between 2024 and 2023 primarily due to the impacts of surcharges/surcredits and deferral activity related to a regulatory mechanism associated with interest on Southwest Gas’ industrial development revenue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34" w:name="page35"/>
    <w:bookmarkEnd w:id="34"/>
    <w:p>
      <w:pPr>
        <w:jc w:val="both"/>
        <w:spacing w:after="0" w:line="278" w:lineRule="auto"/>
        <w:rPr>
          <w:sz w:val="20"/>
          <w:szCs w:val="20"/>
          <w:color w:val="auto"/>
        </w:rPr>
      </w:pPr>
      <w:r>
        <w:rPr>
          <w:rFonts w:ascii="Times New Roman" w:cs="Times New Roman" w:eastAsia="Times New Roman" w:hAnsi="Times New Roman"/>
          <w:sz w:val="18"/>
          <w:szCs w:val="18"/>
          <w:color w:val="auto"/>
        </w:rPr>
        <w:t>bonds. Interest also increased due to amounts incurred on the over-collected PGA balance. Additionally contributing to the increase was a lower level of debt-related AFUDC, which had the impact of increasing interest expense on a relative basis in 2024.</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Results of Utility Infrastructure Services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7"/>
        </w:trPr>
        <w:tc>
          <w:tcPr>
            <w:tcW w:w="7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Year Ended December 31,</w:t>
            </w: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7580" w:type="dxa"/>
            <w:vAlign w:val="bottom"/>
            <w:tcBorders>
              <w:bottom w:val="single" w:sz="8" w:color="CCEEFF"/>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1"/>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Utility infrastructure services revenues</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2,637,229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2,899,276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2,760,327</w:t>
            </w:r>
          </w:p>
        </w:tc>
        <w:tc>
          <w:tcPr>
            <w:tcW w:w="0" w:type="dxa"/>
            <w:vAlign w:val="bottom"/>
          </w:tcPr>
          <w:p>
            <w:pPr>
              <w:spacing w:after="0"/>
              <w:rPr>
                <w:sz w:val="1"/>
                <w:szCs w:val="1"/>
                <w:color w:val="auto"/>
              </w:rPr>
            </w:pPr>
          </w:p>
        </w:tc>
      </w:tr>
      <w:tr>
        <w:trPr>
          <w:trHeight w:val="227"/>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Utility infrastructure services expenses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2,415,101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2,617,402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2,529,318</w:t>
            </w:r>
          </w:p>
        </w:tc>
        <w:tc>
          <w:tcPr>
            <w:tcW w:w="0" w:type="dxa"/>
            <w:vAlign w:val="bottom"/>
          </w:tcPr>
          <w:p>
            <w:pPr>
              <w:spacing w:after="0"/>
              <w:rPr>
                <w:sz w:val="1"/>
                <w:szCs w:val="1"/>
                <w:color w:val="auto"/>
              </w:rPr>
            </w:pPr>
          </w:p>
        </w:tc>
      </w:tr>
      <w:tr>
        <w:trPr>
          <w:trHeight w:val="227"/>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135,345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145,446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155,353</w:t>
            </w:r>
          </w:p>
        </w:tc>
        <w:tc>
          <w:tcPr>
            <w:tcW w:w="0" w:type="dxa"/>
            <w:vAlign w:val="bottom"/>
          </w:tcPr>
          <w:p>
            <w:pPr>
              <w:spacing w:after="0"/>
              <w:rPr>
                <w:sz w:val="1"/>
                <w:szCs w:val="1"/>
                <w:color w:val="auto"/>
              </w:rPr>
            </w:pPr>
          </w:p>
        </w:tc>
      </w:tr>
      <w:tr>
        <w:trPr>
          <w:trHeight w:val="221"/>
        </w:trPr>
        <w:tc>
          <w:tcPr>
            <w:tcW w:w="7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75,656</w:t>
            </w:r>
          </w:p>
        </w:tc>
        <w:tc>
          <w:tcPr>
            <w:tcW w:w="0" w:type="dxa"/>
            <w:vAlign w:val="bottom"/>
          </w:tcPr>
          <w:p>
            <w:pPr>
              <w:spacing w:after="0"/>
              <w:rPr>
                <w:sz w:val="1"/>
                <w:szCs w:val="1"/>
                <w:color w:val="auto"/>
              </w:rPr>
            </w:pPr>
          </w:p>
        </w:tc>
      </w:tr>
      <w:tr>
        <w:trPr>
          <w:trHeight w:val="227"/>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(deductions)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27"/>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deductions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90,515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97,476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61,371</w:t>
            </w:r>
          </w:p>
        </w:tc>
        <w:tc>
          <w:tcPr>
            <w:tcW w:w="0" w:type="dxa"/>
            <w:vAlign w:val="bottom"/>
          </w:tcPr>
          <w:p>
            <w:pPr>
              <w:spacing w:after="0"/>
              <w:rPr>
                <w:sz w:val="1"/>
                <w:szCs w:val="1"/>
                <w:color w:val="auto"/>
              </w:rPr>
            </w:pPr>
          </w:p>
        </w:tc>
      </w:tr>
      <w:tr>
        <w:trPr>
          <w:trHeight w:val="221"/>
        </w:trPr>
        <w:tc>
          <w:tcPr>
            <w:tcW w:w="7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13,398</w:t>
            </w:r>
          </w:p>
        </w:tc>
        <w:tc>
          <w:tcPr>
            <w:tcW w:w="0" w:type="dxa"/>
            <w:vAlign w:val="bottom"/>
          </w:tcPr>
          <w:p>
            <w:pPr>
              <w:spacing w:after="0"/>
              <w:rPr>
                <w:sz w:val="1"/>
                <w:szCs w:val="1"/>
                <w:color w:val="auto"/>
              </w:rPr>
            </w:pPr>
          </w:p>
        </w:tc>
      </w:tr>
      <w:tr>
        <w:trPr>
          <w:trHeight w:val="227"/>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5,727</w:t>
            </w:r>
          </w:p>
        </w:tc>
        <w:tc>
          <w:tcPr>
            <w:tcW w:w="0" w:type="dxa"/>
            <w:vAlign w:val="bottom"/>
          </w:tcPr>
          <w:p>
            <w:pPr>
              <w:spacing w:after="0"/>
              <w:rPr>
                <w:sz w:val="1"/>
                <w:szCs w:val="1"/>
                <w:color w:val="auto"/>
              </w:rPr>
            </w:pPr>
          </w:p>
        </w:tc>
      </w:tr>
      <w:tr>
        <w:trPr>
          <w:trHeight w:val="221"/>
        </w:trPr>
        <w:tc>
          <w:tcPr>
            <w:tcW w:w="7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7,671</w:t>
            </w:r>
          </w:p>
        </w:tc>
        <w:tc>
          <w:tcPr>
            <w:tcW w:w="0" w:type="dxa"/>
            <w:vAlign w:val="bottom"/>
          </w:tcPr>
          <w:p>
            <w:pPr>
              <w:spacing w:after="0"/>
              <w:rPr>
                <w:sz w:val="1"/>
                <w:szCs w:val="1"/>
                <w:color w:val="auto"/>
              </w:rPr>
            </w:pPr>
          </w:p>
        </w:tc>
      </w:tr>
      <w:tr>
        <w:trPr>
          <w:trHeight w:val="227"/>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5,606</w:t>
            </w:r>
          </w:p>
        </w:tc>
        <w:tc>
          <w:tcPr>
            <w:tcW w:w="0" w:type="dxa"/>
            <w:vAlign w:val="bottom"/>
          </w:tcPr>
          <w:p>
            <w:pPr>
              <w:spacing w:after="0"/>
              <w:rPr>
                <w:sz w:val="1"/>
                <w:szCs w:val="1"/>
                <w:color w:val="auto"/>
              </w:rPr>
            </w:pPr>
          </w:p>
        </w:tc>
      </w:tr>
      <w:tr>
        <w:trPr>
          <w:trHeight w:val="221"/>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 to consolidated results</w:t>
            </w: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2024 vs. 2023</w:t>
            </w: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5"/>
        </w:trPr>
        <w:tc>
          <w:tcPr>
            <w:tcW w:w="75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Consolidated results from utility infrastructure services decreased $32.7 million in 2024 compared to 2023. Results in the current year were negatively impacted by lower MSA volumes driven in large part by budgetary challenges faced by key customers, a decline in offshore wind work due to the conclusion of several projects during the current year, and timing of bid projects.</w:t>
      </w:r>
    </w:p>
    <w:p>
      <w:pPr>
        <w:spacing w:after="0" w:line="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Utility infrastructure services revenue decreased $262 million, or 9%, in 2024 when compared to the prior-year, driven primarily by decreased gas utility infrastructure services revenues of $133.8 million and decreased electric utility infrastructure services revenues of $128.3 million. The decrease in gas utility infrastructure services revenues was primarily due to a reduction in net volumes under existing customer MSAs stemming primarily from delayed or unfavorable regulatory decisions faced by key customers and timing of bid projects, and the prior year benefited from the commencement of a large project that was substantially complete in 2023. The decrease in electric utility infrastructure services revenues was primarily due to a decrease in offshore wind revenues of $114.4 million due to project conclusion, as well as a reduction in net volumes under existing customer MSAs, partially offset by an increase in emergency restoration services revenue of approximately $50.3 million. Centuri revenues from contracts with Southwest Gas totaled $106.8 million in 2024 and $116.4 million in 2023. Centuri accounts for services provided to Southwest Gas at contractual prices.</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Utility infrastructure services expenses decreased $202.3 million, or 8%, in 2024 due primarily to lower volume of infrastructure services provided. Subcontractor costs decreased during 2024 compared to the prior-year primarily due to decreased work under offshore wind projects and changes in mix of work. Project margin in 2024 decreased primarily due to lower margins on bid work (the prior year benefited from a highly profitable bid that did not recur in the current year); decreased volumes on MSAs leading to underutilization of fixed costs; and unfavorable changes in the mix of work. Included in total Utility infrastructure services expenses were general and administrative costs, which decreased approximately $1.1 million between years. Gains on sale of equipment in 2024 and 2023 (reflected as an offset to Utility infrastructure services expenses) were approximately $3.6 million and $4.5 million, respectively.</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Depreciation and amortization expense decreased $10.1 million between periods, primarily due to a number of small tools within electric utility infrastructure services operations becoming fully depreciated in 2023 and not requiring replacement based on project needs. Additionally, more efficient utilization of existing fixed assets in recent periods has slowed the growth of the depreciable asset base, with capital expenditures of $99.3 million, $106.6 million, and $130.2 million in 2024, 2023 and 2022, respectively.</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decrease in net interest deductions of $7 million was primarily due to activity with regard to Centuri’s debt balance. This activity included repayment, in concert with proceeds received from the Centuri IPO and private placement, of $156 million under Centuri’s revolving credit facility and $160 million under its term loan facility. Centuri also paid down an additional $100 million in debt under its term loan facility with proceeds from its accounts receivable securitization facility. Amounts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under the revolving portion of the credit facility are available to be re-borrowed, with such activity partially offsetting the impacts.</w:t>
      </w:r>
    </w:p>
    <w:p>
      <w:pPr>
        <w:spacing w:after="0" w:line="11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Income tax expense decreased $11 million between years, primarily due to a decrease in pre-tax income in 2024, and also reflects other impacts, including expenditures that are not deductible for tax purposes.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Rates and Regulatory Proceedings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Southwest Gas is subject to the regulation of the ACC, the PUCN, the CPUC, and two of Southwest Gas’ subsidiaries are subject to regulation by the FERC.</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Rate Relief and Rate Design</w:t>
      </w:r>
    </w:p>
    <w:p>
      <w:pPr>
        <w:spacing w:after="0" w:line="1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Rates charged to customers vary according to customer class and rate jurisdiction and are set by the individual state and federal regulatory commissions that govern Southwest Gas’ service territories. Southwest Gas makes periodic filings for rate adjustments as the cost of providing service (including the cost of natural gas purchased) changes, and as additional investments in new or replacement pipeline and related facilities are made. Rates are intended to provide for recovery of all commission-approved costs and a reasonable return on investment. On their own, the mix of fixed and variable components in rates assigned to various customer classes (rate design) can significantly impact the operating margin actually realized by Southwest Gas. Management has worked with its regulatory commissions in designing rate structures that support the timely recovery of our costs, including returns to investors, in providing safe, affordable, and reliable service to its customers while mitigating volatility in prices to customers and stabilizing returns to investors. Such rate structures were in place in all of Southwest Gas’ operating areas during all periods for which results of natural gas distribution operations are disclosed above.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Arizona Jurisdiction</w:t>
      </w:r>
    </w:p>
    <w:p>
      <w:pPr>
        <w:spacing w:after="0" w:line="1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Arizona General Rate Case. </w:t>
      </w:r>
      <w:r>
        <w:rPr>
          <w:rFonts w:ascii="Times New Roman" w:cs="Times New Roman" w:eastAsia="Times New Roman" w:hAnsi="Times New Roman"/>
          <w:sz w:val="18"/>
          <w:szCs w:val="18"/>
          <w:color w:val="auto"/>
        </w:rPr>
        <w:t>Southwest Gas filed its 2024 Arizona rate case application in February 2024, proposing an increase in revenue of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$126 million to reflect the continued significant capital investments in the state and to update rates to more closely align with Southwest Gas’ current level of operations and maintenance expense. The request includes a return on common equity of 10.15% and a 0.81% fair value increment, relative to a 50% target equity ratio and a proposed twelve-month post-test year plant adjustment for otherwise non-revenue producing plant. In addition to proposing the continuation of full revenue decoupling under the DCA mechanism, Southwest Gas also proposed to set the carrying cost for the interest component of the DCA and GCBA rate adjustment mechanisms to equal the Commission-authorized Weighted Average Cost of Capital, and to establish a UGCE, which represents the gas cost-related portion of net write-offs of uncollectible customer accounts. The UGCE would allow Southwest Gas timelier recovery of the portion of net write-off accounts that relate to purchased gas cost. Hearings were held in November 2024 and a final ACC decision is anticipated with rates to become effective early in the second quarter 2025.</w:t>
      </w:r>
    </w:p>
    <w:p>
      <w:pPr>
        <w:spacing w:after="0" w:line="7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Initially included as part of the rate case application, Southwest Gas proposed the establishment of the SIM mechanism, a capital tracker designed to support required code and regulatory-related infrastructure replacements in Arizona, which was subsequently bifurcated from the rate case application. A hearing on this issue is expected in May 2025 with a final decision anticipated in the fourth quarter 2025.</w:t>
      </w:r>
    </w:p>
    <w:p>
      <w:pPr>
        <w:spacing w:after="0" w:line="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Delivery Charge Adjustment. </w:t>
      </w:r>
      <w:r>
        <w:rPr>
          <w:rFonts w:ascii="Times New Roman" w:cs="Times New Roman" w:eastAsia="Times New Roman" w:hAnsi="Times New Roman"/>
          <w:sz w:val="18"/>
          <w:szCs w:val="18"/>
          <w:color w:val="auto"/>
        </w:rPr>
        <w:t>The DCA, or Arizona decoupling mechanism, as noted above, includes a filing each April, which along with other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contemplates a rate to return/recover the over- or under-collected margin tracker (decoupling mechanism) balance. The most recent filing was made in April 2024 to request a rate to address the over-collected balance of $17.5 million existing as of March 31, 2024. The requested rate to return the over-collected balance was approved and new rates became effective August 1, 2024. The next filing is anticipated to be made no later than April 30, 2025, and will address the balance at the end of the first quarter 2025.</w:t>
      </w:r>
    </w:p>
    <w:p>
      <w:pPr>
        <w:spacing w:after="0" w:line="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Tax Reform. </w:t>
      </w:r>
      <w:r>
        <w:rPr>
          <w:rFonts w:ascii="Times New Roman" w:cs="Times New Roman" w:eastAsia="Times New Roman" w:hAnsi="Times New Roman"/>
          <w:sz w:val="18"/>
          <w:szCs w:val="18"/>
          <w:color w:val="auto"/>
        </w:rPr>
        <w:t>A TEAM was approved in Southwest Gas’ 2019 general rate case to timely recognize tax rate changes resulting from federal or state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legislation following the TEAM implementation. In addition, the TEAM tracks and returns/recovers the revenue requirement impact of changes in amortization of EADIT, including that which resulted from 2017 U.S. federal tax reform, compared to the amount authorized in the most recently concluded rate case. Following the inaugural surcredit rate establishment under the TEAM mechanism in December 2022, Southwest Gas filed subsequent TEAM rate applications, including a recent filing, which proposes to update the TEAM surcharge to recover approximately $5.2 million resulting from changes related to the amortization of EADIT. The existing surcredit rate became effective June 1, 2024, and the proposed surcharge rate is anticipated to become effective June 1, 2025.</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PGA Modification</w:t>
      </w:r>
      <w:r>
        <w:rPr>
          <w:rFonts w:ascii="Times New Roman" w:cs="Times New Roman" w:eastAsia="Times New Roman" w:hAnsi="Times New Roman"/>
          <w:sz w:val="18"/>
          <w:szCs w:val="18"/>
          <w:color w:val="auto"/>
        </w:rPr>
        <w:t>. On March 1, 2023, Southwest Gas filed a request to adjust the interest rate applicable to the outstanding PGA balance to more closely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match the interest expense incurred to finance the balance. In the alternative, the filing requested an expansion of the current GCBA adjustment to clear the balance then existing. In July 2023, the ACC approved an increase to the GCBA rate (over a two-year period) effective August 1, 2023, to support the timely recovery of the approximately</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6" w:name="page37"/>
    <w:bookmarkEnd w:id="36"/>
    <w:p>
      <w:pPr>
        <w:jc w:val="both"/>
        <w:spacing w:after="0" w:line="263" w:lineRule="auto"/>
        <w:rPr>
          <w:sz w:val="20"/>
          <w:szCs w:val="20"/>
          <w:color w:val="auto"/>
        </w:rPr>
      </w:pPr>
      <w:r>
        <w:rPr>
          <w:rFonts w:ascii="Times New Roman" w:cs="Times New Roman" w:eastAsia="Times New Roman" w:hAnsi="Times New Roman"/>
          <w:sz w:val="18"/>
          <w:szCs w:val="18"/>
          <w:color w:val="auto"/>
        </w:rPr>
        <w:t>$358 million balance as of May 31, 2023. The increased GCBA rate was authorized to remain in place for up to two years or until the balance dropped below $10 million. The GCBA rate was set to $0.00 per therm, effective October 1, 2024, and has since transitioned to a credit rate consistent with the current over-collected balance. Ongoing deferred energy rates, separate from the GCBA rate, continue to be updated monthly.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Nevada Jurisdiction</w:t>
      </w:r>
    </w:p>
    <w:p>
      <w:pPr>
        <w:spacing w:after="0" w:line="1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Nevada General Rate Case. </w:t>
      </w:r>
      <w:r>
        <w:rPr>
          <w:rFonts w:ascii="Times New Roman" w:cs="Times New Roman" w:eastAsia="Times New Roman" w:hAnsi="Times New Roman"/>
          <w:sz w:val="18"/>
          <w:szCs w:val="18"/>
          <w:color w:val="auto"/>
        </w:rPr>
        <w:t>Southwest Gas filed its most recent general rate case in September 2023 based on the test year ended May 2023. The initial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request was updated with a certification filing primarily for plant placed in service and incremental annual leak survey costs through November 2023. Those updates resulted in an updated overall request of approximately $74 million, an increase over the initial request of $69.8 million. A stipulation was reached with Regulatory Operations Staff and the Bureau of Consumer Protection, settling certain issues and agreeing to a black box settlement with a statewide increase of $65.6 million, prior to any adjustments related to the cost of capital. Following a hearing on cost of capital issues, the PUCN issued a decision approving an annual increase in revenues of $59 million, approving the proposed settlement, and authorizing a return on common equity of 9.5%, including the use of a hypothetical capital structure of 50% debt and 50% equity. Included in the settled items were: a continuation of full revenue decoupling; authority to continue tracking incremental annual leak survey costs in a regulatory asset; and refreshed depreciation rates somewhat lower than those proposed. New rates became effective in April 2024.</w:t>
      </w:r>
    </w:p>
    <w:p>
      <w:pPr>
        <w:spacing w:after="0" w:line="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General Revenues Adjustment</w:t>
      </w:r>
      <w:r>
        <w:rPr>
          <w:rFonts w:ascii="Times New Roman" w:cs="Times New Roman" w:eastAsia="Times New Roman" w:hAnsi="Times New Roman"/>
          <w:sz w:val="18"/>
          <w:szCs w:val="18"/>
          <w:color w:val="auto"/>
        </w:rPr>
        <w:t>. The GRA, or Nevada decoupling mechanism, was affirmed as part of Southwest Gas’ most recently concluded general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case and adjustments are included in the ARA filings intended to update rates to recover/return amounts associated with various regulatory mechanisms, including the GRA. Recovery of rates and adjustments thereto as part of the ARA primarily impact cash flows, but not net income overall. Rates for the GRA and other regulatory mechanisms relating to the November 2023 ARA filing became effective May 1, 2024, earlier than the typical July 1 effective date. The most recent ARA filing was made in November 2024, considering balances as of September 30, 2024. Updated rates are anticipated July 1, 2025.</w:t>
      </w:r>
    </w:p>
    <w:p>
      <w:pPr>
        <w:spacing w:after="0" w:line="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Line Locate Activity Expenses Application. </w:t>
      </w:r>
      <w:r>
        <w:rPr>
          <w:rFonts w:ascii="Times New Roman" w:cs="Times New Roman" w:eastAsia="Times New Roman" w:hAnsi="Times New Roman"/>
          <w:sz w:val="18"/>
          <w:szCs w:val="18"/>
          <w:color w:val="auto"/>
        </w:rPr>
        <w:t>Southwest Gas filed an application with the PUCN for authority to establish regulatory accounting treatment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Line Locate Activity Expenses and to establish the Damage Prevention Cost Mechanism. This would allow Southwest Gas to track the actual level of line locate operation and maintenance expenses and record in a regulatory asset or liability the difference when compared to the operation and maintenance expenses established in the most recent general rate case. Approval to establish the Damage Prevention Cost Mechanism will provide the means to recover or return the accumulated balance of the line locate expenses tracked in the proposed regulatory account. This proposal is made without carrying charges, focusing solely on stemming the financial attrition suffered in between rate cases related to this work. Resolution of this application is anticipated in the third quarter 2025.</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California Jurisdiction</w:t>
      </w:r>
    </w:p>
    <w:p>
      <w:pPr>
        <w:spacing w:after="0" w:line="1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California General Rate Case. </w:t>
      </w:r>
      <w:r>
        <w:rPr>
          <w:rFonts w:ascii="Times New Roman" w:cs="Times New Roman" w:eastAsia="Times New Roman" w:hAnsi="Times New Roman"/>
          <w:sz w:val="18"/>
          <w:szCs w:val="18"/>
          <w:color w:val="auto"/>
        </w:rPr>
        <w:t>Southwest Gas filed its most recent general rate case in September 2024 related to a future test year (2026), proposing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statewide revenue increase of approximately $49 million, consisting of a revenue increase of $38.5 million for the southern California rate jurisdiction, an increase of $63,000 for the northern California rate jurisdiction, and an increase of $10.2 million for the South Lake Tahoe rate jurisdiction. The request is based on a capital structure consisting of 50% long-term debt and 50% common equity with a requested return on common equity of 11.35%, a modest increase compared to the 11.16% currently authorized. A continuation of Southwest Gas’ PTY margin attrition adjustment for attrition years 2027 – 2030 is included, as well as continued use of the Automatic Trigger Mechanism in lieu of annual cost of capital filings. Southwest Gas’ filing also includes a risk-based decision-making framework, proposing the continuation of the Targeted Pipe Replacement Program, the Meter Protection Program, and COYL Program, along with the addition of a new Annual Leak Survey Program, collectively under the Infrastructure Reliability and Replacement Adjustment Mechanism umbrella. Authority to establish a Damage Prevention Cost Balancing Account to record and recover (or return) certain costs associated with damage prevention expenses, specifically those related to line locating activities, was also requested. Consolidation of Southwest Gas’ northern California and South Lake Tahoe rate jurisdictions into a single rate-making jurisdiction is also proposed. The rate case will be processed during 2025 with a final decision expected in the fourth quarter of 2025, and new rates expected to be effective in January 2026.</w:t>
      </w:r>
    </w:p>
    <w:p>
      <w:pPr>
        <w:spacing w:after="0" w:line="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Attrition Filing. </w:t>
      </w:r>
      <w:r>
        <w:rPr>
          <w:rFonts w:ascii="Times New Roman" w:cs="Times New Roman" w:eastAsia="Times New Roman" w:hAnsi="Times New Roman"/>
          <w:sz w:val="18"/>
          <w:szCs w:val="18"/>
          <w:color w:val="auto"/>
        </w:rPr>
        <w:t>Following the 2021 implementation of rates approved as part of the previous general rate case, the continuation of annual PTY margin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attrition increases of 2.75% began in January 2022. The most recent annual margin attrition increase was also inclusive of adjustments related to the amortization of EADIT. The cumulative impact resulted in an annual increase of $7.3 million effective January 2025 for Southwest Gas’ combined southern California, northern California, and South Lake Tahoe rate jurisdictions. The PTY increase of $3.6 million associated with the North Lake Tahoe Lateral revenue requirement became effective February 1, 2025.</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7" w:name="page38"/>
    <w:bookmarkEnd w:id="37"/>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Service Area Extension. </w:t>
      </w:r>
      <w:r>
        <w:rPr>
          <w:rFonts w:ascii="Times New Roman" w:cs="Times New Roman" w:eastAsia="Times New Roman" w:hAnsi="Times New Roman"/>
          <w:sz w:val="18"/>
          <w:szCs w:val="18"/>
          <w:color w:val="auto"/>
        </w:rPr>
        <w:t>Southwest Gas filed a request to expand its southern California certificated service area, a CPCN, to include the Army’s National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Training Center at Fort Irwin, located northeast of Barstow, California. The CPCN was approved by the CPUC in April 2024 and authorizes Southwest Gas to construct approximately 21 miles of distribution main pipeline to deliver natural gas service to the newly certificated area of Fort Irwin, which at the time of filing was estimated to cost approximately $38.7 million.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FERC Jurisdiction</w:t>
      </w:r>
    </w:p>
    <w:p>
      <w:pPr>
        <w:spacing w:after="0" w:line="11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i w:val="1"/>
          <w:iCs w:val="1"/>
          <w:color w:val="auto"/>
        </w:rPr>
        <w:t xml:space="preserve">General Rate Case. </w:t>
      </w:r>
      <w:r>
        <w:rPr>
          <w:rFonts w:ascii="Times New Roman" w:cs="Times New Roman" w:eastAsia="Times New Roman" w:hAnsi="Times New Roman"/>
          <w:sz w:val="17"/>
          <w:szCs w:val="17"/>
          <w:color w:val="auto"/>
        </w:rPr>
        <w:t>Great Basin, a wholly owned subsidiary of Southwest Gas, filed a notice of a change in rates (pursuant to applicable regulations)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March 6, 2024, requesting that rates for natural gas service subject to the filing be made effective April 6, 2024. The FERC, however, suspended the case for</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 five-month period, which allowed rates to go into effect, subject to refund, on September 6, 2024. The filing included a request to continue a term-differentiated rate structure which was adopted as part of Great Basin’s previous general rate case, to provide an overall annual revenue increase of approximately $16 million (subsequently updated to $13 million), and a return on equity of 14.05% and 13.05% applicable to each category of shippers, as applicable, and a capital structure of 44% long-term debt and 56% common equity. A primary driver of the proposed increase was approximately $99 million of capital investments, much of which was placed in service by the end of the August 31, 2024 test year. An all-party settlement was reached and filed with the FERC for final consideration in December 2024 and is pending a decision, which is anticipated during the second quarter of 2025. Motion rates, subject to refund, became effective in September 2024, followed by interim rates, which became effective November 1, 2024. The interim rates are the same as the filed settlement rates and will remain in place until a final FERC decision is received. A portion of the rates implemented subject to refund have been appropriately reserved and will be refunded, as necessary, pending the final outcome in the case.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PGA Filings</w:t>
      </w:r>
    </w:p>
    <w:p>
      <w:pPr>
        <w:spacing w:after="0" w:line="1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 rate schedules in all of Southwest Gas’ service territories contain provisions that permit adjustments to rates as the cost of purchased gas changes. These deferred energy provisions and purchased gas adjustment clauses are collectively referred to as “PGA” clauses. Differences between gas costs recovered from customers and amounts paid for gas by Southwest Gas result in over- or under-collections. Balances are recovered from, or refunded to, customers on an ongoing basis with interest. As of December 31, 2024, over-collections in both the Arizona and Nevada service territories resulted in a liability of approximately $242.3 million and under-collections in California resulted in an asset of approximately $13.9 million on the Company’s and Southwest Gas’ Consolidated Balance Sheets. The substantial reduction in balances between periods in the table below reflects a combination of specific recovery rates in place to collect the build-up of earlier balances as a result of the cost paid for gas in those earlier periods, and recent conditions whereby base rates under the mechanisms have exceeded the cost of recent gas supply purchases by Southwest Gas. See also </w:t>
      </w:r>
      <w:r>
        <w:rPr>
          <w:rFonts w:ascii="Times New Roman" w:cs="Times New Roman" w:eastAsia="Times New Roman" w:hAnsi="Times New Roman"/>
          <w:sz w:val="18"/>
          <w:szCs w:val="18"/>
          <w:i w:val="1"/>
          <w:iCs w:val="1"/>
          <w:color w:val="auto"/>
        </w:rPr>
        <w:t>Deferred Purchased Gas Costs</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b w:val="1"/>
          <w:bCs w:val="1"/>
          <w:color w:val="auto"/>
        </w:rPr>
        <w:t>Note 1 - Background,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Organization, and Summary of Significant Accounting Policies</w:t>
      </w:r>
      <w:r>
        <w:rPr>
          <w:rFonts w:ascii="Times New Roman" w:cs="Times New Roman" w:eastAsia="Times New Roman" w:hAnsi="Times New Roman"/>
          <w:sz w:val="18"/>
          <w:szCs w:val="18"/>
          <w:color w:val="auto"/>
        </w:rPr>
        <w:t>.</w:t>
      </w:r>
    </w:p>
    <w:p>
      <w:pPr>
        <w:spacing w:after="0" w:line="8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Filings to change rates in accordance with PGA clauses are subject to audit by state regulatory commission staffs. PGA changes impact cash flows, but have no direct impact on operating margin. However, gas cost deferrals and recoveries can impact comparisons between periods of individual consolidated income statement components. These include Regulated operations revenues, Net cost of gas sold, Net interest deductions, and Other income (deductions).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Southwest Gas’ outstanding PGA balances receivable/(payable) at the end of its two most recent fiscal years: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right"/>
              <w:ind w:right="571"/>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21"/>
        </w:trPr>
        <w:tc>
          <w:tcPr>
            <w:tcW w:w="8920" w:type="dxa"/>
            <w:vAlign w:val="bottom"/>
            <w:tcBorders>
              <w:bottom w:val="single" w:sz="8" w:color="CCEEFF"/>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1"/>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Arizona</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251,416</w:t>
            </w:r>
          </w:p>
        </w:tc>
        <w:tc>
          <w:tcPr>
            <w:tcW w:w="0" w:type="dxa"/>
            <w:vAlign w:val="bottom"/>
          </w:tcPr>
          <w:p>
            <w:pPr>
              <w:spacing w:after="0"/>
              <w:rPr>
                <w:sz w:val="1"/>
                <w:szCs w:val="1"/>
                <w:color w:val="auto"/>
              </w:rPr>
            </w:pPr>
          </w:p>
        </w:tc>
      </w:tr>
      <w:tr>
        <w:trPr>
          <w:trHeight w:val="227"/>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Northern Nevada</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45,757</w:t>
            </w:r>
          </w:p>
        </w:tc>
        <w:tc>
          <w:tcPr>
            <w:tcW w:w="0" w:type="dxa"/>
            <w:vAlign w:val="bottom"/>
          </w:tcPr>
          <w:p>
            <w:pPr>
              <w:spacing w:after="0"/>
              <w:rPr>
                <w:sz w:val="1"/>
                <w:szCs w:val="1"/>
                <w:color w:val="auto"/>
              </w:rPr>
            </w:pPr>
          </w:p>
        </w:tc>
      </w:tr>
      <w:tr>
        <w:trPr>
          <w:trHeight w:val="227"/>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Southern Nevada</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(164,067)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218,761</w:t>
            </w:r>
          </w:p>
        </w:tc>
        <w:tc>
          <w:tcPr>
            <w:tcW w:w="0" w:type="dxa"/>
            <w:vAlign w:val="bottom"/>
          </w:tcPr>
          <w:p>
            <w:pPr>
              <w:spacing w:after="0"/>
              <w:rPr>
                <w:sz w:val="1"/>
                <w:szCs w:val="1"/>
                <w:color w:val="auto"/>
              </w:rPr>
            </w:pPr>
          </w:p>
        </w:tc>
      </w:tr>
      <w:tr>
        <w:trPr>
          <w:trHeight w:val="227"/>
        </w:trPr>
        <w:tc>
          <w:tcPr>
            <w:tcW w:w="8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36,951</w:t>
            </w:r>
          </w:p>
        </w:tc>
        <w:tc>
          <w:tcPr>
            <w:tcW w:w="0" w:type="dxa"/>
            <w:vAlign w:val="bottom"/>
          </w:tcPr>
          <w:p>
            <w:pPr>
              <w:spacing w:after="0"/>
              <w:rPr>
                <w:sz w:val="1"/>
                <w:szCs w:val="1"/>
                <w:color w:val="auto"/>
              </w:rPr>
            </w:pPr>
          </w:p>
        </w:tc>
      </w:tr>
      <w:tr>
        <w:trPr>
          <w:trHeight w:val="246"/>
        </w:trPr>
        <w:tc>
          <w:tcPr>
            <w:tcW w:w="89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(228,322)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552,885</w:t>
            </w:r>
          </w:p>
        </w:tc>
        <w:tc>
          <w:tcPr>
            <w:tcW w:w="0" w:type="dxa"/>
            <w:vAlign w:val="bottom"/>
          </w:tcPr>
          <w:p>
            <w:pPr>
              <w:spacing w:after="0"/>
              <w:rPr>
                <w:sz w:val="1"/>
                <w:szCs w:val="1"/>
                <w:color w:val="auto"/>
              </w:rPr>
            </w:pP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Arizona PGA Filings. </w:t>
      </w:r>
      <w:r>
        <w:rPr>
          <w:rFonts w:ascii="Times New Roman" w:cs="Times New Roman" w:eastAsia="Times New Roman" w:hAnsi="Times New Roman"/>
          <w:sz w:val="18"/>
          <w:szCs w:val="18"/>
          <w:color w:val="auto"/>
        </w:rPr>
        <w:t>In Arizona, Southwest Gas calculates the change in the gas cost component of customer rates monthly (to allow for timely refunds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to/recoveries from customers), utilizing a rolling twelve-month average. During 2024, the GCBA continued with a surcharge through September in order to recover the then under-collected balance through the increased rate mechanism. With the recovery of the outstanding under-collected balance, the GCBA transitioned to a small surcredit rate consistent with the over-collected balance at December 31, 2024.</w:t>
      </w:r>
    </w:p>
    <w:p>
      <w:pPr>
        <w:spacing w:after="0" w:line="7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California Gas Cost Filings. </w:t>
      </w:r>
      <w:r>
        <w:rPr>
          <w:rFonts w:ascii="Times New Roman" w:cs="Times New Roman" w:eastAsia="Times New Roman" w:hAnsi="Times New Roman"/>
          <w:sz w:val="18"/>
          <w:szCs w:val="18"/>
          <w:color w:val="auto"/>
        </w:rPr>
        <w:t>In California, a monthly gas cost adjustment, based on forecasted monthly prices, is utilized. Monthly adjustments modeled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fashion provide the timeliest recovery of gas costs in any Southwest Gas jurisdiction.</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38" w:name="page39"/>
    <w:bookmarkEnd w:id="38"/>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Nevada Gas Cost Filings. </w:t>
      </w:r>
      <w:r>
        <w:rPr>
          <w:rFonts w:ascii="Times New Roman" w:cs="Times New Roman" w:eastAsia="Times New Roman" w:hAnsi="Times New Roman"/>
          <w:sz w:val="18"/>
          <w:szCs w:val="18"/>
          <w:color w:val="auto"/>
        </w:rPr>
        <w:t>In November 2024, Southwest Gas filed to adjust its gas cost rates, which consist of two components, the Base Tariff Energy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Deferred Energy Account Adjustment rate. The new rates associated with the November 2024 filing became effective January 2025 and are intended to address the outstanding balances over a twelve-month period. Gas cost rates otherwise are updated on an ongoing basis quarterly, with changes effective each January, April, July, and October.</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Gas Price Volatility and Mitigation</w:t>
      </w:r>
    </w:p>
    <w:p>
      <w:pPr>
        <w:spacing w:after="0" w:line="1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To mitigate price volatility to its customers, Southwest Gas periodically enters into fixed-price term contracts under its volatility mitigation programs for up to 25% of the California jurisdictions’ annual normal weather supply needs and to a limited extent, in the Arizona jurisdiction. For the 2024/2025 heating season, contracts contained in the fixed-price portion of the supply portfolio ranged from approximately $4.18 to approximately $6.53 per dekatherm. In consultation with its regulators, Southwest Gas does not currently plan to make any fixed-price term purchases other than in California, nor to enter into financial swap agreements. Southwest Gas’ natural gas purchases, not covered by fixed-price contracts, are under variable-price contracts with firm quantities, or on the spot market. The contract price for these contracts is either determined at the beginning of each month to reflect the published first-of-month index price, or at market prices based on a published daily price index. In each case, the index price is not published or known until the purchase period begins. Plans with regard to fixed-price portfolios or other hedging programs could change as Southwest Gas monitors conditions and collaborates with regulatory commissions over time.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Pipeline Safety Regulations</w:t>
      </w:r>
    </w:p>
    <w:p>
      <w:pPr>
        <w:spacing w:after="0" w:line="1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Effective January 1, 2023, the PUCN issued an order revising its regulations to require annual leak surveys (previously every three years) of all distribution pipelines transporting natural gas and/or liquefied petroleum in Nevada. In conjunction with this change, the PUCN authorized the establishment of a regulatory asset account to track the incremental cost of compliance related to the new regulation, for consideration in a future general rate case filing.</w:t>
      </w:r>
    </w:p>
    <w:p>
      <w:pPr>
        <w:spacing w:after="0" w:line="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Effective October 2022, the PHMSA issued final rules that amended the federal pipeline safety regulations applicable to the valve installation and minimum rupture detection standards for gas transmission pipelines. Southwest Gas has integrated the requirements of this new rule into its operating procedures. In addition, in August 2022, PHMSA issued final rules that amended the federal pipeline safety regulations applicable to the integrity management of gas transmission pipelines, effective May 2023. Southwest Gas also integrated the requirements of this new rule into its operating procedures related to repair criteria, integrity management improvements, cathodic protection, management of change, and other gas transmission integrity related amendments.</w:t>
      </w:r>
    </w:p>
    <w:p>
      <w:pPr>
        <w:spacing w:after="0" w:line="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PHMSA published two significant NPRMs in 2023. The first is the Pipeline Leak Detection and Repair NPRM, which aims to mandate methane emissions reductions through the revision of operations and maintenance procedures for natural gas operators, the promulgation of Advanced Leak Detection equipment, and accelerated leak repair criteria. The final rule was expected to be published in mid-2024; however, this has been delayed to early 2025. Southwest Gas continues to evaluate potential impacts from this NPRM.</w:t>
      </w:r>
    </w:p>
    <w:p>
      <w:pPr>
        <w:spacing w:after="0" w:line="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second item, the Safety of Gas Distribution NPRM, resulted from congressional mandates and National Transportation Safety Board recommendations stemming from a 2018 incident in the Merrimack Valley, in Massachusetts. This NPRM was expected to be finalized in late 2024; however, it is uncertain as to when a final rule will be published. The final rule is expected to include provisions that are primarily aimed at mitigating over pressurization incidents, particularly on utilization pressure systems. Southwest Gas does not own or operate any utilization pressure systems, but is monitoring the progress and potential impacts, if any, of this NPRM.</w:t>
      </w:r>
    </w:p>
    <w:p>
      <w:pPr>
        <w:spacing w:after="0" w:line="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Southwest Gas continues to monitor changing pipeline safety legislation and participates, to the extent possible, in providing public comments and works with industry associations, such as the American Gas Association, in shaping regulatory language associated with these new mandates and reporting requirements. Additionally, management works with state and federal commissions to which Southwest Gas, including its subsidiaries, are subject, to develop customer rates that are responsive to incremental costs of compliance. However, due to the timing of when rates are implemented in response to new requirements, and as additional rules are developed, compliance requirements could impact expenses and the timing and amount of capital expenditures for Southwest Gas.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Resources and Liquidity</w:t>
      </w:r>
    </w:p>
    <w:p>
      <w:pPr>
        <w:spacing w:after="0" w:line="11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Historically, cash on hand and cash flows from operations have provided a substantial portion of cash used in investing activities (primarily construction expenditures and property additions). In recent years, Southwest Gas has undertaken substantial pipe replacement activities to fortify system integrity and reliability, including on an accelerated basis in association with certain gas infrastructure replacement programs. In addition, certain national events, including several major storms in recent years affecting central portions of the U.S., contributed to the periodic run-up in gas supply costs, before commodity</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39" w:name="page40"/>
    <w:bookmarkEnd w:id="39"/>
    <w:p>
      <w:pPr>
        <w:jc w:val="both"/>
        <w:spacing w:after="0" w:line="258" w:lineRule="auto"/>
        <w:rPr>
          <w:sz w:val="20"/>
          <w:szCs w:val="20"/>
          <w:color w:val="auto"/>
        </w:rPr>
      </w:pPr>
      <w:r>
        <w:rPr>
          <w:rFonts w:ascii="Times New Roman" w:cs="Times New Roman" w:eastAsia="Times New Roman" w:hAnsi="Times New Roman"/>
          <w:sz w:val="18"/>
          <w:szCs w:val="18"/>
          <w:color w:val="auto"/>
        </w:rPr>
        <w:t>costs significantly dropped following the events. This collective activity necessitated the issuance of both debt and equity securities to supplement cash flows from operations, before cash reserves were replenished at the utility in more recent periods, including from collections under the PGA mechanisms. Southwest Gas Holdings and Southwest Gas’ capitalization strategy is to maintain an appropriate balance of equity and debt to preserve investment-grade credit ratings, which helps minimize interest costs. Investment-grade credit ratings have been maintained by Southwest Gas Holdings and Southwest Gas.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Southwest Gas Holdings, Inc.:</w:t>
      </w:r>
    </w:p>
    <w:p>
      <w:pPr>
        <w:spacing w:after="0" w:line="1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Operating Cash Flows. </w:t>
      </w:r>
      <w:r>
        <w:rPr>
          <w:rFonts w:ascii="Times New Roman" w:cs="Times New Roman" w:eastAsia="Times New Roman" w:hAnsi="Times New Roman"/>
          <w:sz w:val="18"/>
          <w:szCs w:val="18"/>
          <w:color w:val="auto"/>
        </w:rPr>
        <w:t>Cash flows provided by consolidated operating activities increased $847 million between 2024 and 2023. The increase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driven by the collection of previously deferred purchased gas costs for Southwest Gas. As noted above, in previous periods rates billed to customers for gas supply costs were lower than actual expenditures. These differences were deferred and have since been collected, providing a significant source of available funds in the current period. The PGA balances overall are subject to rate establishment across the year, as discussed earlier, and are now in an overcollected status. The improvement in cash flows between periods also reflects the impacts of other changes, notably in other components of working capital overall, including the timing and amount of accounts receivable/payable and other current asset and liability balances. The increase additionally includes the $125 million proceeds related to Centuri’s Securitization Facility, which was net of an increase in certain receivable balances at Centuri due to the timing of billings and payments (see </w:t>
      </w:r>
      <w:r>
        <w:rPr>
          <w:rFonts w:ascii="Times New Roman" w:cs="Times New Roman" w:eastAsia="Times New Roman" w:hAnsi="Times New Roman"/>
          <w:sz w:val="18"/>
          <w:szCs w:val="18"/>
          <w:b w:val="1"/>
          <w:bCs w:val="1"/>
          <w:color w:val="auto"/>
        </w:rPr>
        <w:t>Note 3 - Revenue</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Investing Cash Flows. </w:t>
      </w:r>
      <w:r>
        <w:rPr>
          <w:rFonts w:ascii="Times New Roman" w:cs="Times New Roman" w:eastAsia="Times New Roman" w:hAnsi="Times New Roman"/>
          <w:sz w:val="18"/>
          <w:szCs w:val="18"/>
          <w:color w:val="auto"/>
        </w:rPr>
        <w:t>Cash flows from investing activities decreased $1.07 billion in 2024 as compared to 2023. The overall change was driven by $1.05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billion in proceeds received in connection with the MountainWest sale (net of cash sold) in 2023, partially offset by proceeds from the sale of other property in 2024. Furthermore, outflows for construction expenditures and property additions were higher in 2024 compared to 2023.</w:t>
      </w:r>
    </w:p>
    <w:p>
      <w:pPr>
        <w:spacing w:after="0" w:line="6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Financing Cash Flows. </w:t>
      </w:r>
      <w:r>
        <w:rPr>
          <w:rFonts w:ascii="Times New Roman" w:cs="Times New Roman" w:eastAsia="Times New Roman" w:hAnsi="Times New Roman"/>
          <w:sz w:val="18"/>
          <w:szCs w:val="18"/>
          <w:color w:val="auto"/>
        </w:rPr>
        <w:t>Cash flows from financing activities increased $524 million in 2024 as compared to 2023. The overall increase was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activity in 2023, including the repayment ($1.1 billion) in that year of the then remaining balance of the term loan, entered into by Southwest Gas Holdings in connection with the 2021 acquisition of MountainWest and the $225 million Southwest Gas term loan that originated in March 2021, offset by Southwest Gas’ issuance of $300 million in 5.45% senior notes in March 2023 that will mature in 2028, as well as Southwest Gas Holdings proceeds received in April 2023 from a $550 million term loan now maturing in July 2025, in addition to various other borrowing and repayment activity. Net financing activities in 2024 include net proceeds received from Centuri’s April 2024 IPO and private placement ($328 million), with the majority of the proceeds used by Centuri at that time to pay down portions of its revolving credit and term loan facility. Financing cash flows also include Centuri’s redemption of the previously remaining redeemable noncontrolling interest in Linetec for $92 million in 2024 (compared to $40 million of partial redemption in 2023), $125 million payment on Centuri’s term loan with proceeds from the Securitization Facility, in addition to utilization of its credit facility for this and other purposes. The prior year period also included proceeds received from the issuance of Company common stock in an underwritten public offering in March 2023, with no comparable issuance in the current year. Those proceeds were used at that time to pay down Company indebtedness. Other financing cash flows include other borrowings and repayments under the companies’ credit facilities, and an increase in dividends paid between periods due to an increase in the number of outstanding shares.</w:t>
      </w:r>
    </w:p>
    <w:p>
      <w:pPr>
        <w:spacing w:after="0" w:line="8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Corporate and administrative expenses/outflows for Southwest Gas Holdings in 2024 overall primarily include interest paid on outstanding borrowings and costs associated with the Centuri separation.</w:t>
      </w:r>
    </w:p>
    <w:p>
      <w:pPr>
        <w:spacing w:after="0" w:line="5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capital requirements and resources of the Company generally are determined independently for the individual business segments. Each business segment is generally responsible for securing its own financing sources. However, the holding company may raise funds through stock issuances or other external financing sources in support of each business segment.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Southwest Gas Corporation:</w:t>
      </w:r>
    </w:p>
    <w:p>
      <w:pPr>
        <w:spacing w:after="0" w:line="11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Operating Cash Flows. </w:t>
      </w:r>
      <w:r>
        <w:rPr>
          <w:rFonts w:ascii="Times New Roman" w:cs="Times New Roman" w:eastAsia="Times New Roman" w:hAnsi="Times New Roman"/>
          <w:sz w:val="18"/>
          <w:szCs w:val="18"/>
          <w:color w:val="auto"/>
        </w:rPr>
        <w:t>Cash flows provided by operating activities increased $861 million between 2024 and 2023 primarily attributable to the collection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deferred purchased gas costs (as discussed above), as well as cash flows from other working capital changes overall.</w:t>
      </w:r>
    </w:p>
    <w:p>
      <w:pPr>
        <w:spacing w:after="0" w:line="5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Investing Cash Flows. </w:t>
      </w:r>
      <w:r>
        <w:rPr>
          <w:rFonts w:ascii="Times New Roman" w:cs="Times New Roman" w:eastAsia="Times New Roman" w:hAnsi="Times New Roman"/>
          <w:sz w:val="18"/>
          <w:szCs w:val="18"/>
          <w:color w:val="auto"/>
        </w:rPr>
        <w:t>Cash used in investing activities increased $61 million in 2024 as compared to 2023. While outflows for capital expenditures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increased by $85 million in 2024, the increase was partially offset by proceeds from the sale of property for $21.4 million, as well as reduced outflows related to customer advances for construction. See also </w:t>
      </w:r>
      <w:r>
        <w:rPr>
          <w:rFonts w:ascii="Times New Roman" w:cs="Times New Roman" w:eastAsia="Times New Roman" w:hAnsi="Times New Roman"/>
          <w:sz w:val="18"/>
          <w:szCs w:val="18"/>
          <w:i w:val="1"/>
          <w:iCs w:val="1"/>
          <w:color w:val="auto"/>
        </w:rPr>
        <w:t>2024 Construction Expenditures</w:t>
      </w:r>
      <w:r>
        <w:rPr>
          <w:rFonts w:ascii="Times New Roman" w:cs="Times New Roman" w:eastAsia="Times New Roman" w:hAnsi="Times New Roman"/>
          <w:sz w:val="18"/>
          <w:szCs w:val="18"/>
          <w:color w:val="auto"/>
        </w:rPr>
        <w:t xml:space="preserve"> below</w:t>
      </w:r>
      <w:r>
        <w:rPr>
          <w:rFonts w:ascii="Times New Roman" w:cs="Times New Roman" w:eastAsia="Times New Roman" w:hAnsi="Times New Roman"/>
          <w:sz w:val="18"/>
          <w:szCs w:val="18"/>
          <w:i w:val="1"/>
          <w:iCs w:val="1"/>
          <w:color w:val="auto"/>
        </w:rPr>
        <w:t>.</w:t>
      </w:r>
    </w:p>
    <w:p>
      <w:pPr>
        <w:spacing w:after="0" w:line="6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Financing Cash Flows. </w:t>
      </w:r>
      <w:r>
        <w:rPr>
          <w:rFonts w:ascii="Times New Roman" w:cs="Times New Roman" w:eastAsia="Times New Roman" w:hAnsi="Times New Roman"/>
          <w:sz w:val="18"/>
          <w:szCs w:val="18"/>
          <w:color w:val="auto"/>
        </w:rPr>
        <w:t>Net cash from financing activities decreased $580 million in 2024 as compared to 2023. The decline was primarily due to parent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contributions in 2023, with no comparable inflow in 2024. Separately, proceeds were received from $300 million of 5.45% senior notes in 2023, offset by the repayment of a March 2021 term loan that same year. A separate term</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40" w:name="page41"/>
    <w:bookmarkEnd w:id="40"/>
    <w:p>
      <w:pPr>
        <w:jc w:val="both"/>
        <w:spacing w:after="0" w:line="278" w:lineRule="auto"/>
        <w:rPr>
          <w:sz w:val="20"/>
          <w:szCs w:val="20"/>
          <w:color w:val="auto"/>
        </w:rPr>
      </w:pPr>
      <w:r>
        <w:rPr>
          <w:rFonts w:ascii="Times New Roman" w:cs="Times New Roman" w:eastAsia="Times New Roman" w:hAnsi="Times New Roman"/>
          <w:sz w:val="18"/>
          <w:szCs w:val="18"/>
          <w:color w:val="auto"/>
        </w:rPr>
        <w:t xml:space="preserve">loan was both borrowed and repaid during 2023. Outflows for dividend payments increased in 2024 compared to 2023. Other impacts primarily relate to activity under Southwest Gas’ credit facility in 2023. See </w:t>
      </w:r>
      <w:r>
        <w:rPr>
          <w:rFonts w:ascii="Times New Roman" w:cs="Times New Roman" w:eastAsia="Times New Roman" w:hAnsi="Times New Roman"/>
          <w:sz w:val="18"/>
          <w:szCs w:val="18"/>
          <w:b w:val="1"/>
          <w:bCs w:val="1"/>
          <w:color w:val="auto"/>
        </w:rPr>
        <w:t>Note 8 - Debt</w:t>
      </w:r>
      <w:r>
        <w:rPr>
          <w:rFonts w:ascii="Times New Roman" w:cs="Times New Roman" w:eastAsia="Times New Roman" w:hAnsi="Times New Roman"/>
          <w:sz w:val="18"/>
          <w:szCs w:val="18"/>
          <w:color w:val="auto"/>
        </w:rPr>
        <w:t>.</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Construction Expenditures</w:t>
      </w:r>
    </w:p>
    <w:p>
      <w:pPr>
        <w:spacing w:after="0" w:line="1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During the three-year period ended December 31, 2024, total gas plant in service increased from $8.9 billion to $10.8 billion, or at an average annual rate of 7%. Replacement, new business, and reinforcement work was a substantial portion of the plant increase during the three-year period. Customer growth also impacted expenditures as Southwest Gas set approximately 122,000 meters during this time, which is reflected in new business.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2024, construction expenditures (through cash outlays) for Southwest Gas were $847 million. The majority of these expenditures represented costs associated with replacement of existing transmission and distribution plant to fortify system integrity and reliability, as well as general plant additions. Cash flows from operating activities of Southwest Gas were $1.25 billion, exceeding 2024 construction expenditures and dividend requirements of the natural gas operations segment.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Financing Activity</w:t>
      </w:r>
    </w:p>
    <w:p>
      <w:pPr>
        <w:spacing w:after="0" w:line="11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As of December 31, 2024, the Company had up to $340 million of common stock available for sale under its ATM Program. No issuances have occurred under the ATM Program in 2024.</w:t>
      </w:r>
    </w:p>
    <w:p>
      <w:pPr>
        <w:spacing w:after="0" w:line="5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Net proceeds received under the Dividend Reinvestment and Stock Purchase Plan during 2024 were approximately $9 million, from the issuance of approximately 127,000 shares of Company common stock.</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Natural Gas Distribution Segment Construction Expenditures, Debt Maturities, and Financing</w:t>
      </w:r>
    </w:p>
    <w:p>
      <w:pPr>
        <w:spacing w:after="0" w:line="1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Management estimates natural gas distribution segment construction expenditures during the three-year period ending December 31, 2027 will be approximately $2.6 billion. Of this amount, approximately $880 million is expected to be incurred in 2025. Southwest Gas plans to continue to request regulatory support to undertake projects, or to accelerate projects as necessary, for the improvement of system flexibility and reliability, or to expand, where relevant, to unserved or underserved areas. Southwest Gas may expand existing, or initiate new, programs. Significant replacement activities are expected to continue well beyond the next few years. During the three-year period ending December 31, 2027, cash flows from operating activities of Southwest Gas are expected to provide approximately 74% of the funding for gas operations of Southwest Gas and total construction expenditures and dividend requirements. Any additional cash requirements, including construction-related, and any paydown or refinancing of debt, are expected to be provided by credit facilities, equity contributions from the Company, and/or other external financing sources. During the three-year period, Southwest Gas will have $407.5 million of long-term debt maturing. The timing, types, and amounts of any additional external financings will be dependent on a number of factors, including the cost of gas purchases, conditions in the capital markets, timing and amounts of rate relief, timing and amounts of surcharge collections from or amounts returned to customers related to regulatory mechanisms including the PGA, maturities of long-term debt instruments, as well as growth levels in Southwest Gas’ service areas and earnings. External financings could include the issuance of debt securities, bank and other short-term borrowings, and other forms of financing.</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Several factors (some of which are out of the control of the Company) that could significantly affect liquidity in future years include: activities from the planned separation of Centuri, variability of natural gas prices, changes in ratemaking policies of regulatory commissions, regulatory lag, customer growth in the natural gas distribution segment, the ability to access and obtain capital from external sources, the level of interest rates, changes in income tax laws, pension funding requirements, inflation, and the level of earnings. Natural gas prices and related gas cost recovery rates, as well as plant investment and ratemaking activities, have historically had the most significant impact on liquidity, aside from the Company’s recent strategic undertakings, including acquisition and disposition activity.</w:t>
      </w:r>
    </w:p>
    <w:p>
      <w:pPr>
        <w:spacing w:after="0" w:line="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an interim basis, Southwest Gas defers over- or under-collections of gas costs to PGA balancing accounts. In addition, Southwest Gas uses this mechanism to either refund amounts over-collected or recoup amounts under-collected as compared to the price paid for natural gas during the period since the last PGA rate change went into effect. At December 31, 2024, the balance in the PGA accounts included an under-collection of approximately $13.9 million pertaining to the California jurisdiction and an over-collection of $242.3 million pertaining to Arizona and Nevada. The substantial reduction from the receivable PGA balance existing as of the comparable period in 2023 is also highlighted by the substantial cash balance of $311 million existing as December 31, 2024, which reflects, among other things, customer collections related to the PGA. See </w:t>
      </w:r>
      <w:r>
        <w:rPr>
          <w:rFonts w:ascii="Times New Roman" w:cs="Times New Roman" w:eastAsia="Times New Roman" w:hAnsi="Times New Roman"/>
          <w:sz w:val="18"/>
          <w:szCs w:val="18"/>
          <w:b w:val="1"/>
          <w:bCs w:val="1"/>
          <w:color w:val="auto"/>
        </w:rPr>
        <w:t>PGA Filings</w:t>
      </w:r>
      <w:r>
        <w:rPr>
          <w:rFonts w:ascii="Times New Roman" w:cs="Times New Roman" w:eastAsia="Times New Roman" w:hAnsi="Times New Roman"/>
          <w:sz w:val="18"/>
          <w:szCs w:val="18"/>
          <w:color w:val="auto"/>
        </w:rPr>
        <w:t xml:space="preserve"> for more information.</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April 2023, Southwest Gas Holdings entered into a $550 million Term Loan Credit Agreement that was set to mature in October 2024. The Company utilized a majority of the proceeds to make an equity contribution to Southwest Gas. In August 2024, Southwest Gas Holdings amended its Term Loan agreement, extending the maturity date to July 31, 2025 and changing the interest with reference to SOFR from an applicable margin of 1.300% to 1.125%, among other miscellaneous changes.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41" w:name="page42"/>
    <w:bookmarkEnd w:id="41"/>
    <w:p>
      <w:pPr>
        <w:jc w:val="both"/>
        <w:spacing w:after="0" w:line="263" w:lineRule="auto"/>
        <w:rPr>
          <w:sz w:val="20"/>
          <w:szCs w:val="20"/>
          <w:color w:val="auto"/>
        </w:rPr>
      </w:pPr>
      <w:r>
        <w:rPr>
          <w:rFonts w:ascii="Times New Roman" w:cs="Times New Roman" w:eastAsia="Times New Roman" w:hAnsi="Times New Roman"/>
          <w:sz w:val="18"/>
          <w:szCs w:val="18"/>
          <w:color w:val="auto"/>
        </w:rPr>
        <w:t>Southwest Gas Holdings has a credit facility with a borrowing capacity of $300 million that expires in December 2026. This facility is intended for short-term financing needs. At December 31, 2024, $130 million was outstanding under this facility. The maximum amount outstanding during 2024 occurred during the fourth quarter and was $130 million.</w:t>
      </w:r>
    </w:p>
    <w:p>
      <w:pPr>
        <w:spacing w:after="0" w:line="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Southwest Gas has a credit facility with a borrowing capacity of $400 million, which was set to expire in April 2025, before it was replaced in August 2024, extending the maturity date to August 2029. Southwest Gas designates $150 million of the facility for long-term borrowing needs and the remaining $250 million for working capital purposes. There was no activity on either the long-term or short-term portions of the existing facility during 2024. As of December 31, 2024, no borrowings were outstanding on the long-term portion of the credit facility (including no borrowings outstanding under the commercial paper program), and no borrowings were outstanding on the short-term portion. The credit facility has been used as necessary to meet liquidity requirements, including temporarily financing under-collected PGA balances, meeting the refund needs of over-collected balances, or temporarily funding capital expenditures. The credit facility has generally been adequate for Southwest Gas’ needs outside of funds raised through operations and other types of external financing.</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Southwest Gas has a $50 million commercial paper program. Any issuance under the commercial paper program is supported by the revolving credit facility and, therefore, does not represent additional borrowing capacity. Any borrowing under the commercial paper program is designated as long-term debt. Interest rates for the commercial paper program are calculated at the then current commercial paper rate. At December 31, 2024, there were no borrowings outstanding under this program.</w:t>
      </w:r>
    </w:p>
    <w:p>
      <w:pPr>
        <w:spacing w:after="0" w:line="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Centuri has a $1.545 billion secured revolving credit and term loan multi-currency facility. The capacity of the line of credit is $400 million with related amounts borrowed and repaid available to be re-borrowed; the term loan portion of the facility has a limit of $1.145 billion. The term loan facility expires on August 27, 2028 and the revolving credit facility expires on August 27, 2026. This multi-currency facility allows the borrower to request loan advances in either Canadian dollars or U.S. dollars. The obligations under the credit agreement are secured by present and future ownership interests in substantially all direct and indirect subsidiaries of Centuri, substantially all of the tangible and intangible personal property of each borrower, certain of their direct and indirect subsidiaries, and all products, profits, and proceeds of the foregoing. Centuri assets securing the facility at December 31, 2024 totaled $2.4 billion. The maximum amount outstanding on the combined facility during 2024 was $1.117 billion, which occurred in the first quarter, at which point $1 billion was outstanding on the term loan facility. As of December 31, 2024, $113.5 million was outstanding on the revolving credit facility, in addition to $706.4 million outstanding on the term loan portion of the facility. Also at December 31, 2024, there was approximately $226 million, net of letters of credit, available for borrowing under the line of credit.</w:t>
      </w:r>
    </w:p>
    <w:p>
      <w:pPr>
        <w:spacing w:after="0" w:line="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April 2024, Centuri successfully completed an IPO of 14,260,000 shares of Centuri common stock at a price of $21.00 per share, in addition to a concurrent private placement of 2,591,929 shares at a price equal to the IPO price. The collective net proceeds to Centuri approximated $328 million. Centuri used $316 million of the proceeds to repay amounts outstanding under its revolving credit and term loan facility, with the remainder intended for general corporate purposes. Following the IPO, the Company owns approximately 81% of the outstanding shares of Centuri common stock. The Company intends to fully dispose of its ownership in Centuri in one or more disposition transactions, including by way of sales of the Company’s shares of Centuri common stock, one or more exchange offers for Company shares, or distributions, or any combination thereof.</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Ratings</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Credit ratings apply to debt securities, which constitute a significant portion of total capitalization, such as bonds, notes, and other debt instruments and do not apply to equity securities such as common stock. Borrowing costs and the ability to raise funds are directly impacted by the credit ratings of the Company. Credit ratings issued by nationally recognized ratings agencies (Moody’s, S&amp;P, and Fitch) provide a method for determining the creditworthiness of an issuer. These credit ratings are a factor considered by lenders when determining the cost of current and future debt for each debt obligor (i.e., generally the better the rating, the lower the cost to borrow funds). The current unsecured long-term debt ratings of the Company and Southwest Gas are considered investment grade, and Centuri’s ratings are considered non-investment grade.</w:t>
      </w:r>
    </w:p>
    <w:p>
      <w:pPr>
        <w:spacing w:after="0" w:line="7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 credit rating, including the foregoing, is not a recommendation to buy, sell, or hold a debt security, but is intended to provide an estimation of the relative level of credit risk of debt securities, and is subject to change or withdrawal at any time by the rating agency. Numerous factors, including many that are not within management’s control, are considered by the ratings agencies in connection with the assigning of credit ratings.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2"/>
        </w:trPr>
        <w:tc>
          <w:tcPr>
            <w:tcW w:w="4080" w:type="dxa"/>
            <w:vAlign w:val="bottom"/>
          </w:tcPr>
          <w:p>
            <w:pPr>
              <w:spacing w:after="0"/>
              <w:rPr>
                <w:sz w:val="20"/>
                <w:szCs w:val="20"/>
                <w:color w:val="auto"/>
              </w:rPr>
            </w:pPr>
          </w:p>
        </w:tc>
        <w:tc>
          <w:tcPr>
            <w:tcW w:w="2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Moody's (1)</w:t>
            </w:r>
          </w:p>
        </w:tc>
        <w:tc>
          <w:tcPr>
            <w:tcW w:w="2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Standard &amp; Poor's (2)</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Fitch (3)</w:t>
            </w:r>
          </w:p>
        </w:tc>
      </w:tr>
      <w:tr>
        <w:trPr>
          <w:trHeight w:val="207"/>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2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spacing w:after="0"/>
              <w:rPr>
                <w:sz w:val="18"/>
                <w:szCs w:val="18"/>
                <w:color w:val="auto"/>
              </w:rPr>
            </w:pPr>
          </w:p>
        </w:tc>
      </w:tr>
      <w:tr>
        <w:trPr>
          <w:trHeight w:val="227"/>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Issuer rating</w:t>
            </w:r>
          </w:p>
        </w:tc>
        <w:tc>
          <w:tcPr>
            <w:tcW w:w="2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Baa2</w:t>
            </w:r>
          </w:p>
        </w:tc>
        <w:tc>
          <w:tcPr>
            <w:tcW w:w="24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BBB-</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BBB</w:t>
            </w:r>
          </w:p>
        </w:tc>
      </w:tr>
      <w:tr>
        <w:trPr>
          <w:trHeight w:val="227"/>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Outlook</w:t>
            </w:r>
          </w:p>
        </w:tc>
        <w:tc>
          <w:tcPr>
            <w:tcW w:w="2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Stable</w:t>
            </w:r>
          </w:p>
        </w:tc>
        <w:tc>
          <w:tcPr>
            <w:tcW w:w="2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Positive Outlook</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Negative</w:t>
            </w:r>
          </w:p>
        </w:tc>
      </w:tr>
      <w:tr>
        <w:trPr>
          <w:trHeight w:val="227"/>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Last reaffirmed</w:t>
            </w:r>
          </w:p>
        </w:tc>
        <w:tc>
          <w:tcPr>
            <w:tcW w:w="2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May 2024</w:t>
            </w:r>
          </w:p>
        </w:tc>
        <w:tc>
          <w:tcPr>
            <w:tcW w:w="24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December 2024</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2024</w:t>
            </w:r>
          </w:p>
        </w:tc>
      </w:tr>
      <w:tr>
        <w:trPr>
          <w:trHeight w:val="227"/>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Southwest Gas Corporation:</w:t>
            </w:r>
          </w:p>
        </w:tc>
        <w:tc>
          <w:tcPr>
            <w:tcW w:w="2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r>
      <w:tr>
        <w:trPr>
          <w:trHeight w:val="227"/>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Senior unsecured long-term debt</w:t>
            </w:r>
          </w:p>
        </w:tc>
        <w:tc>
          <w:tcPr>
            <w:tcW w:w="2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Baa1</w:t>
            </w:r>
          </w:p>
        </w:tc>
        <w:tc>
          <w:tcPr>
            <w:tcW w:w="2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BBB</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A-</w:t>
            </w:r>
          </w:p>
        </w:tc>
      </w:tr>
      <w:tr>
        <w:trPr>
          <w:trHeight w:val="227"/>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Outlook</w:t>
            </w:r>
          </w:p>
        </w:tc>
        <w:tc>
          <w:tcPr>
            <w:tcW w:w="2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Stable</w:t>
            </w:r>
          </w:p>
        </w:tc>
        <w:tc>
          <w:tcPr>
            <w:tcW w:w="2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Positive Outlook</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Stable</w:t>
            </w:r>
          </w:p>
        </w:tc>
      </w:tr>
      <w:tr>
        <w:trPr>
          <w:trHeight w:val="227"/>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Last reaffirmed</w:t>
            </w:r>
          </w:p>
        </w:tc>
        <w:tc>
          <w:tcPr>
            <w:tcW w:w="2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May 2024</w:t>
            </w:r>
          </w:p>
        </w:tc>
        <w:tc>
          <w:tcPr>
            <w:tcW w:w="2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September 2024</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2024</w:t>
            </w:r>
          </w:p>
        </w:tc>
      </w:tr>
      <w:tr>
        <w:trPr>
          <w:trHeight w:val="227"/>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Centuri Group, Inc.:</w:t>
            </w:r>
          </w:p>
        </w:tc>
        <w:tc>
          <w:tcPr>
            <w:tcW w:w="2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r>
      <w:tr>
        <w:trPr>
          <w:trHeight w:val="227"/>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Issuer rating</w:t>
            </w:r>
          </w:p>
        </w:tc>
        <w:tc>
          <w:tcPr>
            <w:tcW w:w="2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Ba3</w:t>
            </w:r>
          </w:p>
        </w:tc>
        <w:tc>
          <w:tcPr>
            <w:tcW w:w="24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B+</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27"/>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Outlook</w:t>
            </w:r>
          </w:p>
        </w:tc>
        <w:tc>
          <w:tcPr>
            <w:tcW w:w="2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Stable</w:t>
            </w:r>
          </w:p>
        </w:tc>
        <w:tc>
          <w:tcPr>
            <w:tcW w:w="2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CreditWatch Developing</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33"/>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Last reaffirmed</w:t>
            </w:r>
          </w:p>
        </w:tc>
        <w:tc>
          <w:tcPr>
            <w:tcW w:w="2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May 2024</w:t>
            </w:r>
          </w:p>
        </w:tc>
        <w:tc>
          <w:tcPr>
            <w:tcW w:w="24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October 2024</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bl>
    <w:p>
      <w:pPr>
        <w:spacing w:after="0" w:line="61" w:lineRule="exact"/>
        <w:rPr>
          <w:sz w:val="20"/>
          <w:szCs w:val="20"/>
          <w:color w:val="auto"/>
        </w:rPr>
      </w:pPr>
    </w:p>
    <w:p>
      <w:pPr>
        <w:ind w:left="160" w:firstLine="7"/>
        <w:spacing w:after="0" w:line="264" w:lineRule="auto"/>
        <w:tabs>
          <w:tab w:leader="none" w:pos="641"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Moody’s debt ratings range from Aaa (highest rating possible) to C (lowest quality, usually in default). A numerical modifier of 1 (high end of the category) through 3 (low end of the category) is included with the rating to indicate the approximate rank of a company within the range.</w:t>
      </w:r>
    </w:p>
    <w:p>
      <w:pPr>
        <w:spacing w:after="0" w:line="1" w:lineRule="exact"/>
        <w:rPr>
          <w:rFonts w:ascii="Times New Roman" w:cs="Times New Roman" w:eastAsia="Times New Roman" w:hAnsi="Times New Roman"/>
          <w:sz w:val="16"/>
          <w:szCs w:val="16"/>
          <w:color w:val="auto"/>
        </w:rPr>
      </w:pPr>
    </w:p>
    <w:p>
      <w:pPr>
        <w:ind w:left="160" w:firstLine="7"/>
        <w:spacing w:after="0" w:line="246" w:lineRule="auto"/>
        <w:tabs>
          <w:tab w:leader="none" w:pos="641"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S&amp;P debt ratings range from AAA (highest rating possible) to D (obligation is in default). The ratings from ‘AA’ to ‘CCC’ may be modified by the addition of a plus “+” or minus “-” sign to show relative standing within the major rating categories.</w:t>
      </w:r>
    </w:p>
    <w:p>
      <w:pPr>
        <w:spacing w:after="0" w:line="1" w:lineRule="exact"/>
        <w:rPr>
          <w:rFonts w:ascii="Times New Roman" w:cs="Times New Roman" w:eastAsia="Times New Roman" w:hAnsi="Times New Roman"/>
          <w:sz w:val="16"/>
          <w:szCs w:val="16"/>
          <w:color w:val="auto"/>
        </w:rPr>
      </w:pPr>
    </w:p>
    <w:p>
      <w:pPr>
        <w:ind w:left="160" w:firstLine="7"/>
        <w:spacing w:after="0" w:line="265" w:lineRule="auto"/>
        <w:tabs>
          <w:tab w:leader="none" w:pos="641"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Fitch debt ratings range from AAA (highest credit quality) to D (defaulted debt obligation). The modifiers “+” or “-” may be appended to a rating to denote relative status within major rating categories.</w:t>
      </w:r>
    </w:p>
    <w:p>
      <w:pPr>
        <w:spacing w:after="0" w:line="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None of Southwest Gas’ debt instruments have credit triggers or other clauses that result in default if these bond ratings are lowered by rating agencies. Interest and fees on certain debt instruments are subject to adjustment depending on Southwest Gas’ bond ratings. Certain debt instruments are subject to a leverage ratio cap, and the 6.1% Notes due 2041 are also subject to a minimum net worth requirement. At December 31, 2024, Southwest Gas was in compliance with all of its covenants. Under the most restrictive of the financial covenants, approximately $4.1 billion in additional debt could be issued and the leverage ratio requirement would still be met. At least $2.7 billion of cushion in equity relating to the minimum net worth requirement exists at December 31, 2024. No specific limitations as to dividends exist under the collective covenants. None of the debt instruments contain material adverse change clauses.</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December 31, 2024, Southwest Gas Holdings was also in compliance with all of the covenants of its credit facility and Term Loan Credit Agreement. Interest and fees on its credit facility and term loan due July 31, 2025 are subject to adjustment depending on its senior debt ratings. The credit facility and term loan are subject to a leverage ratio cap. Under the most restrictive of the financial covenants, approximately $3.5 billion in additional debt could be issued while still meeting the leverage ratio requirement. No specific limitations as to dividends exist under the collective covenants. The credit facility and term loan agreements do not contain material adverse change clauses.</w:t>
      </w:r>
    </w:p>
    <w:p>
      <w:pPr>
        <w:spacing w:after="0" w:line="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Certain Centuri debt instruments have leverage ratio caps and interest coverage ratio requirements. At December 31, 2024, Centuri was in compliance with all of its covenants. Under the most restrictive of the covenants, Centuri could issue approximately $151 million in additional debt and meet the leverage ratio requirement. Centuri has approximately $28 million of cushion relating to the minimum interest coverage ratio requirement. Centuri’s revolving credit and term loan facility is secured by underlying assets of the utility infrastructure services segment. Centuri also has restrictions on how much it could give to the Company in cash dividends, which is limited to a calculated available amount, generally defined as 50% of its rolling twelve-month consolidated net income adjusted for certain items, such as parent contributions inflows, Linetec redeemable noncontrolling interest payments, or dividend payments, among other adjustments, as applicable. Under these restrictions and the financial covenants of the amended revolving credit facility, however, Centuri’s ability to pay dividends to the Company is limited. Dividends from Centuri are not customarily relied upon in order for the Company to satisfy dividends declared for its stockholders.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Inflation can impact results of operations for each of the Company’s business segments, and while the level of increase has waned over the past year, the level of improvement is only in relation to the multi-decade high inflation in 2022. Labor, employee benefits, fuel, natural gas, professional services, and construction costs are the categories most significantly impacted by inflation. Changes to the cost of gas are generally recovered through PGA mechanisms and do not directly impact earnings overall; indirect impacts primarily result from interest carrying charges on accumulated PGA balances, or through borrowing costs incurred to fund purchases or to repay overcollected PGA balances. Labor, employee benefits, and professional services are components of the cost of service, and gas infrastructure costs are the primary component of utility rate base. In order to</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64" w:right="339" w:bottom="1440" w:gutter="0" w:footer="0" w:header="0"/>
        </w:sectPr>
      </w:pPr>
    </w:p>
    <w:bookmarkStart w:id="43" w:name="page44"/>
    <w:bookmarkEnd w:id="43"/>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recover increased costs, and earn a fair return on rate base, general rate cases or other procedural filings are made by our regulated operations, when deemed necessary, for review and approval by regulatory authorities. Regulatory lag, that is, the time between the date increased costs are incurred and the time such increases are recovered through the ratemaking process, can negatively impact earnings. See </w:t>
      </w:r>
      <w:r>
        <w:rPr>
          <w:rFonts w:ascii="Times New Roman" w:cs="Times New Roman" w:eastAsia="Times New Roman" w:hAnsi="Times New Roman"/>
          <w:sz w:val="18"/>
          <w:szCs w:val="18"/>
          <w:b w:val="1"/>
          <w:bCs w:val="1"/>
          <w:color w:val="auto"/>
        </w:rPr>
        <w:t>Rates and Regulatory Proceedings</w:t>
      </w:r>
      <w:r>
        <w:rPr>
          <w:rFonts w:ascii="Times New Roman" w:cs="Times New Roman" w:eastAsia="Times New Roman" w:hAnsi="Times New Roman"/>
          <w:sz w:val="18"/>
          <w:szCs w:val="18"/>
          <w:color w:val="auto"/>
        </w:rPr>
        <w:t xml:space="preserve"> for a discussion of recent rate case proceedings.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largest contractual obligations as of December 31, 2024 consisted of:</w:t>
      </w:r>
    </w:p>
    <w:p>
      <w:pPr>
        <w:spacing w:after="0" w:line="26" w:lineRule="exact"/>
        <w:rPr>
          <w:sz w:val="20"/>
          <w:szCs w:val="20"/>
          <w:color w:val="auto"/>
        </w:rPr>
      </w:pPr>
    </w:p>
    <w:p>
      <w:pPr>
        <w:ind w:left="640" w:hanging="312"/>
        <w:spacing w:after="0" w:line="260"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Debt-related obligations for scheduled principal payments, other borrowings, and interest payments over the life of the debt. Debt obligations are included in our consolidated balance sheets. See </w:t>
      </w:r>
      <w:r>
        <w:rPr>
          <w:rFonts w:ascii="Times New Roman" w:cs="Times New Roman" w:eastAsia="Times New Roman" w:hAnsi="Times New Roman"/>
          <w:sz w:val="18"/>
          <w:szCs w:val="18"/>
          <w:b w:val="1"/>
          <w:bCs w:val="1"/>
          <w:color w:val="auto"/>
        </w:rPr>
        <w:t>Note 8 - Debt</w:t>
      </w:r>
      <w:r>
        <w:rPr>
          <w:rFonts w:ascii="Times New Roman" w:cs="Times New Roman" w:eastAsia="Times New Roman" w:hAnsi="Times New Roman"/>
          <w:sz w:val="18"/>
          <w:szCs w:val="18"/>
          <w:color w:val="auto"/>
        </w:rPr>
        <w:t xml:space="preserve"> for additional information.</w:t>
      </w:r>
    </w:p>
    <w:p>
      <w:pPr>
        <w:ind w:left="640" w:hanging="312"/>
        <w:spacing w:after="0" w:line="259"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Centuri operating and finance leases are included in our consolidated balance sheets and represent multi-year obligations for buildings, land, equipment, and vehicles. See </w:t>
      </w:r>
      <w:r>
        <w:rPr>
          <w:rFonts w:ascii="Times New Roman" w:cs="Times New Roman" w:eastAsia="Times New Roman" w:hAnsi="Times New Roman"/>
          <w:sz w:val="18"/>
          <w:szCs w:val="18"/>
          <w:b w:val="1"/>
          <w:bCs w:val="1"/>
          <w:color w:val="auto"/>
        </w:rPr>
        <w:t>Note 2 - Regulated Operations Plant and Leases</w:t>
      </w:r>
      <w:r>
        <w:rPr>
          <w:rFonts w:ascii="Times New Roman" w:cs="Times New Roman" w:eastAsia="Times New Roman" w:hAnsi="Times New Roman"/>
          <w:sz w:val="18"/>
          <w:szCs w:val="18"/>
          <w:color w:val="auto"/>
        </w:rPr>
        <w:t xml:space="preserve"> for additional information.</w:t>
      </w:r>
    </w:p>
    <w:p>
      <w:pPr>
        <w:jc w:val="both"/>
        <w:ind w:left="640" w:hanging="312"/>
        <w:spacing w:after="0" w:line="250"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Southwest Gas has gas purchase obligations that include fixed-price and variable-rate gas purchase contracts. Variable-rate contracts reflect minimum contractual obligations with estimation in pricing based on market information. Actual future variable-rate purchase commitments may vary depending on market prices at the time of delivery and values may change significantly from their estimated amounts. Certain other variable-rate contracts allow for variability in quantities for which associated demand charges are included in the gas purchase obligations based on the maximum daily quantities available under the contracts. As of December 31, 2024, gas purchase obligations of $178 million are payable within the next 12 months.</w:t>
      </w:r>
    </w:p>
    <w:p>
      <w:pPr>
        <w:spacing w:after="0" w:line="3" w:lineRule="exact"/>
        <w:rPr>
          <w:rFonts w:ascii="Times New Roman" w:cs="Times New Roman" w:eastAsia="Times New Roman" w:hAnsi="Times New Roman"/>
          <w:sz w:val="18"/>
          <w:szCs w:val="18"/>
          <w:color w:val="auto"/>
        </w:rPr>
      </w:pPr>
    </w:p>
    <w:p>
      <w:pPr>
        <w:jc w:val="both"/>
        <w:ind w:left="640" w:hanging="312"/>
        <w:spacing w:after="0" w:line="253"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Southwest Gas has pipeline capacity and storage contracts for firm transportation service, both on a short- and long-term basis with several companies in all of its service territories, some with terms extending to 2049. Southwest Gas also has interruptible contracts in place that allow additional capacity to be acquired should an unforeseen need arise. Costs associated with these pipeline capacity contracts, similar to gas purchase/supply arrangements, are a component of the cost of gas sold and are recovered from customers primarily through the PGA mechanisms. As of December 31, 2024 pipeline capacity and storage obligations of $88 million are payable within 12 months.</w:t>
      </w:r>
    </w:p>
    <w:p>
      <w:pPr>
        <w:ind w:left="640" w:hanging="312"/>
        <w:spacing w:after="0" w:line="259"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commitments associated with noncancellable obligations consist primarily of software licensing, equipment, outsourced processing subscriptions, and operating and/or maintenance agreements, as applicable.</w:t>
      </w:r>
    </w:p>
    <w:p>
      <w:pPr>
        <w:ind w:left="640" w:hanging="312"/>
        <w:spacing w:after="0" w:line="271"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funding for pension and other postretirement benefits during calendar year 2025 is $29 million. Funding amounts for years beyond 2025 are not currently known.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Recently Issued Accounting Standards Updates</w:t>
      </w:r>
    </w:p>
    <w:p>
      <w:pPr>
        <w:spacing w:after="0" w:line="1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FASB routinely issues ASUs. See </w:t>
      </w:r>
      <w:r>
        <w:rPr>
          <w:rFonts w:ascii="Times New Roman" w:cs="Times New Roman" w:eastAsia="Times New Roman" w:hAnsi="Times New Roman"/>
          <w:sz w:val="18"/>
          <w:szCs w:val="18"/>
          <w:b w:val="1"/>
          <w:bCs w:val="1"/>
          <w:color w:val="auto"/>
        </w:rPr>
        <w:t>Note 1 - Background, Organization, and Summary of Significant Accounting Policies</w:t>
      </w:r>
      <w:r>
        <w:rPr>
          <w:rFonts w:ascii="Times New Roman" w:cs="Times New Roman" w:eastAsia="Times New Roman" w:hAnsi="Times New Roman"/>
          <w:sz w:val="18"/>
          <w:szCs w:val="18"/>
          <w:color w:val="auto"/>
        </w:rPr>
        <w:t xml:space="preserve"> for more information regarding these ASUs and their potential impact on the Company’s and Southwest Gas’ financial position, results of operations, and disclosures.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Application of Critical Accounting Policies and Estimates</w:t>
      </w:r>
    </w:p>
    <w:p>
      <w:pPr>
        <w:spacing w:after="0" w:line="1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 critical accounting policy is one that is very important to the portrayal of the financial condition and results of a company, and requires the most difficult, subjective, or complex judgments of management. The need to make estimates about the effect of items that are uncertain is what makes these judgments difficult, subjective, and/or complex. Management makes subjective judgments about the accounting and regulatory treatment of many items and bases its estimates on historical experience and on various other assumptions that it believes to be reasonable under the circumstances, the results of which form the basis for making judgments. These estimates may change as new events occur, as more experience is acquired, as additional information is obtained, and as the operating environment changes. While management may make many estimates and judgments, many would not be materially altered, or provide a material impact to the financial statements taken as a whole, if different estimates, or means of estimation were employed. The following are accounting policies that are deemed critical to the financial statements. For more information regarding significant accounting policies, see notes to the consolidated financial statements.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Accounting</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Natural gas distribution operations are subject to the specific regulation of the ACC, PUCN, CPUC, or the FERC, as applicable. The accounting policies of the Company and Southwest Gas conform to U.S. GAAP applicable to rate-regulated entities and reflect the effects of the ratemaking process. As such, the Company and Southwest Gas are allowed to defer, as regulatory assets, costs that otherwise would be expensed, if it is probable that future recovery from customers (subject to our rate-regulated operations) will occur. Companies are also permitted to recognize, as regulatory assets, amounts associated with various revenue decoupling mechanisms, as long as the conditions for recognition of alternative revenue programs permitted under U.S. GAAP continue to be met. Management reviews the regulatory assets to assess their ultimate recoverability within the approved regulatory guidelines. If rate recovery is no longer probable, due to competition or the actions of regulators, write-off of the related regulatory asset (which would be recognized as current-period expense) is required. Regulatory liabilities are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44" w:name="page45"/>
    <w:bookmarkEnd w:id="44"/>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recorded if it is probable that revenues will be reduced for amounts that will be refunded to customers through the ratemaking process. The timing and inclusion of costs in rates is often delayed (regulatory lag) and results in a reduction of current-period earnings. Discontinuing the application of this method of accounting for regulatory assets and liabilities or changes in the accounting for our various regulatory mechanisms could significantly increase our operating expenses as fewer costs would likely be capitalized or deferred on the balance sheet, which could reduce our net income. Factors influencing application of this policy include decisions of regulatory authorities, implementation of new regulations or regulatory mechanisms, assessing the probability of the recoverability of deferred costs, and continuing to meet the criteria of a rate regulated entity for accounting purposes. Refer also to </w:t>
      </w:r>
      <w:r>
        <w:rPr>
          <w:rFonts w:ascii="Times New Roman" w:cs="Times New Roman" w:eastAsia="Times New Roman" w:hAnsi="Times New Roman"/>
          <w:sz w:val="18"/>
          <w:szCs w:val="18"/>
          <w:b w:val="1"/>
          <w:bCs w:val="1"/>
          <w:color w:val="auto"/>
        </w:rPr>
        <w:t>Note 5 -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Regulatory Assets and Liabilities</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 Utility Infrastructure Services</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Centuri generally has two types of agreements with its customers: MSAs and bid contracts. Our MSAs and bid contracts are characterized as either fixed-price, unit-price, or T&amp;M-based for revenue recognition purposes. Most of our contracts are considered to have a single performance obligation. Performance obligations related to fixed-price contracts are satisfied over time because our performance typically creates or enhances an asset that the customer controls. For fixed-price contracts, we recognize revenue as performance obligations are satisfied and control of the promised good and/or service is transferred to the customer by measuring the progress toward complete satisfaction of the performance obligation(s) using an input method. Input methods result in the recognition of revenue based on the entity’s effort to satisfy the performance obligation relative to the total expected effort to satisfy the performance obligation. Under the cost-to-cost method, costs incurred to-date are generally the best depiction of the transfer of control. For unit-price and T&amp;M contracts, an output method is used to measure progress towards satisfaction of a performance obligation.</w:t>
      </w:r>
    </w:p>
    <w:p>
      <w:pPr>
        <w:spacing w:after="0" w:line="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Actual revenue and project costs can vary, sometimes substantially, from previous estimates due to changes in a variety of factors, including unforeseen circumstances not originally contemplated. These factors, along with other risks inherent in performing fixed-price contracts, may cause actual revenue and gross profit for a project to differ from previous estimates and could result in reduced profitability or losses on projects. Changes in these factors may result in revisions to estimates of costs and earnings. Revisions to estimates of costs and earnings during the course of work are reflected in the accounting period in which the facts requiring revision become known. At the time a loss on a contract becomes known or is anticipated, the entire amount of the estimated ultimate loss is recognized in the financial statements. Once identified, these types of conditions continue to be evaluated for each project throughout the project term and ongoing revisions in management’s estimates of contract value, contract cost and contract profit are recognized as necessary in the period determined.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Utility Revenues</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Revenues related to the sale and/or delivery of natural gas are generally recorded when natural gas is delivered to customers. However, the determination of natural gas sales to individual customers is based on the reading of their meters, which is performed on a systematic basis throughout the month. At the end of each month, operating margin associated with natural gas service that has been provided but not yet billed is accrued. This accrued utility revenue is estimated each month based primarily on applicable rates, number of customers, rate structure, analyses reflecting significant historical trends, seasonality, and experience. The interplay of these assumptions can impact the variability of the accrued utility revenue estimates. Additionally, all Southwest Gas rate jurisdictions have decoupled rate structures, limiting variability due to extreme weather conditions.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Income Taxes</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is subject to income taxes in the U.S. and Canada. Income tax calculations require estimates due to known future tax rate changes, book to tax differences, and uncertainty with respect to regulatory treatment of certain property items. The asset and liability method of accounting is utilized for income taxes. Under the asset and liability method, deferred tax assets and liabilities are recognized for the future tax consequences attributable to differences between the financial statement carrying amounts of existing assets and liabilities and their respective tax bases. Regulatory tax assets and liabilities are recorded to the extent management believes they will be recoverable from, or refunded to, customers in future rates. Deferred tax assets and liabilities are measured using enacted tax rates expected to apply to taxable income in the years in which those temporary differences are expected to be recovered or settled. Management regularly assesses financial statement tax provisions to identify any change in the regulatory treatment or tax-related estimates, assumptions, or enacted tax rates that could have a material impact on cash flows, financial position, and/or results of operations.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Pensions and Other Postretirement Benefits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Southwest Gas has a noncontributory QRP with defined benefits covering substantially all employees hired on or before December 31, 2021. In addition, there is a separate unfunded supplemental retirement plan which is limited to officers hired on or before December 31, 2021. Pension obligations and costs for these plans are affected by the amount and timing of cash contributions to the plans, the return on plan assets, discount rates, and by employee demographics, including age,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45" w:name="page46"/>
    <w:bookmarkEnd w:id="45"/>
    <w:p>
      <w:pPr>
        <w:jc w:val="both"/>
        <w:spacing w:after="0" w:line="267" w:lineRule="auto"/>
        <w:rPr>
          <w:sz w:val="20"/>
          <w:szCs w:val="20"/>
          <w:color w:val="auto"/>
        </w:rPr>
      </w:pPr>
      <w:r>
        <w:rPr>
          <w:rFonts w:ascii="Times New Roman" w:cs="Times New Roman" w:eastAsia="Times New Roman" w:hAnsi="Times New Roman"/>
          <w:sz w:val="17"/>
          <w:szCs w:val="17"/>
          <w:color w:val="auto"/>
        </w:rPr>
        <w:t>compensation, and length of service. Changes made to the provisions of the plans may also impact current and future pension costs. Actuarial formulas are used in the determination of pension obligations and costs and are affected by actual plan experience and assumptions about future experience. Key actuarial assumptions include the expected return on plan assets, the discount rate used in determining the projected benefit obligation and pension costs, and the assumed rate of increase in employee compensation. Relatively small changes in these assumptions (particularly the discount rate) may significantly affect pension obligations and costs for these plans. For example, a change of 0.25% in the discount rate assumption would change the pension plan projected benefit obligation by approximately $35 million and pension expense by $3 million. A change of 0.25% in the employee compensation assumption would change the pension obligation by approximately $10 million and pension expense by $2 million. A 0.25% change in the expected asset return assumption would change the pension expense by approximately $3 million (but would have no impact on the pension obligation). Beginning in 2024, a treasury futures hedging overlay was implemented, intending to dampen the impact of changing discount rates over time, reduce the interest rate sensitivity of the pension plan, and reduce funded ratio volatility. However, there is no guarantee that the mechanism implemented will achieve these intentions.</w:t>
      </w:r>
    </w:p>
    <w:p>
      <w:pPr>
        <w:spacing w:after="0" w:line="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Given the recent interest rate environment applicable to long-term high-quality corporate bonds, which are utilized by Southwest Gas in selecting a discount rate based on relevant provisions in U.S. GAAP, the discount rate applicable to the pension plan increased from 5.00% (at the end of 2023) to 5.75% as of December 31, 2024. The methodology utilized to determine the discount rate was consistent with prior years. An increase in the discount rate decreases the pension obligation in the current year and expense in the year ahead; funding levels, among other items, are also impactful. During the fourth quarter of 2023, the asset mix was adapted to a balanced portfolio between debt and equity securities. Southwest Gas modestly increased the return on assets expected over the long term to 7.00%, which was supported by available data. The salary escalation assumption was left unchanged at 3.50% given recent and expected salary changes and market conditions over a longer-term horizon. Southwest Gas plans to slightly increase its funding in 2025 compared to 2024, with the intention to provide a strong funded ratio overall for participants, while also striving to avoid a significantly overfunded position in the future. The pension is approximately 95% funded as of December 31, 2024, and due to the foregoing updated conditions, including amortization of actuarial gains/losses, pension expense is expected to be lower in 2025 (by approximately $4.5 million). The funded status improved in 2024 compared to 2023, including impacts from the change in the discount rate, and is forecasted to improve further in the future, using the current assumptions outlined above and management’s funding expectations. However, the funded status and expense levels in the future will continue to be influenced by, as applicable, long-term discount rates, the treasury futures hedging overlay, asset returns, and plan funding by Southwest Gas.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Certifications</w:t>
      </w:r>
    </w:p>
    <w:p>
      <w:pPr>
        <w:spacing w:after="0" w:line="1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SEC requires the filing of certifications of the CEO and CFO of registrants regarding reporting accuracy, disclosure controls and procedures, and internal control over financial reporting as exhibits to periodic filings. The CEO and CFO certifications for the period ended December 31, 2024 are included as exhibits to this Annual Report on Form 10-K filed with the SEC.</w:t>
      </w:r>
    </w:p>
    <w:p>
      <w:pPr>
        <w:spacing w:after="0" w:line="105"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various forms of market risk, including commodity price risk, rate design risk, interest rate risk, and foreign currency exchange rate risk.</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describes our exposure to these risks.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Price Risk</w:t>
      </w:r>
    </w:p>
    <w:p>
      <w:pPr>
        <w:spacing w:after="0" w:line="1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managing its natural gas supply portfolios, Southwest Gas has historically entered into short duration (generally one year or less) fixed-price contracts for its California rate jurisdictions, as well as variable-price contracts (firm and spot) for all its rate jurisdictions. Southwest Gas has experienced price volatility over the past several years and such volatility could continue into 2025 and beyond.</w:t>
      </w:r>
    </w:p>
    <w:p>
      <w:pPr>
        <w:spacing w:after="0" w:line="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Southwest Gas is protected financially from commodity price risk by deferred energy or PGA mechanisms in each of its jurisdictions. These mechanisms generally allow Southwest Gas to defer over- or under-collections of gas costs to PGA balancing accounts. With regulatory approval, Southwest Gas can either refund amounts over-collected, or recoup amounts under-collected in future periods. In addition to the PGA mechanism, Southwest Gas has historically utilized a Volatility Mitigation Program attempting to further reduce price volatility for its California rate jurisdiction customers. During 2024, Southwest Gas continued to fix the price on a portion of its California natural gas portfolios using fixed-price contracts. Southwest Gas does not currently plan to make fixed-price term or financial swap purchases broadly for the Arizona or Nevada jurisdictions; however, it will continue to make fixed-price purchases for the California jurisdictions, and will monitor conditions and otherwise work collaboratively with regulators to address any changes to these plans.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46" w:name="page47"/>
    <w:bookmarkEnd w:id="46"/>
    <w:p>
      <w:pPr>
        <w:jc w:val="both"/>
        <w:spacing w:after="0" w:line="278" w:lineRule="auto"/>
        <w:rPr>
          <w:sz w:val="20"/>
          <w:szCs w:val="20"/>
          <w:color w:val="auto"/>
        </w:rPr>
      </w:pPr>
      <w:r>
        <w:rPr>
          <w:rFonts w:ascii="Times New Roman" w:cs="Times New Roman" w:eastAsia="Times New Roman" w:hAnsi="Times New Roman"/>
          <w:sz w:val="18"/>
          <w:szCs w:val="18"/>
          <w:color w:val="auto"/>
        </w:rPr>
        <w:t>Southwest Gas’ natural gas purchasing practices are subject to prudence reviews by the various regulatory bodies in each jurisdiction. PGA changes affect cash flows and potentially short-term borrowing requirements, but do not directly impact profit margin.</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Rate Design Risk</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Rate design is the primary mechanism available to Southwest Gas to mitigate weather risk. All of Southwest Gas’ service territories have decoupled rate structures which mitigate weather risk. In California, CPUC regulations allow Southwest Gas to decouple operating margin from usage and offset weather risk based on monthly margin levels. In Arizona and Nevada, a decoupled rate structure applies to most customer classes based on monthly margin per customer benchmarks. All such mechanisms provide stability in annual operating margin by insulating Southwest Gas from variations in customer usage associated with abnormal weather conditions (including margin protection during warm weather and limits on margin during cold weather). Southwest Gas is not assured that decoupled rate structures will continue to be supported in future rate cases.</w:t>
      </w:r>
    </w:p>
    <w:p>
      <w:pPr>
        <w:spacing w:after="0" w:line="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Similarly, Southwest Gas has in place ongoing infrastructure replacement protocols for certain pipe replacement activity. These programs are designed to mitigate the financial attrition associated with pipe replacement activity between rate cases by providing for the recovery of and return on expenditures. The programs have historically included the replacement of Early Vintage Plastic Pipe, Vintage Steel Pipe, and COYL, in addition to programs for the conversion of master-metered mobile home parks to individually metered mobile homes. More recently, Southwest Gas has proposed the SIM mechanism in the pending Arizona general rate case. It is not assured that currently approved programs will continue to be supported in future regulatory proceedings, nor that requested programs will be approved.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Changes in interest rates could adversely affect earnings or cash flows. The primary interest rate risks for the Company are the risk of increasing interest rates on variable-rate obligations and the risk of increasing interest rates between the time of an anticipated debt offering and the time of actual issuance. Interest rate risk sensitivity analysis is used to measure this risk by computing estimated changes in cash flows as a result of assumed changes in market interest rates. In Nevada, fluctuations in interest rates on $150 million of variable-rate tax-exempt IDRBs are tracked and recovered from customers through a variable interest rate expense recovery mechanism, which mitigates risk to earnings and cash flows from interest rate fluctuations on these IDRBs. The following table represents the variable rate debt as of December 31, 2024 and 2023 and interest rate sensitivity analysis for a hypothetical 1% change in interest rates, assuming a constant outstanding balance in such debt over the next twelve months:</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Increase/Decrease</w:t>
            </w:r>
          </w:p>
        </w:tc>
        <w:tc>
          <w:tcPr>
            <w:tcW w:w="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rPr>
              <w:t>Increase/Decrease</w:t>
            </w:r>
          </w:p>
        </w:tc>
        <w:tc>
          <w:tcPr>
            <w:tcW w:w="0" w:type="dxa"/>
            <w:vAlign w:val="bottom"/>
          </w:tcPr>
          <w:p>
            <w:pPr>
              <w:spacing w:after="0"/>
              <w:rPr>
                <w:sz w:val="1"/>
                <w:szCs w:val="1"/>
                <w:color w:val="auto"/>
              </w:rPr>
            </w:pPr>
          </w:p>
        </w:tc>
      </w:tr>
      <w:tr>
        <w:trPr>
          <w:trHeight w:val="160"/>
        </w:trPr>
        <w:tc>
          <w:tcPr>
            <w:tcW w:w="3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gridSpan w:val="2"/>
          </w:tcPr>
          <w:p>
            <w:pPr>
              <w:jc w:val="center"/>
              <w:ind w:right="300"/>
              <w:spacing w:after="0" w:line="161" w:lineRule="exact"/>
              <w:rPr>
                <w:sz w:val="20"/>
                <w:szCs w:val="20"/>
                <w:color w:val="auto"/>
              </w:rPr>
            </w:pPr>
            <w:r>
              <w:rPr>
                <w:rFonts w:ascii="Times New Roman" w:cs="Times New Roman" w:eastAsia="Times New Roman" w:hAnsi="Times New Roman"/>
                <w:sz w:val="16"/>
                <w:szCs w:val="16"/>
                <w:b w:val="1"/>
                <w:bCs w:val="1"/>
                <w:color w:val="auto"/>
                <w:w w:val="99"/>
              </w:rPr>
              <w:t>in Interest</w:t>
            </w:r>
          </w:p>
        </w:tc>
        <w:tc>
          <w:tcPr>
            <w:tcW w:w="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jc w:val="center"/>
              <w:ind w:right="75"/>
              <w:spacing w:after="0" w:line="161" w:lineRule="exact"/>
              <w:rPr>
                <w:sz w:val="20"/>
                <w:szCs w:val="20"/>
                <w:color w:val="auto"/>
              </w:rPr>
            </w:pPr>
            <w:r>
              <w:rPr>
                <w:rFonts w:ascii="Times New Roman" w:cs="Times New Roman" w:eastAsia="Times New Roman" w:hAnsi="Times New Roman"/>
                <w:sz w:val="16"/>
                <w:szCs w:val="16"/>
                <w:b w:val="1"/>
                <w:bCs w:val="1"/>
                <w:color w:val="auto"/>
                <w:w w:val="99"/>
              </w:rPr>
              <w:t>in Interest</w:t>
            </w:r>
          </w:p>
        </w:tc>
        <w:tc>
          <w:tcPr>
            <w:tcW w:w="0" w:type="dxa"/>
            <w:vAlign w:val="bottom"/>
          </w:tcPr>
          <w:p>
            <w:pPr>
              <w:spacing w:after="0"/>
              <w:rPr>
                <w:sz w:val="1"/>
                <w:szCs w:val="1"/>
                <w:color w:val="auto"/>
              </w:rPr>
            </w:pPr>
          </w:p>
        </w:tc>
      </w:tr>
      <w:tr>
        <w:trPr>
          <w:trHeight w:val="160"/>
        </w:trPr>
        <w:tc>
          <w:tcPr>
            <w:tcW w:w="3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(Millions of dollars)</w:t>
            </w:r>
          </w:p>
        </w:tc>
        <w:tc>
          <w:tcPr>
            <w:tcW w:w="340" w:type="dxa"/>
            <w:vAlign w:val="bottom"/>
          </w:tcPr>
          <w:p>
            <w:pPr>
              <w:spacing w:after="0"/>
              <w:rPr>
                <w:sz w:val="13"/>
                <w:szCs w:val="13"/>
                <w:color w:val="auto"/>
              </w:rPr>
            </w:pPr>
          </w:p>
        </w:tc>
        <w:tc>
          <w:tcPr>
            <w:tcW w:w="1400" w:type="dxa"/>
            <w:vAlign w:val="bottom"/>
            <w:vMerge w:val="restart"/>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2024 (1)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gridSpan w:val="2"/>
          </w:tcPr>
          <w:p>
            <w:pPr>
              <w:jc w:val="center"/>
              <w:ind w:right="300"/>
              <w:spacing w:after="0" w:line="161" w:lineRule="exact"/>
              <w:rPr>
                <w:sz w:val="20"/>
                <w:szCs w:val="20"/>
                <w:color w:val="auto"/>
              </w:rPr>
            </w:pPr>
            <w:r>
              <w:rPr>
                <w:rFonts w:ascii="Times New Roman" w:cs="Times New Roman" w:eastAsia="Times New Roman" w:hAnsi="Times New Roman"/>
                <w:sz w:val="16"/>
                <w:szCs w:val="16"/>
                <w:b w:val="1"/>
                <w:bCs w:val="1"/>
                <w:color w:val="auto"/>
                <w:w w:val="99"/>
              </w:rPr>
              <w:t>Expense from 1%</w:t>
            </w:r>
          </w:p>
        </w:tc>
        <w:tc>
          <w:tcPr>
            <w:tcW w:w="340" w:type="dxa"/>
            <w:vAlign w:val="bottom"/>
          </w:tcPr>
          <w:p>
            <w:pPr>
              <w:spacing w:after="0"/>
              <w:rPr>
                <w:sz w:val="13"/>
                <w:szCs w:val="13"/>
                <w:color w:val="auto"/>
              </w:rPr>
            </w:pPr>
          </w:p>
        </w:tc>
        <w:tc>
          <w:tcPr>
            <w:tcW w:w="1400" w:type="dxa"/>
            <w:vAlign w:val="bottom"/>
            <w:vMerge w:val="restart"/>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2023 (1)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jc w:val="center"/>
              <w:ind w:right="75"/>
              <w:spacing w:after="0" w:line="161" w:lineRule="exact"/>
              <w:rPr>
                <w:sz w:val="20"/>
                <w:szCs w:val="20"/>
                <w:color w:val="auto"/>
              </w:rPr>
            </w:pPr>
            <w:r>
              <w:rPr>
                <w:rFonts w:ascii="Times New Roman" w:cs="Times New Roman" w:eastAsia="Times New Roman" w:hAnsi="Times New Roman"/>
                <w:sz w:val="16"/>
                <w:szCs w:val="16"/>
                <w:b w:val="1"/>
                <w:bCs w:val="1"/>
                <w:color w:val="auto"/>
                <w:w w:val="99"/>
              </w:rPr>
              <w:t>Expense from 1%</w:t>
            </w:r>
          </w:p>
        </w:tc>
        <w:tc>
          <w:tcPr>
            <w:tcW w:w="0" w:type="dxa"/>
            <w:vAlign w:val="bottom"/>
          </w:tcPr>
          <w:p>
            <w:pPr>
              <w:spacing w:after="0"/>
              <w:rPr>
                <w:sz w:val="1"/>
                <w:szCs w:val="1"/>
                <w:color w:val="auto"/>
              </w:rPr>
            </w:pPr>
          </w:p>
        </w:tc>
      </w:tr>
      <w:tr>
        <w:trPr>
          <w:trHeight w:val="214"/>
        </w:trPr>
        <w:tc>
          <w:tcPr>
            <w:tcW w:w="38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Rate Change</w:t>
            </w:r>
          </w:p>
        </w:tc>
        <w:tc>
          <w:tcPr>
            <w:tcW w:w="34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9"/>
              </w:rPr>
              <w:t>Rate Change</w:t>
            </w:r>
          </w:p>
        </w:tc>
        <w:tc>
          <w:tcPr>
            <w:tcW w:w="0" w:type="dxa"/>
            <w:vAlign w:val="bottom"/>
          </w:tcPr>
          <w:p>
            <w:pPr>
              <w:spacing w:after="0"/>
              <w:rPr>
                <w:sz w:val="1"/>
                <w:szCs w:val="1"/>
                <w:color w:val="auto"/>
              </w:rPr>
            </w:pPr>
          </w:p>
        </w:tc>
      </w:tr>
      <w:tr>
        <w:trPr>
          <w:trHeight w:val="207"/>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Rate Debt:</w:t>
            </w:r>
          </w:p>
        </w:tc>
        <w:tc>
          <w:tcPr>
            <w:tcW w:w="3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Southwest Gas</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27"/>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Centuri</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0" w:type="dxa"/>
            <w:vAlign w:val="bottom"/>
          </w:tcPr>
          <w:p>
            <w:pPr>
              <w:spacing w:after="0"/>
              <w:rPr>
                <w:sz w:val="1"/>
                <w:szCs w:val="1"/>
                <w:color w:val="auto"/>
              </w:rPr>
            </w:pPr>
          </w:p>
        </w:tc>
      </w:tr>
      <w:tr>
        <w:trPr>
          <w:trHeight w:val="227"/>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w:t>
            </w: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21"/>
        </w:trPr>
        <w:tc>
          <w:tcPr>
            <w:tcW w:w="3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Southwest Gas Holdings, Inc.</w:t>
            </w: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400" w:hanging="233"/>
        <w:spacing w:after="0"/>
        <w:tabs>
          <w:tab w:leader="none" w:pos="4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the IDRBs noted above.</w:t>
      </w:r>
    </w:p>
    <w:p>
      <w:pPr>
        <w:spacing w:after="0" w:line="10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i w:val="1"/>
          <w:iCs w:val="1"/>
          <w:color w:val="auto"/>
        </w:rPr>
        <w:t>Foreign Currency Exchange Rate Risk</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Centuri owns infrastructure services businesses that operate in Canada. Due to these operations, the Company is exposed to market risk associated with currency exchange rate fluctuations between the Canadian dollar and the U.S. dollar. Foreign currency translation risk is the risk that exchange rate gains or losses arise from translating foreign entities’ statements of income and balance sheets from their functional currency (the Canadian dollar) to our reporting currency (the U.S. dollar) for consolidation purposes. During 2024, translation adjustments due to fluctuations in exchange rates were not significant. We do not have significant exposure to other foreign currency exchange rate fluctuations.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Other risk information is included in </w:t>
      </w:r>
      <w:r>
        <w:rPr>
          <w:rFonts w:ascii="Times New Roman" w:cs="Times New Roman" w:eastAsia="Times New Roman" w:hAnsi="Times New Roman"/>
          <w:sz w:val="18"/>
          <w:szCs w:val="18"/>
          <w:b w:val="1"/>
          <w:bCs w:val="1"/>
          <w:color w:val="auto"/>
        </w:rPr>
        <w:t>Item 1A. Risk Factors</w:t>
      </w:r>
      <w:r>
        <w:rPr>
          <w:rFonts w:ascii="Times New Roman" w:cs="Times New Roman" w:eastAsia="Times New Roman" w:hAnsi="Times New Roman"/>
          <w:sz w:val="18"/>
          <w:szCs w:val="18"/>
          <w:color w:val="auto"/>
        </w:rPr>
        <w:t xml:space="preserve"> of this report.</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7660" w:type="dxa"/>
            <w:vAlign w:val="bottom"/>
            <w:gridSpan w:val="11"/>
          </w:tcPr>
          <w:p>
            <w:pPr>
              <w:ind w:left="360"/>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SUPPLEMENTARY DATA</w:t>
            </w:r>
          </w:p>
        </w:tc>
        <w:tc>
          <w:tcPr>
            <w:tcW w:w="2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5"/>
        </w:trPr>
        <w:tc>
          <w:tcPr>
            <w:tcW w:w="85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The following financial statements and reports are included in Item 8.</w:t>
            </w:r>
          </w:p>
        </w:tc>
        <w:tc>
          <w:tcPr>
            <w:tcW w:w="2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0"/>
        </w:trPr>
        <w:tc>
          <w:tcPr>
            <w:tcW w:w="20" w:type="dxa"/>
            <w:vAlign w:val="bottom"/>
          </w:tcPr>
          <w:p>
            <w:pPr>
              <w:spacing w:after="0"/>
              <w:rPr>
                <w:sz w:val="24"/>
                <w:szCs w:val="24"/>
                <w:color w:val="auto"/>
              </w:rPr>
            </w:pPr>
          </w:p>
        </w:tc>
        <w:tc>
          <w:tcPr>
            <w:tcW w:w="85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238)</w:t>
            </w:r>
          </w:p>
        </w:tc>
        <w:tc>
          <w:tcPr>
            <w:tcW w:w="2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rPr>
              <w:t>49</w:t>
            </w:r>
          </w:p>
        </w:tc>
      </w:tr>
      <w:tr>
        <w:trPr>
          <w:trHeight w:val="20"/>
        </w:trPr>
        <w:tc>
          <w:tcPr>
            <w:tcW w:w="20" w:type="dxa"/>
            <w:vAlign w:val="bottom"/>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85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238)</w:t>
            </w:r>
          </w:p>
        </w:tc>
        <w:tc>
          <w:tcPr>
            <w:tcW w:w="2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rPr>
              <w:t>51</w:t>
            </w:r>
          </w:p>
        </w:tc>
      </w:tr>
      <w:tr>
        <w:trPr>
          <w:trHeight w:val="20"/>
        </w:trPr>
        <w:tc>
          <w:tcPr>
            <w:tcW w:w="20" w:type="dxa"/>
            <w:vAlign w:val="bottom"/>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85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Southwest Gas Holdings, Inc. Consolidated Balance Sheets</w:t>
            </w:r>
          </w:p>
        </w:tc>
        <w:tc>
          <w:tcPr>
            <w:tcW w:w="2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rPr>
              <w:t>53</w:t>
            </w:r>
          </w:p>
        </w:tc>
      </w:tr>
      <w:tr>
        <w:trPr>
          <w:trHeight w:val="20"/>
        </w:trPr>
        <w:tc>
          <w:tcPr>
            <w:tcW w:w="20" w:type="dxa"/>
            <w:vAlign w:val="bottom"/>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46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7"/>
              </w:rPr>
              <w:t>Southwest Gas Holdings, Inc. Consolidated Statements of Income</w:t>
            </w:r>
          </w:p>
        </w:tc>
        <w:tc>
          <w:tcPr>
            <w:tcW w:w="3880" w:type="dxa"/>
            <w:vAlign w:val="bottom"/>
            <w:gridSpan w:val="5"/>
          </w:tcPr>
          <w:p>
            <w:pPr>
              <w:spacing w:after="0"/>
              <w:rPr>
                <w:sz w:val="18"/>
                <w:szCs w:val="18"/>
                <w:color w:val="auto"/>
              </w:rPr>
            </w:pPr>
          </w:p>
        </w:tc>
        <w:tc>
          <w:tcPr>
            <w:tcW w:w="2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rPr>
              <w:t>54</w:t>
            </w:r>
          </w:p>
        </w:tc>
      </w:tr>
      <w:tr>
        <w:trPr>
          <w:trHeight w:val="20"/>
        </w:trPr>
        <w:tc>
          <w:tcPr>
            <w:tcW w:w="20" w:type="dxa"/>
            <w:vAlign w:val="bottom"/>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58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8"/>
              </w:rPr>
              <w:t>Southwest Gas Holdings, Inc. Consolidated Statements of Comprehensive Income</w:t>
            </w:r>
          </w:p>
        </w:tc>
        <w:tc>
          <w:tcPr>
            <w:tcW w:w="2660" w:type="dxa"/>
            <w:vAlign w:val="bottom"/>
          </w:tcPr>
          <w:p>
            <w:pPr>
              <w:spacing w:after="0"/>
              <w:rPr>
                <w:sz w:val="18"/>
                <w:szCs w:val="18"/>
                <w:color w:val="auto"/>
              </w:rPr>
            </w:pPr>
          </w:p>
        </w:tc>
        <w:tc>
          <w:tcPr>
            <w:tcW w:w="2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rPr>
              <w:t>55</w:t>
            </w:r>
          </w:p>
        </w:tc>
      </w:tr>
      <w:tr>
        <w:trPr>
          <w:trHeight w:val="20"/>
        </w:trPr>
        <w:tc>
          <w:tcPr>
            <w:tcW w:w="20" w:type="dxa"/>
            <w:vAlign w:val="bottom"/>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50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Southwest Gas Holdings, Inc. Consolidated Statements of Cash Flows</w:t>
            </w:r>
          </w:p>
        </w:tc>
        <w:tc>
          <w:tcPr>
            <w:tcW w:w="860" w:type="dxa"/>
            <w:vAlign w:val="bottom"/>
            <w:gridSpan w:val="2"/>
          </w:tcPr>
          <w:p>
            <w:pPr>
              <w:spacing w:after="0"/>
              <w:rPr>
                <w:sz w:val="18"/>
                <w:szCs w:val="18"/>
                <w:color w:val="auto"/>
              </w:rPr>
            </w:pPr>
          </w:p>
        </w:tc>
        <w:tc>
          <w:tcPr>
            <w:tcW w:w="2660" w:type="dxa"/>
            <w:vAlign w:val="bottom"/>
          </w:tcPr>
          <w:p>
            <w:pPr>
              <w:spacing w:after="0"/>
              <w:rPr>
                <w:sz w:val="18"/>
                <w:szCs w:val="18"/>
                <w:color w:val="auto"/>
              </w:rPr>
            </w:pPr>
          </w:p>
        </w:tc>
        <w:tc>
          <w:tcPr>
            <w:tcW w:w="2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rPr>
              <w:t>56</w:t>
            </w:r>
          </w:p>
        </w:tc>
      </w:tr>
      <w:tr>
        <w:trPr>
          <w:trHeight w:val="20"/>
        </w:trPr>
        <w:tc>
          <w:tcPr>
            <w:tcW w:w="20" w:type="dxa"/>
            <w:vAlign w:val="bottom"/>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46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Southwest Gas Holdings, Inc. Consolidated Statements of Equity</w:t>
            </w:r>
          </w:p>
        </w:tc>
        <w:tc>
          <w:tcPr>
            <w:tcW w:w="360" w:type="dxa"/>
            <w:vAlign w:val="bottom"/>
            <w:gridSpan w:val="2"/>
          </w:tcPr>
          <w:p>
            <w:pPr>
              <w:spacing w:after="0"/>
              <w:rPr>
                <w:sz w:val="18"/>
                <w:szCs w:val="18"/>
                <w:color w:val="auto"/>
              </w:rPr>
            </w:pPr>
          </w:p>
        </w:tc>
        <w:tc>
          <w:tcPr>
            <w:tcW w:w="3520" w:type="dxa"/>
            <w:vAlign w:val="bottom"/>
            <w:gridSpan w:val="3"/>
          </w:tcPr>
          <w:p>
            <w:pPr>
              <w:spacing w:after="0"/>
              <w:rPr>
                <w:sz w:val="18"/>
                <w:szCs w:val="18"/>
                <w:color w:val="auto"/>
              </w:rPr>
            </w:pPr>
          </w:p>
        </w:tc>
        <w:tc>
          <w:tcPr>
            <w:tcW w:w="2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rPr>
              <w:t>57</w:t>
            </w:r>
          </w:p>
        </w:tc>
      </w:tr>
      <w:tr>
        <w:trPr>
          <w:trHeight w:val="20"/>
        </w:trPr>
        <w:tc>
          <w:tcPr>
            <w:tcW w:w="20" w:type="dxa"/>
            <w:vAlign w:val="bottom"/>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46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Southwest Gas Corporation Consolidated Balance Sheets</w:t>
            </w:r>
          </w:p>
        </w:tc>
        <w:tc>
          <w:tcPr>
            <w:tcW w:w="3880" w:type="dxa"/>
            <w:vAlign w:val="bottom"/>
            <w:gridSpan w:val="5"/>
          </w:tcPr>
          <w:p>
            <w:pPr>
              <w:spacing w:after="0"/>
              <w:rPr>
                <w:sz w:val="18"/>
                <w:szCs w:val="18"/>
                <w:color w:val="auto"/>
              </w:rPr>
            </w:pPr>
          </w:p>
        </w:tc>
        <w:tc>
          <w:tcPr>
            <w:tcW w:w="2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rPr>
              <w:t>58</w:t>
            </w:r>
          </w:p>
        </w:tc>
      </w:tr>
      <w:tr>
        <w:trPr>
          <w:trHeight w:val="20"/>
        </w:trPr>
        <w:tc>
          <w:tcPr>
            <w:tcW w:w="20" w:type="dxa"/>
            <w:vAlign w:val="bottom"/>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45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6"/>
              </w:rPr>
              <w:t>Southwest Gas Corporation Consolidated Statements of Income</w:t>
            </w:r>
          </w:p>
        </w:tc>
        <w:tc>
          <w:tcPr>
            <w:tcW w:w="4040" w:type="dxa"/>
            <w:vAlign w:val="bottom"/>
            <w:gridSpan w:val="6"/>
          </w:tcPr>
          <w:p>
            <w:pPr>
              <w:spacing w:after="0"/>
              <w:rPr>
                <w:sz w:val="18"/>
                <w:szCs w:val="18"/>
                <w:color w:val="auto"/>
              </w:rPr>
            </w:pPr>
          </w:p>
        </w:tc>
        <w:tc>
          <w:tcPr>
            <w:tcW w:w="2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rPr>
              <w:t>59</w:t>
            </w:r>
          </w:p>
        </w:tc>
      </w:tr>
      <w:tr>
        <w:trPr>
          <w:trHeight w:val="20"/>
        </w:trPr>
        <w:tc>
          <w:tcPr>
            <w:tcW w:w="20" w:type="dxa"/>
            <w:vAlign w:val="bottom"/>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360" w:type="dxa"/>
            <w:vAlign w:val="bottom"/>
            <w:tcBorders>
              <w:left w:val="single" w:sz="8" w:color="0000FF"/>
            </w:tcBorders>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85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Southwest Gas Corporation Consolidated Statements of Comprehensive Income</w:t>
            </w:r>
          </w:p>
        </w:tc>
        <w:tc>
          <w:tcPr>
            <w:tcW w:w="2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rPr>
              <w:t>60</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57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Southwest Gas Corporation Consolidated Statements of Cash Flows</w:t>
            </w:r>
          </w:p>
        </w:tc>
        <w:tc>
          <w:tcPr>
            <w:tcW w:w="2820" w:type="dxa"/>
            <w:vAlign w:val="bottom"/>
            <w:gridSpan w:val="2"/>
          </w:tcPr>
          <w:p>
            <w:pPr>
              <w:spacing w:after="0"/>
              <w:rPr>
                <w:sz w:val="18"/>
                <w:szCs w:val="18"/>
                <w:color w:val="auto"/>
              </w:rPr>
            </w:pPr>
          </w:p>
        </w:tc>
        <w:tc>
          <w:tcPr>
            <w:tcW w:w="2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rPr>
              <w:t>61</w:t>
            </w:r>
          </w:p>
        </w:tc>
      </w:tr>
      <w:tr>
        <w:trPr>
          <w:trHeight w:val="20"/>
        </w:trPr>
        <w:tc>
          <w:tcPr>
            <w:tcW w:w="20" w:type="dxa"/>
            <w:vAlign w:val="bottom"/>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3680" w:type="dxa"/>
            <w:vAlign w:val="bottom"/>
            <w:gridSpan w:val="4"/>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48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Southwest Gas Corporation Consolidated Statements of Equity</w:t>
            </w:r>
          </w:p>
        </w:tc>
        <w:tc>
          <w:tcPr>
            <w:tcW w:w="3680" w:type="dxa"/>
            <w:vAlign w:val="bottom"/>
            <w:gridSpan w:val="4"/>
          </w:tcPr>
          <w:p>
            <w:pPr>
              <w:spacing w:after="0"/>
              <w:rPr>
                <w:sz w:val="18"/>
                <w:szCs w:val="18"/>
                <w:color w:val="auto"/>
              </w:rPr>
            </w:pPr>
          </w:p>
        </w:tc>
        <w:tc>
          <w:tcPr>
            <w:tcW w:w="2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rPr>
              <w:t>62</w:t>
            </w:r>
          </w:p>
        </w:tc>
      </w:tr>
      <w:tr>
        <w:trPr>
          <w:trHeight w:val="20"/>
        </w:trPr>
        <w:tc>
          <w:tcPr>
            <w:tcW w:w="20" w:type="dxa"/>
            <w:vAlign w:val="bottom"/>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4040" w:type="dxa"/>
            <w:vAlign w:val="bottom"/>
            <w:gridSpan w:val="6"/>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45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4040" w:type="dxa"/>
            <w:vAlign w:val="bottom"/>
            <w:gridSpan w:val="6"/>
          </w:tcPr>
          <w:p>
            <w:pPr>
              <w:spacing w:after="0"/>
              <w:rPr>
                <w:sz w:val="18"/>
                <w:szCs w:val="18"/>
                <w:color w:val="auto"/>
              </w:rPr>
            </w:pPr>
          </w:p>
        </w:tc>
        <w:tc>
          <w:tcPr>
            <w:tcW w:w="2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rPr>
              <w:t>63</w:t>
            </w:r>
          </w:p>
        </w:tc>
      </w:tr>
      <w:tr>
        <w:trPr>
          <w:trHeight w:val="903"/>
        </w:trPr>
        <w:tc>
          <w:tcPr>
            <w:tcW w:w="20" w:type="dxa"/>
            <w:vAlign w:val="bottom"/>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2240" w:type="dxa"/>
            <w:vAlign w:val="bottom"/>
            <w:tcBorders>
              <w:top w:val="single" w:sz="8" w:color="0000FF"/>
            </w:tcBorders>
          </w:tcPr>
          <w:p>
            <w:pPr>
              <w:spacing w:after="0"/>
              <w:rPr>
                <w:sz w:val="24"/>
                <w:szCs w:val="24"/>
                <w:color w:val="auto"/>
              </w:rPr>
            </w:pPr>
          </w:p>
        </w:tc>
        <w:tc>
          <w:tcPr>
            <w:tcW w:w="260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193"/>
        </w:trPr>
        <w:tc>
          <w:tcPr>
            <w:tcW w:w="20" w:type="dxa"/>
            <w:vAlign w:val="bottom"/>
            <w:tcBorders>
              <w:bottom w:val="single" w:sz="8" w:color="9A9A9A"/>
            </w:tcBorders>
          </w:tcPr>
          <w:p>
            <w:pPr>
              <w:spacing w:after="0"/>
              <w:rPr>
                <w:sz w:val="16"/>
                <w:szCs w:val="16"/>
                <w:color w:val="auto"/>
              </w:rPr>
            </w:pPr>
          </w:p>
        </w:tc>
        <w:tc>
          <w:tcPr>
            <w:tcW w:w="880" w:type="dxa"/>
            <w:vAlign w:val="bottom"/>
            <w:tcBorders>
              <w:bottom w:val="single" w:sz="8" w:color="9A9A9A"/>
            </w:tcBorders>
          </w:tcPr>
          <w:p>
            <w:pPr>
              <w:spacing w:after="0"/>
              <w:rPr>
                <w:sz w:val="16"/>
                <w:szCs w:val="16"/>
                <w:color w:val="auto"/>
              </w:rPr>
            </w:pPr>
          </w:p>
        </w:tc>
        <w:tc>
          <w:tcPr>
            <w:tcW w:w="2240" w:type="dxa"/>
            <w:vAlign w:val="bottom"/>
            <w:tcBorders>
              <w:bottom w:val="single" w:sz="8" w:color="9A9A9A"/>
            </w:tcBorders>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2660" w:type="dxa"/>
            <w:vAlign w:val="bottom"/>
            <w:tcBorders>
              <w:bottom w:val="single" w:sz="8" w:color="9A9A9A"/>
            </w:tcBorders>
          </w:tcPr>
          <w:p>
            <w:pPr>
              <w:spacing w:after="0"/>
              <w:rPr>
                <w:sz w:val="16"/>
                <w:szCs w:val="16"/>
                <w:color w:val="auto"/>
              </w:rPr>
            </w:pPr>
          </w:p>
        </w:tc>
        <w:tc>
          <w:tcPr>
            <w:tcW w:w="246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48" w:name="page49"/>
    <w:bookmarkEnd w:id="48"/>
    <w:p>
      <w:pPr>
        <w:ind w:left="3120"/>
        <w:spacing w:after="0"/>
        <w:rPr>
          <w:sz w:val="20"/>
          <w:szCs w:val="20"/>
          <w:color w:val="auto"/>
        </w:rPr>
      </w:pPr>
      <w:r>
        <w:rPr>
          <w:rFonts w:ascii="Times New Roman" w:cs="Times New Roman" w:eastAsia="Times New Roman" w:hAnsi="Times New Roman"/>
          <w:sz w:val="21"/>
          <w:szCs w:val="21"/>
          <w:color w:val="auto"/>
        </w:rPr>
        <w:t>Report of Independent Registered Public Accounting Firm</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Southwest Gas Holdings, Inc.</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Southwest Gas Holdings, Inc. and its subsidiaries (the “Company”) as of December 31, 2024 and 2023, and the related consolidated statements of income, of comprehensive income, of equity and of cash flows for each of the three years in the period ended December 31, 2024, including the related notes (collectively referred to as the “consolidated financial statements”). We also have audited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6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42"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Assets and Liabilities</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described in Note 5 to the consolidated financial statements, the Company’s net regulatory liabilities were $638 million as of December 31, 2024. The Company is subject to the regulation of the Arizona Corporation Commission, the Public Utilities Commission of Nevada, the California Public Utilities Commission, and the Federal Energy Regulatory Commission. Accounting treatment for rate-regulated entities allows for deferral as regulatory assets, costs that otherwise would be expensed, if it is probable that future recovery from customers will occur. If rate recovery is no longer probable, due to competition or the actions of regulators, the related regulatory asset is required to be written-off. Regulatory liabilities are recorded if it is probable that revenues will be reduced for amounts that will be refunded to customers through the ratemaking process.</w:t>
      </w:r>
    </w:p>
    <w:p>
      <w:pPr>
        <w:spacing w:after="0" w:line="7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regulatory assets and liabilities is a critical audit matter are a high degree of auditor effort in performing procedures and evaluating audit evidence related to the probability of recovery of regulatory assets and refund of regulatory liabilities.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assessment of regulatory proceedings, including controls over the probability of recovery of regulatory assets, refund of regulatory liabilities, and the related accounting and disclosure impacts. These procedures also included, among others (i) obtaining the Company’s correspondence with regulators; (ii) evaluating the reasonableness of management’s assessment regarding the probability of recovery of regulatory assets and refund of regulatory liabilities; and (iii) testing regulatory assets and liabilities on a sample basis, based on the provisions and formulas outlined in rate orders and other regulatory correspondence.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/s/PricewaterhouseCoopers LLP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2025</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or its predecessor’s auditor since 2002.</w:t>
      </w:r>
    </w:p>
    <w:p>
      <w:pPr>
        <w:sectPr>
          <w:pgSz w:w="11900" w:h="16838" w:orient="portrait"/>
          <w:cols w:equalWidth="0" w:num="1">
            <w:col w:w="11240"/>
          </w:cols>
          <w:pgMar w:left="320" w:top="11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50" w:name="page51"/>
    <w:bookmarkEnd w:id="50"/>
    <w:p>
      <w:pPr>
        <w:ind w:left="3120"/>
        <w:spacing w:after="0"/>
        <w:rPr>
          <w:sz w:val="20"/>
          <w:szCs w:val="20"/>
          <w:color w:val="auto"/>
        </w:rPr>
      </w:pPr>
      <w:r>
        <w:rPr>
          <w:rFonts w:ascii="Times New Roman" w:cs="Times New Roman" w:eastAsia="Times New Roman" w:hAnsi="Times New Roman"/>
          <w:sz w:val="21"/>
          <w:szCs w:val="21"/>
          <w:color w:val="auto"/>
        </w:rPr>
        <w:t>Report of Independent Registered Public Accounting Firm</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 of Southwest Gas Corporation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Southwest Gas Corporation and its subsidiaries (the “Company”) as of December 31, 2024 and 2023, and the related consolidated statements of income, of comprehensive income, of equity and of cash flows for each of the three years in the period ended December 31, 2024, including the related notes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Assets and Liabilities</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described in Note 5 to the consolidated financial statements, the Company’s net regulatory liabilities were $638 million as of December 31, 2024. The Company is subject to the regulation of the Arizona Corporation Commission, the Public Utilities Commission of Nevada, the California Public Utilities Commission, and the Federal Energy Regulatory Commission. Accounting treatment for rate-regulated entities allows for deferral as regulatory assets, costs that otherwise would be expensed, if it is probable that future recovery from customers will occur. If rate recovery is no longer probable, due to competition or the actions of regulators, the related regulatory asset is required to be written-off. Regulatory liabilities are recorded if it is probable that revenues will be reduced for amounts that will be refunded to customers through the ratemaking process.</w:t>
      </w:r>
    </w:p>
    <w:p>
      <w:pPr>
        <w:spacing w:after="0" w:line="7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regulatory assets and liabilities is a critical audit matter are a high degree of auditor effort in performing procedures and evaluating audit evidence related to the probability of recovery of regulatory assets and refund of regulatory liabilities.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assessment of regulatory proceedings, including controls over the probability of recovery of regulatory assets, refund of regulatory liabilities, and the related accounting and disclosure impacts. These procedures also included, among others (i) obtaining the Company’s correspondence with regulators; (ii) evaluating the reasonableness of management’s assessment regarding the probability of recovery of regulatory assets and refund of regulatory liabilities; and (iii) testing</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42"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color w:val="auto"/>
        </w:rPr>
        <w:t>regulatory assets and liabilities on a sample basis, based on the provisions and formulas outlined in rate orders and other regulatory correspondence.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/s/PricewaterhouseCoopers LLP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2025</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00" w:lineRule="exact"/>
        <w:rPr>
          <w:sz w:val="20"/>
          <w:szCs w:val="20"/>
          <w:color w:val="auto"/>
        </w:rPr>
      </w:pPr>
    </w:p>
    <w:p>
      <w:pPr>
        <w:spacing w:after="0" w:line="3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560"/>
          </w:cols>
          <w:pgMar w:left="320" w:top="1138" w:right="101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color w:val="auto"/>
        </w:rPr>
        <w:t>SOUTHWEST GAS HOLDINGS,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(Thousands of dollars, except par value)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8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jc w:val="right"/>
              <w:ind w:right="660"/>
              <w:spacing w:after="0"/>
              <w:rPr>
                <w:sz w:val="20"/>
                <w:szCs w:val="20"/>
                <w:color w:val="auto"/>
              </w:rPr>
            </w:pPr>
            <w:r>
              <w:rPr>
                <w:rFonts w:ascii="Times New Roman" w:cs="Times New Roman" w:eastAsia="Times New Roman" w:hAnsi="Times New Roman"/>
                <w:sz w:val="16"/>
                <w:szCs w:val="16"/>
                <w:color w:val="auto"/>
              </w:rPr>
              <w:t>December 31,</w:t>
            </w:r>
          </w:p>
        </w:tc>
      </w:tr>
      <w:tr>
        <w:trPr>
          <w:trHeight w:val="208"/>
        </w:trPr>
        <w:tc>
          <w:tcPr>
            <w:tcW w:w="88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rPr>
              <w:t>2023</w:t>
            </w:r>
          </w:p>
        </w:tc>
      </w:tr>
      <w:tr>
        <w:trPr>
          <w:trHeight w:val="196"/>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1"/>
        </w:trPr>
        <w:tc>
          <w:tcPr>
            <w:tcW w:w="8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Regulated operations plant: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Gas plant</w:t>
            </w: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10,844,895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10,140,362</w:t>
            </w:r>
          </w:p>
        </w:tc>
      </w:tr>
      <w:tr>
        <w:trPr>
          <w:trHeight w:val="211"/>
        </w:trPr>
        <w:tc>
          <w:tcPr>
            <w:tcW w:w="8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(2,914,457)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(2,822,669)</w:t>
            </w:r>
          </w:p>
        </w:tc>
      </w:tr>
      <w:tr>
        <w:trPr>
          <w:trHeight w:val="216"/>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Construction work in progress</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178,647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200,549</w:t>
            </w:r>
          </w:p>
        </w:tc>
      </w:tr>
      <w:tr>
        <w:trPr>
          <w:trHeight w:val="205"/>
        </w:trPr>
        <w:tc>
          <w:tcPr>
            <w:tcW w:w="88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Net regulated operations plant</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8,109,085</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7,518,242</w:t>
            </w:r>
          </w:p>
        </w:tc>
      </w:tr>
      <w:tr>
        <w:trPr>
          <w:trHeight w:val="210"/>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property and investments, net</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1,191,148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1,266,340</w:t>
            </w:r>
          </w:p>
        </w:tc>
      </w:tr>
      <w:tr>
        <w:trPr>
          <w:trHeight w:val="191"/>
        </w:trPr>
        <w:tc>
          <w:tcPr>
            <w:tcW w:w="8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6"/>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363,789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106,536</w:t>
            </w:r>
          </w:p>
        </w:tc>
      </w:tr>
      <w:tr>
        <w:trPr>
          <w:trHeight w:val="211"/>
        </w:trPr>
        <w:tc>
          <w:tcPr>
            <w:tcW w:w="8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 net of allowances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722,622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886,549</w:t>
            </w:r>
          </w:p>
        </w:tc>
      </w:tr>
      <w:tr>
        <w:trPr>
          <w:trHeight w:val="216"/>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utility revenue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93,000</w:t>
            </w:r>
          </w:p>
        </w:tc>
      </w:tr>
      <w:tr>
        <w:trPr>
          <w:trHeight w:val="211"/>
        </w:trPr>
        <w:tc>
          <w:tcPr>
            <w:tcW w:w="8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Income taxes receivable, net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1,935</w:t>
            </w:r>
          </w:p>
        </w:tc>
      </w:tr>
      <w:tr>
        <w:trPr>
          <w:trHeight w:val="216"/>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purchased gas costs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552,885</w:t>
            </w:r>
          </w:p>
        </w:tc>
      </w:tr>
      <w:tr>
        <w:trPr>
          <w:trHeight w:val="211"/>
        </w:trPr>
        <w:tc>
          <w:tcPr>
            <w:tcW w:w="8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265,113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218,832</w:t>
            </w:r>
          </w:p>
        </w:tc>
      </w:tr>
      <w:tr>
        <w:trPr>
          <w:trHeight w:val="216"/>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Current assets held for sale</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21,377</w:t>
            </w:r>
          </w:p>
        </w:tc>
      </w:tr>
      <w:tr>
        <w:trPr>
          <w:trHeight w:val="205"/>
        </w:trPr>
        <w:tc>
          <w:tcPr>
            <w:tcW w:w="88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1,464,475</w:t>
            </w:r>
          </w:p>
        </w:tc>
        <w:tc>
          <w:tcPr>
            <w:tcW w:w="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1,881,114</w:t>
            </w:r>
          </w:p>
        </w:tc>
      </w:tr>
      <w:tr>
        <w:trPr>
          <w:trHeight w:val="196"/>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assets: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1"/>
        </w:trPr>
        <w:tc>
          <w:tcPr>
            <w:tcW w:w="8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781,201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789,729</w:t>
            </w:r>
          </w:p>
        </w:tc>
      </w:tr>
      <w:tr>
        <w:trPr>
          <w:trHeight w:val="216"/>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r>
      <w:tr>
        <w:trPr>
          <w:trHeight w:val="211"/>
        </w:trPr>
        <w:tc>
          <w:tcPr>
            <w:tcW w:w="88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Deferred charges and other assets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474,751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414,008</w:t>
            </w:r>
          </w:p>
        </w:tc>
      </w:tr>
      <w:tr>
        <w:trPr>
          <w:trHeight w:val="210"/>
        </w:trPr>
        <w:tc>
          <w:tcPr>
            <w:tcW w:w="8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noncurrent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1,259,128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1,204,200</w:t>
            </w:r>
          </w:p>
        </w:tc>
      </w:tr>
      <w:tr>
        <w:trPr>
          <w:trHeight w:val="205"/>
        </w:trPr>
        <w:tc>
          <w:tcPr>
            <w:tcW w:w="8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12,023,836</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11,869,896</w:t>
            </w:r>
          </w:p>
        </w:tc>
      </w:tr>
      <w:tr>
        <w:trPr>
          <w:trHeight w:val="20"/>
        </w:trPr>
        <w:tc>
          <w:tcPr>
            <w:tcW w:w="88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3"/>
        </w:trPr>
        <w:tc>
          <w:tcPr>
            <w:tcW w:w="8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11"/>
        </w:trPr>
        <w:tc>
          <w:tcPr>
            <w:tcW w:w="8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CAPITALIZATION AND LIABILITIES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Capitalization:</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1"/>
        </w:trPr>
        <w:tc>
          <w:tcPr>
            <w:tcW w:w="8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$1 par (authorized – 120,000,000 shares; issued and outstanding – 71,782,756 and 71,563,750 shares)</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73,413</w:t>
            </w:r>
          </w:p>
        </w:tc>
        <w:tc>
          <w:tcPr>
            <w:tcW w:w="120" w:type="dxa"/>
            <w:vAlign w:val="bottom"/>
          </w:tcPr>
          <w:p>
            <w:pPr>
              <w:spacing w:after="0"/>
              <w:rPr>
                <w:sz w:val="18"/>
                <w:szCs w:val="18"/>
                <w:color w:val="auto"/>
              </w:rPr>
            </w:pP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73,194</w:t>
            </w:r>
          </w:p>
        </w:tc>
      </w:tr>
      <w:tr>
        <w:trPr>
          <w:trHeight w:val="216"/>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2,721,343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2,541,790</w:t>
            </w:r>
          </w:p>
        </w:tc>
      </w:tr>
      <w:tr>
        <w:trPr>
          <w:trHeight w:val="211"/>
        </w:trPr>
        <w:tc>
          <w:tcPr>
            <w:tcW w:w="8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loss, net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(43,787)</w:t>
            </w:r>
          </w:p>
        </w:tc>
      </w:tr>
      <w:tr>
        <w:trPr>
          <w:trHeight w:val="216"/>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Retained earnings</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758,649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738,839</w:t>
            </w:r>
          </w:p>
        </w:tc>
      </w:tr>
      <w:tr>
        <w:trPr>
          <w:trHeight w:val="205"/>
        </w:trPr>
        <w:tc>
          <w:tcPr>
            <w:tcW w:w="88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equity attributable to Southwest Gas Holdings, Inc. stockholders</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3,504,187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3,310,036</w:t>
            </w:r>
          </w:p>
        </w:tc>
      </w:tr>
      <w:tr>
        <w:trPr>
          <w:trHeight w:val="216"/>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Noncontrolling interest</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177,235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88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equity</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3,681,422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3,310,036</w:t>
            </w:r>
          </w:p>
        </w:tc>
      </w:tr>
      <w:tr>
        <w:trPr>
          <w:trHeight w:val="216"/>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Redeemable noncontrolling interest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104,667</w:t>
            </w:r>
          </w:p>
        </w:tc>
      </w:tr>
      <w:tr>
        <w:trPr>
          <w:trHeight w:val="211"/>
        </w:trPr>
        <w:tc>
          <w:tcPr>
            <w:tcW w:w="88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Long-term debt, less current maturities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4,348,340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4,609,838</w:t>
            </w:r>
          </w:p>
        </w:tc>
      </w:tr>
      <w:tr>
        <w:trPr>
          <w:trHeight w:val="210"/>
        </w:trPr>
        <w:tc>
          <w:tcPr>
            <w:tcW w:w="8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capitalization</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8,037,422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8,024,541</w:t>
            </w:r>
          </w:p>
        </w:tc>
      </w:tr>
      <w:tr>
        <w:trPr>
          <w:trHeight w:val="191"/>
        </w:trPr>
        <w:tc>
          <w:tcPr>
            <w:tcW w:w="8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10)</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6"/>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1"/>
        </w:trPr>
        <w:tc>
          <w:tcPr>
            <w:tcW w:w="8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42,552</w:t>
            </w:r>
          </w:p>
        </w:tc>
      </w:tr>
      <w:tr>
        <w:trPr>
          <w:trHeight w:val="216"/>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Short-term debt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628,500</w:t>
            </w:r>
          </w:p>
        </w:tc>
      </w:tr>
      <w:tr>
        <w:trPr>
          <w:trHeight w:val="211"/>
        </w:trPr>
        <w:tc>
          <w:tcPr>
            <w:tcW w:w="8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331,807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346,907</w:t>
            </w:r>
          </w:p>
        </w:tc>
      </w:tr>
      <w:tr>
        <w:trPr>
          <w:trHeight w:val="216"/>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Customer deposits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63,876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48,460</w:t>
            </w:r>
          </w:p>
        </w:tc>
      </w:tr>
      <w:tr>
        <w:trPr>
          <w:trHeight w:val="211"/>
        </w:trPr>
        <w:tc>
          <w:tcPr>
            <w:tcW w:w="8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Income taxes payable, net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w:t>
            </w:r>
          </w:p>
        </w:tc>
      </w:tr>
      <w:tr>
        <w:trPr>
          <w:trHeight w:val="216"/>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general taxes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59,353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58,053</w:t>
            </w:r>
          </w:p>
        </w:tc>
      </w:tr>
      <w:tr>
        <w:trPr>
          <w:trHeight w:val="211"/>
        </w:trPr>
        <w:tc>
          <w:tcPr>
            <w:tcW w:w="8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interest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40,405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36,605</w:t>
            </w:r>
          </w:p>
        </w:tc>
      </w:tr>
      <w:tr>
        <w:trPr>
          <w:trHeight w:val="216"/>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purchased gas costs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242,259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88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382,897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522,953</w:t>
            </w:r>
          </w:p>
        </w:tc>
      </w:tr>
      <w:tr>
        <w:trPr>
          <w:trHeight w:val="210"/>
        </w:trPr>
        <w:tc>
          <w:tcPr>
            <w:tcW w:w="8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1,832,097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1,684,847</w:t>
            </w:r>
          </w:p>
        </w:tc>
      </w:tr>
      <w:tr>
        <w:trPr>
          <w:trHeight w:val="191"/>
        </w:trPr>
        <w:tc>
          <w:tcPr>
            <w:tcW w:w="8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credits:</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6"/>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income taxes and investment tax credits, net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808,782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752,997</w:t>
            </w:r>
          </w:p>
        </w:tc>
      </w:tr>
      <w:tr>
        <w:trPr>
          <w:trHeight w:val="211"/>
        </w:trPr>
        <w:tc>
          <w:tcPr>
            <w:tcW w:w="8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Accumulated removal costs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458,000</w:t>
            </w:r>
          </w:p>
        </w:tc>
      </w:tr>
      <w:tr>
        <w:trPr>
          <w:trHeight w:val="216"/>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deferred credits and other long-term liabilities</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873,535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949,511</w:t>
            </w:r>
          </w:p>
        </w:tc>
      </w:tr>
      <w:tr>
        <w:trPr>
          <w:trHeight w:val="205"/>
        </w:trPr>
        <w:tc>
          <w:tcPr>
            <w:tcW w:w="88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deferred income taxes and other credits</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2,154,317</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2,160,508</w:t>
            </w:r>
          </w:p>
        </w:tc>
      </w:tr>
      <w:tr>
        <w:trPr>
          <w:trHeight w:val="232"/>
        </w:trPr>
        <w:tc>
          <w:tcPr>
            <w:tcW w:w="8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capitalization and liabilities</w:t>
            </w: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12,023,836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11,869,896</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ectPr>
          <w:pgSz w:w="11900" w:h="16838" w:orient="portrait"/>
          <w:cols w:equalWidth="0" w:num="1">
            <w:col w:w="11200"/>
          </w:cols>
          <w:pgMar w:left="340" w:top="1031" w:right="35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130810</wp:posOffset>
            </wp:positionV>
            <wp:extent cx="71589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40" w:top="1031" w:right="359" w:bottom="1440" w:gutter="0" w:footer="0" w:header="0"/>
          <w:type w:val="continuous"/>
        </w:sectPr>
      </w:pPr>
    </w:p>
    <w:bookmarkStart w:id="53" w:name="page54"/>
    <w:bookmarkEnd w:id="53"/>
    <w:p>
      <w:pPr>
        <w:jc w:val="center"/>
        <w:ind w:right="-39"/>
        <w:spacing w:after="0"/>
        <w:rPr>
          <w:sz w:val="20"/>
          <w:szCs w:val="20"/>
          <w:color w:val="auto"/>
        </w:rPr>
      </w:pPr>
      <w:r>
        <w:rPr>
          <w:rFonts w:ascii="Times New Roman" w:cs="Times New Roman" w:eastAsia="Times New Roman" w:hAnsi="Times New Roman"/>
          <w:sz w:val="18"/>
          <w:szCs w:val="18"/>
          <w:color w:val="auto"/>
        </w:rPr>
        <w:t>SOUTHWEST GAS HOLDINGS, INC. AND SUBSIDIARIES</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CONSOLIDATED STATEMENTS OF INCOME</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6"/>
                <w:szCs w:val="16"/>
                <w:color w:val="auto"/>
              </w:rPr>
              <w:t>Year Ended December 31,</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5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rPr>
              <w:t>2022</w:t>
            </w:r>
          </w:p>
        </w:tc>
        <w:tc>
          <w:tcPr>
            <w:tcW w:w="0" w:type="dxa"/>
            <w:vAlign w:val="bottom"/>
          </w:tcPr>
          <w:p>
            <w:pPr>
              <w:spacing w:after="0"/>
              <w:rPr>
                <w:sz w:val="1"/>
                <w:szCs w:val="1"/>
                <w:color w:val="auto"/>
              </w:rPr>
            </w:pPr>
          </w:p>
        </w:tc>
      </w:tr>
      <w:tr>
        <w:trPr>
          <w:trHeight w:val="19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revenues: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Regulated operations revenues</w:t>
            </w: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2,475,216</w:t>
            </w:r>
          </w:p>
        </w:tc>
        <w:tc>
          <w:tcPr>
            <w:tcW w:w="10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2,534,696</w:t>
            </w:r>
          </w:p>
        </w:tc>
        <w:tc>
          <w:tcPr>
            <w:tcW w:w="10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2,199,682</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Utility infrastructure services revenues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2,637,229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2,899,276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2,760,327</w:t>
            </w:r>
          </w:p>
        </w:tc>
        <w:tc>
          <w:tcPr>
            <w:tcW w:w="0" w:type="dxa"/>
            <w:vAlign w:val="bottom"/>
          </w:tcPr>
          <w:p>
            <w:pPr>
              <w:spacing w:after="0"/>
              <w:rPr>
                <w:sz w:val="1"/>
                <w:szCs w:val="1"/>
                <w:color w:val="auto"/>
              </w:rPr>
            </w:pPr>
          </w:p>
        </w:tc>
      </w:tr>
      <w:tr>
        <w:trPr>
          <w:trHeight w:val="205"/>
        </w:trPr>
        <w:tc>
          <w:tcPr>
            <w:tcW w:w="75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operating revenues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5,112,445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5,433,972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4,960,009</w:t>
            </w:r>
          </w:p>
        </w:tc>
        <w:tc>
          <w:tcPr>
            <w:tcW w:w="0" w:type="dxa"/>
            <w:vAlign w:val="bottom"/>
          </w:tcPr>
          <w:p>
            <w:pPr>
              <w:spacing w:after="0"/>
              <w:rPr>
                <w:sz w:val="1"/>
                <w:szCs w:val="1"/>
                <w:color w:val="auto"/>
              </w:rPr>
            </w:pPr>
          </w:p>
        </w:tc>
      </w:tr>
      <w:tr>
        <w:trPr>
          <w:trHeight w:val="19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cost of gas sold</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1,150,005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1,253,269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799,060</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Operations and maintenance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536,163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544,082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636,766</w:t>
            </w:r>
          </w:p>
        </w:tc>
        <w:tc>
          <w:tcPr>
            <w:tcW w:w="0" w:type="dxa"/>
            <w:vAlign w:val="bottom"/>
          </w:tcPr>
          <w:p>
            <w:pPr>
              <w:spacing w:after="0"/>
              <w:rPr>
                <w:sz w:val="1"/>
                <w:szCs w:val="1"/>
                <w:color w:val="auto"/>
              </w:rPr>
            </w:pPr>
          </w:p>
        </w:tc>
      </w:tr>
      <w:tr>
        <w:trPr>
          <w:trHeight w:val="211"/>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438,440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440,908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470,455</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Taxes other than income taxes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88,965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88,751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93,383</w:t>
            </w:r>
          </w:p>
        </w:tc>
        <w:tc>
          <w:tcPr>
            <w:tcW w:w="0" w:type="dxa"/>
            <w:vAlign w:val="bottom"/>
          </w:tcPr>
          <w:p>
            <w:pPr>
              <w:spacing w:after="0"/>
              <w:rPr>
                <w:sz w:val="1"/>
                <w:szCs w:val="1"/>
                <w:color w:val="auto"/>
              </w:rPr>
            </w:pPr>
          </w:p>
        </w:tc>
      </w:tr>
      <w:tr>
        <w:trPr>
          <w:trHeight w:val="211"/>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Utility infrastructure services expenses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2,415,101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2,617,402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2,529,318</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Goodwill impairment and loss on sale</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455,425</w:t>
            </w:r>
          </w:p>
        </w:tc>
        <w:tc>
          <w:tcPr>
            <w:tcW w:w="0" w:type="dxa"/>
            <w:vAlign w:val="bottom"/>
          </w:tcPr>
          <w:p>
            <w:pPr>
              <w:spacing w:after="0"/>
              <w:rPr>
                <w:sz w:val="1"/>
                <w:szCs w:val="1"/>
                <w:color w:val="auto"/>
              </w:rPr>
            </w:pPr>
          </w:p>
        </w:tc>
      </w:tr>
      <w:tr>
        <w:trPr>
          <w:trHeight w:val="205"/>
        </w:trPr>
        <w:tc>
          <w:tcPr>
            <w:tcW w:w="75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4,628,674</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5,015,642</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4,984,407</w:t>
            </w: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483,771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418,330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(24,398)</w:t>
            </w:r>
          </w:p>
        </w:tc>
        <w:tc>
          <w:tcPr>
            <w:tcW w:w="0" w:type="dxa"/>
            <w:vAlign w:val="bottom"/>
          </w:tcPr>
          <w:p>
            <w:pPr>
              <w:spacing w:after="0"/>
              <w:rPr>
                <w:sz w:val="1"/>
                <w:szCs w:val="1"/>
                <w:color w:val="auto"/>
              </w:rPr>
            </w:pPr>
          </w:p>
        </w:tc>
      </w:tr>
      <w:tr>
        <w:trPr>
          <w:trHeight w:val="191"/>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and (expenses):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interest deductions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(297,043)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(292,286)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(242,750)</w:t>
            </w:r>
          </w:p>
        </w:tc>
        <w:tc>
          <w:tcPr>
            <w:tcW w:w="0" w:type="dxa"/>
            <w:vAlign w:val="bottom"/>
          </w:tcPr>
          <w:p>
            <w:pPr>
              <w:spacing w:after="0"/>
              <w:rPr>
                <w:sz w:val="1"/>
                <w:szCs w:val="1"/>
                <w:color w:val="auto"/>
              </w:rPr>
            </w:pPr>
          </w:p>
        </w:tc>
      </w:tr>
      <w:tr>
        <w:trPr>
          <w:trHeight w:val="211"/>
        </w:trPr>
        <w:tc>
          <w:tcPr>
            <w:tcW w:w="7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income (deductions)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54,568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71,305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(6,189)</w:t>
            </w: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other income and (expenses)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(242,475)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(220,981)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(248,939)</w:t>
            </w:r>
          </w:p>
        </w:tc>
        <w:tc>
          <w:tcPr>
            <w:tcW w:w="0" w:type="dxa"/>
            <w:vAlign w:val="bottom"/>
          </w:tcPr>
          <w:p>
            <w:pPr>
              <w:spacing w:after="0"/>
              <w:rPr>
                <w:sz w:val="1"/>
                <w:szCs w:val="1"/>
                <w:color w:val="auto"/>
              </w:rPr>
            </w:pPr>
          </w:p>
        </w:tc>
      </w:tr>
      <w:tr>
        <w:trPr>
          <w:trHeight w:val="205"/>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241,296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197,349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(273,337)</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36,460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41,832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(75,653)</w:t>
            </w:r>
          </w:p>
        </w:tc>
        <w:tc>
          <w:tcPr>
            <w:tcW w:w="0" w:type="dxa"/>
            <w:vAlign w:val="bottom"/>
          </w:tcPr>
          <w:p>
            <w:pPr>
              <w:spacing w:after="0"/>
              <w:rPr>
                <w:sz w:val="1"/>
                <w:szCs w:val="1"/>
                <w:color w:val="auto"/>
              </w:rPr>
            </w:pPr>
          </w:p>
        </w:tc>
      </w:tr>
      <w:tr>
        <w:trPr>
          <w:trHeight w:val="205"/>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204,836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155,517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(197,684)</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5,606</w:t>
            </w:r>
          </w:p>
        </w:tc>
        <w:tc>
          <w:tcPr>
            <w:tcW w:w="0" w:type="dxa"/>
            <w:vAlign w:val="bottom"/>
          </w:tcPr>
          <w:p>
            <w:pPr>
              <w:spacing w:after="0"/>
              <w:rPr>
                <w:sz w:val="1"/>
                <w:szCs w:val="1"/>
                <w:color w:val="auto"/>
              </w:rPr>
            </w:pPr>
          </w:p>
        </w:tc>
      </w:tr>
      <w:tr>
        <w:trPr>
          <w:trHeight w:val="205"/>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Southwest Gas Holdings, Inc.</w:t>
            </w: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198,815</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150,889</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(203,290)</w:t>
            </w:r>
          </w:p>
        </w:tc>
        <w:tc>
          <w:tcPr>
            <w:tcW w:w="0" w:type="dxa"/>
            <w:vAlign w:val="bottom"/>
          </w:tcPr>
          <w:p>
            <w:pPr>
              <w:spacing w:after="0"/>
              <w:rPr>
                <w:sz w:val="1"/>
                <w:szCs w:val="1"/>
                <w:color w:val="auto"/>
              </w:rPr>
            </w:pP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(loss) per share attributable to Southwest Gas Holdings, Inc.:</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0" w:type="dxa"/>
            <w:vAlign w:val="bottom"/>
          </w:tcPr>
          <w:p>
            <w:pPr>
              <w:spacing w:after="0"/>
              <w:rPr>
                <w:sz w:val="1"/>
                <w:szCs w:val="1"/>
                <w:color w:val="auto"/>
              </w:rPr>
            </w:pP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5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Weighted average shares: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5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71,841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70,787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65,558</w:t>
            </w:r>
          </w:p>
        </w:tc>
        <w:tc>
          <w:tcPr>
            <w:tcW w:w="0" w:type="dxa"/>
            <w:vAlign w:val="bottom"/>
          </w:tcPr>
          <w:p>
            <w:pPr>
              <w:spacing w:after="0"/>
              <w:rPr>
                <w:sz w:val="1"/>
                <w:szCs w:val="1"/>
                <w:color w:val="auto"/>
              </w:rPr>
            </w:pPr>
          </w:p>
        </w:tc>
      </w:tr>
      <w:tr>
        <w:trPr>
          <w:trHeight w:val="209"/>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70,990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65,558</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31" w:right="379" w:bottom="1440" w:gutter="0" w:footer="0" w:header="0"/>
        </w:sectPr>
      </w:pPr>
    </w:p>
    <w:bookmarkStart w:id="54" w:name="page55"/>
    <w:bookmarkEnd w:id="54"/>
    <w:p>
      <w:pPr>
        <w:jc w:val="center"/>
        <w:ind w:right="-39"/>
        <w:spacing w:after="0"/>
        <w:rPr>
          <w:sz w:val="20"/>
          <w:szCs w:val="20"/>
          <w:color w:val="auto"/>
        </w:rPr>
      </w:pPr>
      <w:r>
        <w:rPr>
          <w:rFonts w:ascii="Times New Roman" w:cs="Times New Roman" w:eastAsia="Times New Roman" w:hAnsi="Times New Roman"/>
          <w:sz w:val="18"/>
          <w:szCs w:val="18"/>
          <w:color w:val="auto"/>
        </w:rPr>
        <w:t>SOUTHWEST GAS HOLDINGS, INC. AND SUBSIDIARIES</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(Thousands of dollars)</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6"/>
                <w:szCs w:val="16"/>
                <w:color w:val="auto"/>
              </w:rPr>
              <w:t>Year Ended December 31,</w:t>
            </w:r>
          </w:p>
        </w:tc>
        <w:tc>
          <w:tcPr>
            <w:tcW w:w="840" w:type="dxa"/>
            <w:vAlign w:val="bottom"/>
            <w:tcBorders>
              <w:bottom w:val="single" w:sz="8" w:color="auto"/>
            </w:tcBorders>
          </w:tcPr>
          <w:p>
            <w:pPr>
              <w:spacing w:after="0"/>
              <w:rPr>
                <w:sz w:val="18"/>
                <w:szCs w:val="18"/>
                <w:color w:val="auto"/>
              </w:rPr>
            </w:pPr>
          </w:p>
        </w:tc>
      </w:tr>
      <w:tr>
        <w:trPr>
          <w:trHeight w:val="208"/>
        </w:trPr>
        <w:tc>
          <w:tcPr>
            <w:tcW w:w="75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rPr>
              <w:t>2022</w:t>
            </w:r>
          </w:p>
        </w:tc>
      </w:tr>
      <w:tr>
        <w:trPr>
          <w:trHeight w:val="21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204,836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155,517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(197,684)</w:t>
            </w:r>
          </w:p>
        </w:tc>
      </w:tr>
      <w:tr>
        <w:trPr>
          <w:trHeight w:val="191"/>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6"/>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Defined benefit pension plans: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1"/>
        </w:trPr>
        <w:tc>
          <w:tcPr>
            <w:tcW w:w="7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actuarial gain (loss)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3,099</w:t>
            </w: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prior service cost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211"/>
        </w:trPr>
        <w:tc>
          <w:tcPr>
            <w:tcW w:w="7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net actuarial loss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26,461</w:t>
            </w: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Regulatory adjustment</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(21,457)</w:t>
            </w:r>
          </w:p>
        </w:tc>
      </w:tr>
      <w:tr>
        <w:trPr>
          <w:trHeight w:val="205"/>
        </w:trPr>
        <w:tc>
          <w:tcPr>
            <w:tcW w:w="75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Net defined benefit pension plans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8,236</w:t>
            </w:r>
          </w:p>
        </w:tc>
      </w:tr>
      <w:tr>
        <w:trPr>
          <w:trHeight w:val="196"/>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FSIRS: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1"/>
        </w:trPr>
        <w:tc>
          <w:tcPr>
            <w:tcW w:w="7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Amounts reclassified into net income</w:t>
            </w: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w:t>
            </w:r>
          </w:p>
        </w:tc>
      </w:tr>
      <w:tr>
        <w:trPr>
          <w:trHeight w:val="210"/>
        </w:trPr>
        <w:tc>
          <w:tcPr>
            <w:tcW w:w="758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forward-starting interest rate swaps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w:t>
            </w:r>
          </w:p>
        </w:tc>
      </w:tr>
      <w:tr>
        <w:trPr>
          <w:trHeight w:val="205"/>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(10,123)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(6,133)</w:t>
            </w:r>
          </w:p>
        </w:tc>
      </w:tr>
      <w:tr>
        <w:trPr>
          <w:trHeight w:val="21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 (loss), net of tax</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2,519</w:t>
            </w:r>
          </w:p>
        </w:tc>
      </w:tr>
      <w:tr>
        <w:trPr>
          <w:trHeight w:val="205"/>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196,860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155,972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(195,165)</w:t>
            </w:r>
          </w:p>
        </w:tc>
      </w:tr>
      <w:tr>
        <w:trPr>
          <w:trHeight w:val="216"/>
        </w:trPr>
        <w:tc>
          <w:tcPr>
            <w:tcW w:w="75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Comprehensive income attributable to noncontrolling interests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5,606</w:t>
            </w:r>
          </w:p>
        </w:tc>
      </w:tr>
      <w:tr>
        <w:trPr>
          <w:trHeight w:val="205"/>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 (loss) attributable to Southwest Gas Holdings, Inc.</w:t>
            </w: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192,180</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151,344</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(200,771)</w:t>
            </w:r>
          </w:p>
        </w:tc>
      </w:tr>
      <w:tr>
        <w:trPr>
          <w:trHeight w:val="23"/>
        </w:trPr>
        <w:tc>
          <w:tcPr>
            <w:tcW w:w="7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31" w:right="379" w:bottom="1440" w:gutter="0" w:footer="0" w:header="0"/>
        </w:sectPr>
      </w:pPr>
    </w:p>
    <w:bookmarkStart w:id="55" w:name="page56"/>
    <w:bookmarkEnd w:id="55"/>
    <w:p>
      <w:pPr>
        <w:jc w:val="center"/>
        <w:ind w:right="-39"/>
        <w:spacing w:after="0"/>
        <w:rPr>
          <w:sz w:val="20"/>
          <w:szCs w:val="20"/>
          <w:color w:val="auto"/>
        </w:rPr>
      </w:pPr>
      <w:r>
        <w:rPr>
          <w:rFonts w:ascii="Times New Roman" w:cs="Times New Roman" w:eastAsia="Times New Roman" w:hAnsi="Times New Roman"/>
          <w:sz w:val="18"/>
          <w:szCs w:val="18"/>
          <w:color w:val="auto"/>
        </w:rPr>
        <w:t>SOUTHWEST GAS HOLDINGS, INC. AND SUBSIDIARIES</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(Thousands of dollars)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6"/>
                <w:szCs w:val="16"/>
                <w:color w:val="auto"/>
              </w:rPr>
              <w:t>Year Ended December 31,</w:t>
            </w:r>
          </w:p>
        </w:tc>
        <w:tc>
          <w:tcPr>
            <w:tcW w:w="840" w:type="dxa"/>
            <w:vAlign w:val="bottom"/>
            <w:tcBorders>
              <w:bottom w:val="single" w:sz="8" w:color="auto"/>
            </w:tcBorders>
          </w:tcPr>
          <w:p>
            <w:pPr>
              <w:spacing w:after="0"/>
              <w:rPr>
                <w:sz w:val="18"/>
                <w:szCs w:val="18"/>
                <w:color w:val="auto"/>
              </w:rPr>
            </w:pPr>
          </w:p>
        </w:tc>
      </w:tr>
      <w:tr>
        <w:trPr>
          <w:trHeight w:val="208"/>
        </w:trPr>
        <w:tc>
          <w:tcPr>
            <w:tcW w:w="75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rPr>
              <w:t>2022</w:t>
            </w:r>
          </w:p>
        </w:tc>
      </w:tr>
      <w:tr>
        <w:trPr>
          <w:trHeight w:val="19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FROM OPERATING ACTIVITIES: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1"/>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204,836</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155,517</w:t>
            </w:r>
          </w:p>
        </w:tc>
        <w:tc>
          <w:tcPr>
            <w:tcW w:w="10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(197,684)</w:t>
            </w: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1"/>
        </w:trPr>
        <w:tc>
          <w:tcPr>
            <w:tcW w:w="75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438,440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440,908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470,455</w:t>
            </w:r>
          </w:p>
        </w:tc>
      </w:tr>
      <w:tr>
        <w:trPr>
          <w:trHeight w:val="216"/>
        </w:trPr>
        <w:tc>
          <w:tcPr>
            <w:tcW w:w="7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Impairment of assets and other charges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455,425</w:t>
            </w:r>
          </w:p>
        </w:tc>
      </w:tr>
      <w:tr>
        <w:trPr>
          <w:trHeight w:val="211"/>
        </w:trPr>
        <w:tc>
          <w:tcPr>
            <w:tcW w:w="75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(72,048)</w:t>
            </w:r>
          </w:p>
        </w:tc>
      </w:tr>
      <w:tr>
        <w:trPr>
          <w:trHeight w:val="216"/>
        </w:trPr>
        <w:tc>
          <w:tcPr>
            <w:tcW w:w="7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Gains on sale of property and equipment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(7,865)</w:t>
            </w:r>
          </w:p>
        </w:tc>
      </w:tr>
      <w:tr>
        <w:trPr>
          <w:trHeight w:val="211"/>
        </w:trPr>
        <w:tc>
          <w:tcPr>
            <w:tcW w:w="75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Changes in undistributed stock compensation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9,446</w:t>
            </w:r>
          </w:p>
        </w:tc>
      </w:tr>
      <w:tr>
        <w:trPr>
          <w:trHeight w:val="216"/>
        </w:trPr>
        <w:tc>
          <w:tcPr>
            <w:tcW w:w="7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Equity AFUDC</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w:t>
            </w:r>
          </w:p>
        </w:tc>
      </w:tr>
      <w:tr>
        <w:trPr>
          <w:trHeight w:val="211"/>
        </w:trPr>
        <w:tc>
          <w:tcPr>
            <w:tcW w:w="75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Changes in current assets and liabilities: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75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Accounts receivable, net of allowances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(22,583)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(193,775)</w:t>
            </w:r>
          </w:p>
        </w:tc>
      </w:tr>
      <w:tr>
        <w:trPr>
          <w:trHeight w:val="211"/>
        </w:trPr>
        <w:tc>
          <w:tcPr>
            <w:tcW w:w="75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Accrued utility revenue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(3,200)</w:t>
            </w:r>
          </w:p>
        </w:tc>
      </w:tr>
      <w:tr>
        <w:trPr>
          <w:trHeight w:val="216"/>
        </w:trPr>
        <w:tc>
          <w:tcPr>
            <w:tcW w:w="75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Deferred purchased gas costs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781,206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(147,215)</w:t>
            </w:r>
          </w:p>
        </w:tc>
      </w:tr>
      <w:tr>
        <w:trPr>
          <w:trHeight w:val="211"/>
        </w:trPr>
        <w:tc>
          <w:tcPr>
            <w:tcW w:w="75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(286,161)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293,909</w:t>
            </w:r>
          </w:p>
        </w:tc>
      </w:tr>
      <w:tr>
        <w:trPr>
          <w:trHeight w:val="216"/>
        </w:trPr>
        <w:tc>
          <w:tcPr>
            <w:tcW w:w="75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Accrued taxes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17,929</w:t>
            </w:r>
          </w:p>
        </w:tc>
      </w:tr>
      <w:tr>
        <w:trPr>
          <w:trHeight w:val="211"/>
        </w:trPr>
        <w:tc>
          <w:tcPr>
            <w:tcW w:w="75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Other current assets and liabilities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(192,871)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304,110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(207,853)</w:t>
            </w:r>
          </w:p>
        </w:tc>
      </w:tr>
      <w:tr>
        <w:trPr>
          <w:trHeight w:val="216"/>
        </w:trPr>
        <w:tc>
          <w:tcPr>
            <w:tcW w:w="7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Changes in deferred charges and other assets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(21,088)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16,886</w:t>
            </w:r>
          </w:p>
        </w:tc>
      </w:tr>
      <w:tr>
        <w:trPr>
          <w:trHeight w:val="211"/>
        </w:trPr>
        <w:tc>
          <w:tcPr>
            <w:tcW w:w="75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Changes in other liabilities and deferred credits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(26,164)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(76,610)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(26,485)</w:t>
            </w:r>
          </w:p>
        </w:tc>
      </w:tr>
      <w:tr>
        <w:trPr>
          <w:trHeight w:val="210"/>
        </w:trPr>
        <w:tc>
          <w:tcPr>
            <w:tcW w:w="7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1,355,780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509,211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407,460</w:t>
            </w:r>
          </w:p>
        </w:tc>
      </w:tr>
      <w:tr>
        <w:trPr>
          <w:trHeight w:val="191"/>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 FROM INVESTING ACTIVITIES: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Construction expenditures and property additions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(945,923)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(872,521)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(859,421)</w:t>
            </w:r>
          </w:p>
        </w:tc>
      </w:tr>
      <w:tr>
        <w:trPr>
          <w:trHeight w:val="211"/>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Acquisition of businesses, net of cash acquired</w:t>
            </w: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(18,809)</w:t>
            </w: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the sale of business, net of cash sold</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1,022,483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7"/>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the sale of property</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Changes in customer advances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21,506</w:t>
            </w:r>
          </w:p>
        </w:tc>
      </w:tr>
      <w:tr>
        <w:trPr>
          <w:trHeight w:val="211"/>
        </w:trPr>
        <w:tc>
          <w:tcPr>
            <w:tcW w:w="7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8,973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9,909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17,822</w:t>
            </w:r>
          </w:p>
        </w:tc>
      </w:tr>
      <w:tr>
        <w:trPr>
          <w:trHeight w:val="210"/>
        </w:trPr>
        <w:tc>
          <w:tcPr>
            <w:tcW w:w="7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(921,568)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150,966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(838,902)</w:t>
            </w:r>
          </w:p>
        </w:tc>
      </w:tr>
      <w:tr>
        <w:trPr>
          <w:trHeight w:val="191"/>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 FROM FINANCING ACTIVITIES: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Issuance of common stock, net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251,759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461,828</w:t>
            </w:r>
          </w:p>
        </w:tc>
      </w:tr>
      <w:tr>
        <w:trPr>
          <w:trHeight w:val="211"/>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Redemption of redeemable noncontrolling interest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(39,894)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(39,649)</w:t>
            </w: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Dividends paid</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(177,768)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(174,574)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(160,563)</w:t>
            </w:r>
          </w:p>
        </w:tc>
      </w:tr>
      <w:tr>
        <w:trPr>
          <w:trHeight w:val="211"/>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Issuance of long-term debt, net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353,769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1,044,861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1,067,805</w:t>
            </w: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Retirement of long-term debt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(629,407)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(248,328)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(499,914)</w:t>
            </w:r>
          </w:p>
        </w:tc>
      </w:tr>
      <w:tr>
        <w:trPr>
          <w:trHeight w:val="211"/>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 in short-term portion of credit facility</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113,500</w:t>
            </w: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 in long-term credit facility and commercial paper</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(80,000)</w:t>
            </w:r>
          </w:p>
        </w:tc>
      </w:tr>
      <w:tr>
        <w:trPr>
          <w:trHeight w:val="211"/>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Issuance of short-term debt</w:t>
            </w: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Repayment of short-term debt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(1,822,748)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(479,693)</w:t>
            </w:r>
          </w:p>
        </w:tc>
      </w:tr>
      <w:tr>
        <w:trPr>
          <w:trHeight w:val="211"/>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Withholding remittance – share-based compensation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(2,662)</w:t>
            </w: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Centuri initial public offering, net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327,667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including principal payments on finance leases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(14,948)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(15,881)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(24,172)</w:t>
            </w:r>
          </w:p>
        </w:tc>
      </w:tr>
      <w:tr>
        <w:trPr>
          <w:trHeight w:val="210"/>
        </w:trPr>
        <w:tc>
          <w:tcPr>
            <w:tcW w:w="7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(176,335)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(700,795)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356,480</w:t>
            </w:r>
          </w:p>
        </w:tc>
      </w:tr>
      <w:tr>
        <w:trPr>
          <w:trHeight w:val="205"/>
        </w:trPr>
        <w:tc>
          <w:tcPr>
            <w:tcW w:w="7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Effects of currency translation on cash and cash equivalents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(854)</w:t>
            </w:r>
          </w:p>
        </w:tc>
      </w:tr>
      <w:tr>
        <w:trPr>
          <w:trHeight w:val="210"/>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 in cash and cash equivalents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257,253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(40,345)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(75,816)</w:t>
            </w:r>
          </w:p>
        </w:tc>
      </w:tr>
      <w:tr>
        <w:trPr>
          <w:trHeight w:val="211"/>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 in cash and cash equivalents included in current assets held for sale</w:t>
            </w: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(23,803)</w:t>
            </w: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106,536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123,078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222,697</w:t>
            </w:r>
          </w:p>
        </w:tc>
      </w:tr>
      <w:tr>
        <w:trPr>
          <w:trHeight w:val="205"/>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363,789</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106,536</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123,078</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INFORMATION:</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14"/>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 paid, net of amounts capitalized</w:t>
            </w: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278,888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282,626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219,825</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30"/>
        </w:trPr>
        <w:tc>
          <w:tcPr>
            <w:tcW w:w="75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Income taxes paid, net</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12,001</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ectPr>
          <w:pgSz w:w="11900" w:h="16838" w:orient="portrait"/>
          <w:cols w:equalWidth="0" w:num="1">
            <w:col w:w="11200"/>
          </w:cols>
          <w:pgMar w:left="320" w:top="870" w:right="37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870" w:right="379" w:bottom="1440" w:gutter="0" w:footer="0" w:header="0"/>
          <w:type w:val="continuous"/>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color w:val="auto"/>
        </w:rPr>
        <w:t>SOUTHWEST GAS HOLDINGS,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EQUITY</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060" w:type="dxa"/>
            <w:vAlign w:val="bottom"/>
          </w:tcPr>
          <w:p>
            <w:pPr>
              <w:spacing w:after="0"/>
              <w:rPr>
                <w:sz w:val="18"/>
                <w:szCs w:val="18"/>
                <w:color w:val="auto"/>
              </w:rPr>
            </w:pPr>
          </w:p>
        </w:tc>
        <w:tc>
          <w:tcPr>
            <w:tcW w:w="15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color w:val="auto"/>
              </w:rPr>
              <w:t>Common stock shares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3060" w:type="dxa"/>
            <w:vAlign w:val="bottom"/>
          </w:tcPr>
          <w:p>
            <w:pPr>
              <w:spacing w:after="0"/>
              <w:rPr>
                <w:sz w:val="12"/>
                <w:szCs w:val="12"/>
                <w:color w:val="auto"/>
              </w:rPr>
            </w:pP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Number</w:t>
            </w:r>
          </w:p>
        </w:tc>
        <w:tc>
          <w:tcPr>
            <w:tcW w:w="140" w:type="dxa"/>
            <w:vAlign w:val="bottom"/>
          </w:tcPr>
          <w:p>
            <w:pPr>
              <w:spacing w:after="0"/>
              <w:rPr>
                <w:sz w:val="12"/>
                <w:szCs w:val="12"/>
                <w:color w:val="auto"/>
              </w:rPr>
            </w:pP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Stated</w:t>
            </w: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6"/>
                <w:szCs w:val="16"/>
                <w:color w:val="auto"/>
                <w:w w:val="99"/>
              </w:rPr>
              <w:t>Additional</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Retained</w:t>
            </w:r>
          </w:p>
        </w:tc>
        <w:tc>
          <w:tcPr>
            <w:tcW w:w="100" w:type="dxa"/>
            <w:vAlign w:val="bottom"/>
          </w:tcPr>
          <w:p>
            <w:pPr>
              <w:spacing w:after="0"/>
              <w:rPr>
                <w:sz w:val="12"/>
                <w:szCs w:val="12"/>
                <w:color w:val="auto"/>
              </w:rPr>
            </w:pPr>
          </w:p>
        </w:tc>
        <w:tc>
          <w:tcPr>
            <w:tcW w:w="118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6"/>
                <w:szCs w:val="16"/>
                <w:color w:val="auto"/>
              </w:rPr>
              <w:t>Southwest Gas</w:t>
            </w:r>
          </w:p>
        </w:tc>
        <w:tc>
          <w:tcPr>
            <w:tcW w:w="100" w:type="dxa"/>
            <w:vAlign w:val="bottom"/>
          </w:tcPr>
          <w:p>
            <w:pPr>
              <w:spacing w:after="0"/>
              <w:rPr>
                <w:sz w:val="12"/>
                <w:szCs w:val="12"/>
                <w:color w:val="auto"/>
              </w:rPr>
            </w:pPr>
          </w:p>
        </w:tc>
        <w:tc>
          <w:tcPr>
            <w:tcW w:w="12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color w:val="auto"/>
              </w:rPr>
              <w:t>Noncontrolling</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06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200"/>
              <w:spacing w:after="0" w:line="161" w:lineRule="exact"/>
              <w:rPr>
                <w:sz w:val="20"/>
                <w:szCs w:val="20"/>
                <w:color w:val="auto"/>
              </w:rPr>
            </w:pPr>
            <w:r>
              <w:rPr>
                <w:rFonts w:ascii="Times New Roman" w:cs="Times New Roman" w:eastAsia="Times New Roman" w:hAnsi="Times New Roman"/>
                <w:sz w:val="16"/>
                <w:szCs w:val="16"/>
                <w:color w:val="auto"/>
                <w:w w:val="99"/>
              </w:rPr>
              <w:t>Paid-in</w:t>
            </w:r>
          </w:p>
        </w:tc>
        <w:tc>
          <w:tcPr>
            <w:tcW w:w="160" w:type="dxa"/>
            <w:vAlign w:val="bottom"/>
          </w:tcPr>
          <w:p>
            <w:pPr>
              <w:spacing w:after="0"/>
              <w:rPr>
                <w:sz w:val="13"/>
                <w:szCs w:val="13"/>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rPr>
              <w:t>AOCI</w:t>
            </w:r>
          </w:p>
        </w:tc>
        <w:tc>
          <w:tcPr>
            <w:tcW w:w="1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200"/>
              <w:spacing w:after="0" w:line="161" w:lineRule="exact"/>
              <w:rPr>
                <w:sz w:val="20"/>
                <w:szCs w:val="20"/>
                <w:color w:val="auto"/>
              </w:rPr>
            </w:pPr>
            <w:r>
              <w:rPr>
                <w:rFonts w:ascii="Times New Roman" w:cs="Times New Roman" w:eastAsia="Times New Roman" w:hAnsi="Times New Roman"/>
                <w:sz w:val="16"/>
                <w:szCs w:val="16"/>
                <w:color w:val="auto"/>
                <w:w w:val="98"/>
              </w:rPr>
              <w:t>Holdings, Inc.</w:t>
            </w:r>
          </w:p>
        </w:tc>
        <w:tc>
          <w:tcPr>
            <w:tcW w:w="10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Total Equity</w:t>
            </w:r>
          </w:p>
        </w:tc>
        <w:tc>
          <w:tcPr>
            <w:tcW w:w="0" w:type="dxa"/>
            <w:vAlign w:val="bottom"/>
          </w:tcPr>
          <w:p>
            <w:pPr>
              <w:spacing w:after="0"/>
              <w:rPr>
                <w:sz w:val="1"/>
                <w:szCs w:val="1"/>
                <w:color w:val="auto"/>
              </w:rPr>
            </w:pPr>
          </w:p>
        </w:tc>
      </w:tr>
      <w:tr>
        <w:trPr>
          <w:trHeight w:val="211"/>
        </w:trPr>
        <w:tc>
          <w:tcPr>
            <w:tcW w:w="306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of Shares</w:t>
            </w:r>
          </w:p>
        </w:tc>
        <w:tc>
          <w:tcPr>
            <w:tcW w:w="14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Value</w:t>
            </w:r>
          </w:p>
        </w:tc>
        <w:tc>
          <w:tcPr>
            <w:tcW w:w="12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Capital</w:t>
            </w:r>
          </w:p>
        </w:tc>
        <w:tc>
          <w:tcPr>
            <w:tcW w:w="16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Earnings</w:t>
            </w:r>
          </w:p>
        </w:tc>
        <w:tc>
          <w:tcPr>
            <w:tcW w:w="10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8"/>
              </w:rPr>
              <w:t>Equity</w:t>
            </w:r>
          </w:p>
        </w:tc>
        <w:tc>
          <w:tcPr>
            <w:tcW w:w="10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Interest</w:t>
            </w:r>
          </w:p>
        </w:tc>
        <w:tc>
          <w:tcPr>
            <w:tcW w:w="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2021</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60,422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62,052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1,824,216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(46,761)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1,114,313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2,953,820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2,953,820</w:t>
            </w:r>
          </w:p>
        </w:tc>
        <w:tc>
          <w:tcPr>
            <w:tcW w:w="0" w:type="dxa"/>
            <w:vAlign w:val="bottom"/>
          </w:tcPr>
          <w:p>
            <w:pPr>
              <w:spacing w:after="0"/>
              <w:rPr>
                <w:sz w:val="1"/>
                <w:szCs w:val="1"/>
                <w:color w:val="auto"/>
              </w:rPr>
            </w:pPr>
          </w:p>
        </w:tc>
      </w:tr>
      <w:tr>
        <w:trPr>
          <w:trHeight w:val="211"/>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(203,290)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(203,290)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(203,290)</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issuances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462,967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469,664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469,664</w:t>
            </w:r>
          </w:p>
        </w:tc>
        <w:tc>
          <w:tcPr>
            <w:tcW w:w="0" w:type="dxa"/>
            <w:vAlign w:val="bottom"/>
          </w:tcPr>
          <w:p>
            <w:pPr>
              <w:spacing w:after="0"/>
              <w:rPr>
                <w:sz w:val="1"/>
                <w:szCs w:val="1"/>
                <w:color w:val="auto"/>
              </w:rPr>
            </w:pPr>
          </w:p>
        </w:tc>
      </w:tr>
      <w:tr>
        <w:trPr>
          <w:trHeight w:val="211"/>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declared ($2.48 per share)</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(167,279)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(167,279)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(167,279)</w:t>
            </w:r>
          </w:p>
        </w:tc>
        <w:tc>
          <w:tcPr>
            <w:tcW w:w="0" w:type="dxa"/>
            <w:vAlign w:val="bottom"/>
          </w:tcPr>
          <w:p>
            <w:pPr>
              <w:spacing w:after="0"/>
              <w:rPr>
                <w:sz w:val="1"/>
                <w:szCs w:val="1"/>
                <w:color w:val="auto"/>
              </w:rPr>
            </w:pPr>
          </w:p>
        </w:tc>
      </w:tr>
      <w:tr>
        <w:trPr>
          <w:trHeight w:val="163"/>
        </w:trPr>
        <w:tc>
          <w:tcPr>
            <w:tcW w:w="306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6"/>
                <w:szCs w:val="16"/>
                <w:color w:val="auto"/>
              </w:rPr>
              <w:t>Foreign currency exchange translation</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(6,133)</w:t>
            </w:r>
          </w:p>
        </w:tc>
        <w:tc>
          <w:tcPr>
            <w:tcW w:w="0" w:type="dxa"/>
            <w:vAlign w:val="bottom"/>
          </w:tcPr>
          <w:p>
            <w:pPr>
              <w:spacing w:after="0"/>
              <w:rPr>
                <w:sz w:val="1"/>
                <w:szCs w:val="1"/>
                <w:color w:val="auto"/>
              </w:rPr>
            </w:pPr>
          </w:p>
        </w:tc>
      </w:tr>
      <w:tr>
        <w:trPr>
          <w:trHeight w:val="214"/>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w:t>
            </w:r>
          </w:p>
        </w:tc>
        <w:tc>
          <w:tcPr>
            <w:tcW w:w="8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306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Net actuarial gain arising during period, less</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06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amortization of unamortized benefit plan</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8,236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8,236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8,236</w:t>
            </w:r>
          </w:p>
        </w:tc>
        <w:tc>
          <w:tcPr>
            <w:tcW w:w="0" w:type="dxa"/>
            <w:vAlign w:val="bottom"/>
          </w:tcPr>
          <w:p>
            <w:pPr>
              <w:spacing w:after="0"/>
              <w:rPr>
                <w:sz w:val="1"/>
                <w:szCs w:val="1"/>
                <w:color w:val="auto"/>
              </w:rPr>
            </w:pPr>
          </w:p>
        </w:tc>
      </w:tr>
      <w:tr>
        <w:trPr>
          <w:trHeight w:val="211"/>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net of tax</w:t>
            </w:r>
          </w:p>
        </w:tc>
        <w:tc>
          <w:tcPr>
            <w:tcW w:w="8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06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6"/>
                <w:szCs w:val="16"/>
                <w:color w:val="auto"/>
              </w:rPr>
              <w:t>FSIRS amounts reclassified to net income,</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0" w:type="dxa"/>
            <w:vAlign w:val="bottom"/>
          </w:tcPr>
          <w:p>
            <w:pPr>
              <w:spacing w:after="0"/>
              <w:rPr>
                <w:sz w:val="1"/>
                <w:szCs w:val="1"/>
                <w:color w:val="auto"/>
              </w:rPr>
            </w:pPr>
          </w:p>
        </w:tc>
      </w:tr>
      <w:tr>
        <w:trPr>
          <w:trHeight w:val="214"/>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of tax</w:t>
            </w:r>
          </w:p>
        </w:tc>
        <w:tc>
          <w:tcPr>
            <w:tcW w:w="8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Redemption value adjustments</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3,325</w:t>
            </w:r>
          </w:p>
        </w:tc>
        <w:tc>
          <w:tcPr>
            <w:tcW w:w="0" w:type="dxa"/>
            <w:vAlign w:val="bottom"/>
          </w:tcPr>
          <w:p>
            <w:pPr>
              <w:spacing w:after="0"/>
              <w:rPr>
                <w:sz w:val="1"/>
                <w:szCs w:val="1"/>
                <w:color w:val="auto"/>
              </w:rPr>
            </w:pPr>
          </w:p>
        </w:tc>
      </w:tr>
      <w:tr>
        <w:trPr>
          <w:trHeight w:val="210"/>
        </w:trPr>
        <w:tc>
          <w:tcPr>
            <w:tcW w:w="3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2022</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67,119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68,749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2,287,183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(44,242)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747,069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3,058,759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3,058,759</w:t>
            </w:r>
          </w:p>
        </w:tc>
        <w:tc>
          <w:tcPr>
            <w:tcW w:w="0" w:type="dxa"/>
            <w:vAlign w:val="bottom"/>
          </w:tcPr>
          <w:p>
            <w:pPr>
              <w:spacing w:after="0"/>
              <w:rPr>
                <w:sz w:val="1"/>
                <w:szCs w:val="1"/>
                <w:color w:val="auto"/>
              </w:rPr>
            </w:pPr>
          </w:p>
        </w:tc>
      </w:tr>
      <w:tr>
        <w:trPr>
          <w:trHeight w:val="211"/>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150,889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150,889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150,889</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issuances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254,557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259,002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259,002</w:t>
            </w:r>
          </w:p>
        </w:tc>
        <w:tc>
          <w:tcPr>
            <w:tcW w:w="0" w:type="dxa"/>
            <w:vAlign w:val="bottom"/>
          </w:tcPr>
          <w:p>
            <w:pPr>
              <w:spacing w:after="0"/>
              <w:rPr>
                <w:sz w:val="1"/>
                <w:szCs w:val="1"/>
                <w:color w:val="auto"/>
              </w:rPr>
            </w:pPr>
          </w:p>
        </w:tc>
      </w:tr>
      <w:tr>
        <w:trPr>
          <w:trHeight w:val="211"/>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declared ($2.48 per share)</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(178,485)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(178,485)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(178,485)</w:t>
            </w:r>
          </w:p>
        </w:tc>
        <w:tc>
          <w:tcPr>
            <w:tcW w:w="0" w:type="dxa"/>
            <w:vAlign w:val="bottom"/>
          </w:tcPr>
          <w:p>
            <w:pPr>
              <w:spacing w:after="0"/>
              <w:rPr>
                <w:sz w:val="1"/>
                <w:szCs w:val="1"/>
                <w:color w:val="auto"/>
              </w:rPr>
            </w:pPr>
          </w:p>
        </w:tc>
      </w:tr>
      <w:tr>
        <w:trPr>
          <w:trHeight w:val="163"/>
        </w:trPr>
        <w:tc>
          <w:tcPr>
            <w:tcW w:w="306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6"/>
                <w:szCs w:val="16"/>
                <w:color w:val="auto"/>
              </w:rPr>
              <w:t>Promissory notes in association with</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14"/>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redeemable noncontrolling interest</w:t>
            </w:r>
          </w:p>
        </w:tc>
        <w:tc>
          <w:tcPr>
            <w:tcW w:w="8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306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Foreign currency exchange translation</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2,742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2,742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2,742</w:t>
            </w:r>
          </w:p>
        </w:tc>
        <w:tc>
          <w:tcPr>
            <w:tcW w:w="0" w:type="dxa"/>
            <w:vAlign w:val="bottom"/>
          </w:tcPr>
          <w:p>
            <w:pPr>
              <w:spacing w:after="0"/>
              <w:rPr>
                <w:sz w:val="1"/>
                <w:szCs w:val="1"/>
                <w:color w:val="auto"/>
              </w:rPr>
            </w:pPr>
          </w:p>
        </w:tc>
      </w:tr>
      <w:tr>
        <w:trPr>
          <w:trHeight w:val="211"/>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w:t>
            </w:r>
          </w:p>
        </w:tc>
        <w:tc>
          <w:tcPr>
            <w:tcW w:w="8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06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6"/>
                <w:szCs w:val="16"/>
                <w:color w:val="auto"/>
              </w:rPr>
              <w:t>Net actuarial loss arising during period, less</w:t>
            </w: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06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amortization of unamortized benefit plan</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(2,287)</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(2,287)</w:t>
            </w:r>
          </w:p>
        </w:tc>
        <w:tc>
          <w:tcPr>
            <w:tcW w:w="0" w:type="dxa"/>
            <w:vAlign w:val="bottom"/>
          </w:tcPr>
          <w:p>
            <w:pPr>
              <w:spacing w:after="0"/>
              <w:rPr>
                <w:sz w:val="1"/>
                <w:szCs w:val="1"/>
                <w:color w:val="auto"/>
              </w:rPr>
            </w:pPr>
          </w:p>
        </w:tc>
      </w:tr>
      <w:tr>
        <w:trPr>
          <w:trHeight w:val="214"/>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net of tax</w:t>
            </w:r>
          </w:p>
        </w:tc>
        <w:tc>
          <w:tcPr>
            <w:tcW w:w="8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Redemption value adjustments</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19,366</w:t>
            </w:r>
          </w:p>
        </w:tc>
        <w:tc>
          <w:tcPr>
            <w:tcW w:w="0" w:type="dxa"/>
            <w:vAlign w:val="bottom"/>
          </w:tcPr>
          <w:p>
            <w:pPr>
              <w:spacing w:after="0"/>
              <w:rPr>
                <w:sz w:val="1"/>
                <w:szCs w:val="1"/>
                <w:color w:val="auto"/>
              </w:rPr>
            </w:pPr>
          </w:p>
        </w:tc>
      </w:tr>
      <w:tr>
        <w:trPr>
          <w:trHeight w:val="210"/>
        </w:trPr>
        <w:tc>
          <w:tcPr>
            <w:tcW w:w="3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2023</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71,564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73,194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2,541,790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(43,787)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738,839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3,310,036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3,310,036</w:t>
            </w:r>
          </w:p>
        </w:tc>
        <w:tc>
          <w:tcPr>
            <w:tcW w:w="0" w:type="dxa"/>
            <w:vAlign w:val="bottom"/>
          </w:tcPr>
          <w:p>
            <w:pPr>
              <w:spacing w:after="0"/>
              <w:rPr>
                <w:sz w:val="1"/>
                <w:szCs w:val="1"/>
                <w:color w:val="auto"/>
              </w:rPr>
            </w:pPr>
          </w:p>
        </w:tc>
      </w:tr>
      <w:tr>
        <w:trPr>
          <w:trHeight w:val="211"/>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198,815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198,815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198,815</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issuances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21,360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21,579</w:t>
            </w:r>
          </w:p>
        </w:tc>
        <w:tc>
          <w:tcPr>
            <w:tcW w:w="0" w:type="dxa"/>
            <w:vAlign w:val="bottom"/>
          </w:tcPr>
          <w:p>
            <w:pPr>
              <w:spacing w:after="0"/>
              <w:rPr>
                <w:sz w:val="1"/>
                <w:szCs w:val="1"/>
                <w:color w:val="auto"/>
              </w:rPr>
            </w:pPr>
          </w:p>
        </w:tc>
      </w:tr>
      <w:tr>
        <w:trPr>
          <w:trHeight w:val="211"/>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declared ($2.48 per share)</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(178,811)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(178,811)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(178,811)</w:t>
            </w:r>
          </w:p>
        </w:tc>
        <w:tc>
          <w:tcPr>
            <w:tcW w:w="0" w:type="dxa"/>
            <w:vAlign w:val="bottom"/>
          </w:tcPr>
          <w:p>
            <w:pPr>
              <w:spacing w:after="0"/>
              <w:rPr>
                <w:sz w:val="1"/>
                <w:szCs w:val="1"/>
                <w:color w:val="auto"/>
              </w:rPr>
            </w:pPr>
          </w:p>
        </w:tc>
      </w:tr>
      <w:tr>
        <w:trPr>
          <w:trHeight w:val="163"/>
        </w:trPr>
        <w:tc>
          <w:tcPr>
            <w:tcW w:w="306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6"/>
                <w:szCs w:val="16"/>
                <w:color w:val="auto"/>
              </w:rPr>
              <w:t>Promissory notes in association with</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4,187</w:t>
            </w:r>
          </w:p>
        </w:tc>
        <w:tc>
          <w:tcPr>
            <w:tcW w:w="0" w:type="dxa"/>
            <w:vAlign w:val="bottom"/>
          </w:tcPr>
          <w:p>
            <w:pPr>
              <w:spacing w:after="0"/>
              <w:rPr>
                <w:sz w:val="1"/>
                <w:szCs w:val="1"/>
                <w:color w:val="auto"/>
              </w:rPr>
            </w:pPr>
          </w:p>
        </w:tc>
      </w:tr>
      <w:tr>
        <w:trPr>
          <w:trHeight w:val="214"/>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redeemable noncontrolling interest</w:t>
            </w:r>
          </w:p>
        </w:tc>
        <w:tc>
          <w:tcPr>
            <w:tcW w:w="8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Centuri IPO</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154,006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155,210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172,457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327,667</w:t>
            </w:r>
          </w:p>
        </w:tc>
        <w:tc>
          <w:tcPr>
            <w:tcW w:w="0" w:type="dxa"/>
            <w:vAlign w:val="bottom"/>
          </w:tcPr>
          <w:p>
            <w:pPr>
              <w:spacing w:after="0"/>
              <w:rPr>
                <w:sz w:val="1"/>
                <w:szCs w:val="1"/>
                <w:color w:val="auto"/>
              </w:rPr>
            </w:pPr>
          </w:p>
        </w:tc>
      </w:tr>
      <w:tr>
        <w:trPr>
          <w:trHeight w:val="163"/>
        </w:trPr>
        <w:tc>
          <w:tcPr>
            <w:tcW w:w="306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6"/>
                <w:szCs w:val="16"/>
                <w:color w:val="auto"/>
              </w:rPr>
              <w:t>Net income attributable to noncontrolling</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6,119</w:t>
            </w:r>
          </w:p>
        </w:tc>
        <w:tc>
          <w:tcPr>
            <w:tcW w:w="0" w:type="dxa"/>
            <w:vAlign w:val="bottom"/>
          </w:tcPr>
          <w:p>
            <w:pPr>
              <w:spacing w:after="0"/>
              <w:rPr>
                <w:sz w:val="1"/>
                <w:szCs w:val="1"/>
                <w:color w:val="auto"/>
              </w:rPr>
            </w:pPr>
          </w:p>
        </w:tc>
      </w:tr>
      <w:tr>
        <w:trPr>
          <w:trHeight w:val="214"/>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holders</w:t>
            </w:r>
          </w:p>
        </w:tc>
        <w:tc>
          <w:tcPr>
            <w:tcW w:w="8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306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Foreign currency exchange translation</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(8,782)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(8,782)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(1,341)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(10,123)</w:t>
            </w:r>
          </w:p>
        </w:tc>
        <w:tc>
          <w:tcPr>
            <w:tcW w:w="0" w:type="dxa"/>
            <w:vAlign w:val="bottom"/>
          </w:tcPr>
          <w:p>
            <w:pPr>
              <w:spacing w:after="0"/>
              <w:rPr>
                <w:sz w:val="1"/>
                <w:szCs w:val="1"/>
                <w:color w:val="auto"/>
              </w:rPr>
            </w:pPr>
          </w:p>
        </w:tc>
      </w:tr>
      <w:tr>
        <w:trPr>
          <w:trHeight w:val="211"/>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w:t>
            </w:r>
          </w:p>
        </w:tc>
        <w:tc>
          <w:tcPr>
            <w:tcW w:w="8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06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6"/>
                <w:szCs w:val="16"/>
                <w:color w:val="auto"/>
              </w:rPr>
              <w:t>Net actuarial gain arising during period, less</w:t>
            </w: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06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amortization of unamortized benefit plan</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2,147</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2,147</w:t>
            </w:r>
          </w:p>
        </w:tc>
        <w:tc>
          <w:tcPr>
            <w:tcW w:w="0" w:type="dxa"/>
            <w:vAlign w:val="bottom"/>
          </w:tcPr>
          <w:p>
            <w:pPr>
              <w:spacing w:after="0"/>
              <w:rPr>
                <w:sz w:val="1"/>
                <w:szCs w:val="1"/>
                <w:color w:val="auto"/>
              </w:rPr>
            </w:pPr>
          </w:p>
        </w:tc>
      </w:tr>
      <w:tr>
        <w:trPr>
          <w:trHeight w:val="214"/>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net of tax</w:t>
            </w:r>
          </w:p>
        </w:tc>
        <w:tc>
          <w:tcPr>
            <w:tcW w:w="8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Redemption value adjustments</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0" w:type="dxa"/>
            <w:vAlign w:val="bottom"/>
          </w:tcPr>
          <w:p>
            <w:pPr>
              <w:spacing w:after="0"/>
              <w:rPr>
                <w:sz w:val="1"/>
                <w:szCs w:val="1"/>
                <w:color w:val="auto"/>
              </w:rPr>
            </w:pPr>
          </w:p>
        </w:tc>
      </w:tr>
      <w:tr>
        <w:trPr>
          <w:trHeight w:val="235"/>
        </w:trPr>
        <w:tc>
          <w:tcPr>
            <w:tcW w:w="3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2024</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71,783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73,413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2,721,343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(49,218)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758,649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3,504,187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177,235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3,681,422</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39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8"/>
          <w:szCs w:val="18"/>
          <w:color w:val="auto"/>
        </w:rPr>
        <w:t>SOUTHWEST GAS CORPORATION AND SUBSIDIARIES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(Thousands of dollars)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8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jc w:val="right"/>
              <w:ind w:right="660"/>
              <w:spacing w:after="0"/>
              <w:rPr>
                <w:sz w:val="20"/>
                <w:szCs w:val="20"/>
                <w:color w:val="auto"/>
              </w:rPr>
            </w:pPr>
            <w:r>
              <w:rPr>
                <w:rFonts w:ascii="Times New Roman" w:cs="Times New Roman" w:eastAsia="Times New Roman" w:hAnsi="Times New Roman"/>
                <w:sz w:val="16"/>
                <w:szCs w:val="16"/>
                <w:color w:val="auto"/>
              </w:rPr>
              <w:t>December 31,</w:t>
            </w:r>
          </w:p>
        </w:tc>
      </w:tr>
      <w:tr>
        <w:trPr>
          <w:trHeight w:val="208"/>
        </w:trPr>
        <w:tc>
          <w:tcPr>
            <w:tcW w:w="88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color w:val="auto"/>
              </w:rPr>
              <w:t>2023</w:t>
            </w:r>
          </w:p>
        </w:tc>
      </w:tr>
      <w:tr>
        <w:trPr>
          <w:trHeight w:val="196"/>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1"/>
        </w:trPr>
        <w:tc>
          <w:tcPr>
            <w:tcW w:w="8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Regulated operations plant: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Gas plant</w:t>
            </w: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10,844,895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10,140,362</w:t>
            </w:r>
          </w:p>
        </w:tc>
      </w:tr>
      <w:tr>
        <w:trPr>
          <w:trHeight w:val="211"/>
        </w:trPr>
        <w:tc>
          <w:tcPr>
            <w:tcW w:w="8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(2,914,457)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(2,822,669)</w:t>
            </w:r>
          </w:p>
        </w:tc>
      </w:tr>
      <w:tr>
        <w:trPr>
          <w:trHeight w:val="216"/>
        </w:trPr>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Construction work in progress</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178,647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200,549</w:t>
            </w:r>
          </w:p>
        </w:tc>
      </w:tr>
      <w:tr>
        <w:trPr>
          <w:trHeight w:val="205"/>
        </w:trPr>
        <w:tc>
          <w:tcPr>
            <w:tcW w:w="88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Net regulated operations plant</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8,109,085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7,518,242</w:t>
            </w:r>
          </w:p>
        </w:tc>
      </w:tr>
      <w:tr>
        <w:trPr>
          <w:trHeight w:val="210"/>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property and investments, net</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159,678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152,658</w:t>
            </w:r>
          </w:p>
        </w:tc>
      </w:tr>
      <w:tr>
        <w:trPr>
          <w:trHeight w:val="191"/>
        </w:trPr>
        <w:tc>
          <w:tcPr>
            <w:tcW w:w="8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6"/>
        </w:trPr>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311,073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71,154</w:t>
            </w:r>
          </w:p>
        </w:tc>
      </w:tr>
      <w:tr>
        <w:trPr>
          <w:trHeight w:val="211"/>
        </w:trPr>
        <w:tc>
          <w:tcPr>
            <w:tcW w:w="8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 net of allowance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202,947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269,195</w:t>
            </w:r>
          </w:p>
        </w:tc>
      </w:tr>
      <w:tr>
        <w:trPr>
          <w:trHeight w:val="216"/>
        </w:trPr>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utility revenue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93,000</w:t>
            </w:r>
          </w:p>
        </w:tc>
      </w:tr>
      <w:tr>
        <w:trPr>
          <w:trHeight w:val="211"/>
        </w:trPr>
        <w:tc>
          <w:tcPr>
            <w:tcW w:w="8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purchased gas costs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552,885</w:t>
            </w:r>
          </w:p>
        </w:tc>
      </w:tr>
      <w:tr>
        <w:trPr>
          <w:trHeight w:val="216"/>
        </w:trPr>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234,628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188,164</w:t>
            </w:r>
          </w:p>
        </w:tc>
      </w:tr>
      <w:tr>
        <w:trPr>
          <w:trHeight w:val="211"/>
        </w:trPr>
        <w:tc>
          <w:tcPr>
            <w:tcW w:w="8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Current assets held for sale</w:t>
            </w: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21,376</w:t>
            </w:r>
          </w:p>
        </w:tc>
      </w:tr>
      <w:tr>
        <w:trPr>
          <w:trHeight w:val="210"/>
        </w:trPr>
        <w:tc>
          <w:tcPr>
            <w:tcW w:w="884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859,185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1,195,774</w:t>
            </w:r>
          </w:p>
        </w:tc>
      </w:tr>
      <w:tr>
        <w:trPr>
          <w:trHeight w:val="191"/>
        </w:trPr>
        <w:tc>
          <w:tcPr>
            <w:tcW w:w="8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assets:</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6"/>
        </w:trPr>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11,155</w:t>
            </w:r>
          </w:p>
        </w:tc>
      </w:tr>
      <w:tr>
        <w:trPr>
          <w:trHeight w:val="211"/>
        </w:trPr>
        <w:tc>
          <w:tcPr>
            <w:tcW w:w="88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Deferred charges and other assets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394,852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390,742</w:t>
            </w:r>
          </w:p>
        </w:tc>
      </w:tr>
      <w:tr>
        <w:trPr>
          <w:trHeight w:val="210"/>
        </w:trPr>
        <w:tc>
          <w:tcPr>
            <w:tcW w:w="88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noncurrent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406,007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401,897</w:t>
            </w:r>
          </w:p>
        </w:tc>
      </w:tr>
      <w:tr>
        <w:trPr>
          <w:trHeight w:val="205"/>
        </w:trPr>
        <w:tc>
          <w:tcPr>
            <w:tcW w:w="8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9,533,955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9,268,571</w:t>
            </w:r>
          </w:p>
        </w:tc>
      </w:tr>
      <w:tr>
        <w:trPr>
          <w:trHeight w:val="20"/>
        </w:trPr>
        <w:tc>
          <w:tcPr>
            <w:tcW w:w="8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8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11"/>
        </w:trPr>
        <w:tc>
          <w:tcPr>
            <w:tcW w:w="8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CAPITALIZATION AND LIABILITIES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Capitalization:</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1"/>
        </w:trPr>
        <w:tc>
          <w:tcPr>
            <w:tcW w:w="8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Common stock</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49,112</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49,112</w:t>
            </w:r>
          </w:p>
        </w:tc>
      </w:tr>
      <w:tr>
        <w:trPr>
          <w:trHeight w:val="216"/>
        </w:trPr>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2,165,002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2,156,577</w:t>
            </w:r>
          </w:p>
        </w:tc>
      </w:tr>
      <w:tr>
        <w:trPr>
          <w:trHeight w:val="211"/>
        </w:trPr>
        <w:tc>
          <w:tcPr>
            <w:tcW w:w="8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loss, net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(40,548)</w:t>
            </w:r>
          </w:p>
        </w:tc>
      </w:tr>
      <w:tr>
        <w:trPr>
          <w:trHeight w:val="216"/>
        </w:trPr>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Retained earnings</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1,096,149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1,018,474</w:t>
            </w:r>
          </w:p>
        </w:tc>
      </w:tr>
      <w:tr>
        <w:trPr>
          <w:trHeight w:val="205"/>
        </w:trPr>
        <w:tc>
          <w:tcPr>
            <w:tcW w:w="88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equity</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3,271,862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3,183,615</w:t>
            </w:r>
          </w:p>
        </w:tc>
      </w:tr>
      <w:tr>
        <w:trPr>
          <w:trHeight w:val="216"/>
        </w:trPr>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Long-term debt, less current maturities</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3,504,477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3,501,543</w:t>
            </w:r>
          </w:p>
        </w:tc>
      </w:tr>
      <w:tr>
        <w:trPr>
          <w:trHeight w:val="205"/>
        </w:trPr>
        <w:tc>
          <w:tcPr>
            <w:tcW w:w="88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capitalization</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6,776,339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6,685,158</w:t>
            </w:r>
          </w:p>
        </w:tc>
      </w:tr>
      <w:tr>
        <w:trPr>
          <w:trHeight w:val="196"/>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10)</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1"/>
        </w:trPr>
        <w:tc>
          <w:tcPr>
            <w:tcW w:w="8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190,612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215,744</w:t>
            </w:r>
          </w:p>
        </w:tc>
      </w:tr>
      <w:tr>
        <w:trPr>
          <w:trHeight w:val="211"/>
        </w:trPr>
        <w:tc>
          <w:tcPr>
            <w:tcW w:w="8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Customer deposits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63,876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48,460</w:t>
            </w:r>
          </w:p>
        </w:tc>
      </w:tr>
      <w:tr>
        <w:trPr>
          <w:trHeight w:val="216"/>
        </w:trPr>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general taxes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58,053</w:t>
            </w:r>
          </w:p>
        </w:tc>
      </w:tr>
      <w:tr>
        <w:trPr>
          <w:trHeight w:val="211"/>
        </w:trPr>
        <w:tc>
          <w:tcPr>
            <w:tcW w:w="8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interest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34,955</w:t>
            </w:r>
          </w:p>
        </w:tc>
      </w:tr>
      <w:tr>
        <w:trPr>
          <w:trHeight w:val="216"/>
        </w:trPr>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purchased gas costs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242,259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8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Payable to parent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1,711</w:t>
            </w:r>
          </w:p>
        </w:tc>
      </w:tr>
      <w:tr>
        <w:trPr>
          <w:trHeight w:val="216"/>
        </w:trPr>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177,226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271,899</w:t>
            </w:r>
          </w:p>
        </w:tc>
      </w:tr>
      <w:tr>
        <w:trPr>
          <w:trHeight w:val="205"/>
        </w:trPr>
        <w:tc>
          <w:tcPr>
            <w:tcW w:w="88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769,156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630,822</w:t>
            </w:r>
          </w:p>
        </w:tc>
      </w:tr>
      <w:tr>
        <w:trPr>
          <w:trHeight w:val="196"/>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credits: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1"/>
        </w:trPr>
        <w:tc>
          <w:tcPr>
            <w:tcW w:w="8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income taxes and investment tax credits, net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819,973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749,836</w:t>
            </w:r>
          </w:p>
        </w:tc>
      </w:tr>
      <w:tr>
        <w:trPr>
          <w:trHeight w:val="216"/>
        </w:trPr>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Accumulated removal costs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458,000</w:t>
            </w:r>
          </w:p>
        </w:tc>
      </w:tr>
      <w:tr>
        <w:trPr>
          <w:trHeight w:val="211"/>
        </w:trPr>
        <w:tc>
          <w:tcPr>
            <w:tcW w:w="88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deferred credits and other long-term liabilities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696,487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744,755</w:t>
            </w:r>
          </w:p>
        </w:tc>
      </w:tr>
      <w:tr>
        <w:trPr>
          <w:trHeight w:val="210"/>
        </w:trPr>
        <w:tc>
          <w:tcPr>
            <w:tcW w:w="88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deferred income taxes and other credits</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1,988,460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1,952,591</w:t>
            </w:r>
          </w:p>
        </w:tc>
      </w:tr>
      <w:tr>
        <w:trPr>
          <w:trHeight w:val="205"/>
        </w:trPr>
        <w:tc>
          <w:tcPr>
            <w:tcW w:w="8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capitalization and liabilities</w:t>
            </w: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9,533,955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9,268,571</w:t>
            </w:r>
          </w:p>
        </w:tc>
      </w:tr>
      <w:tr>
        <w:trPr>
          <w:trHeight w:val="23"/>
        </w:trPr>
        <w:tc>
          <w:tcPr>
            <w:tcW w:w="8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31" w:right="359" w:bottom="1440" w:gutter="0" w:footer="0" w:header="0"/>
        </w:sectPr>
      </w:pPr>
    </w:p>
    <w:bookmarkStart w:id="58" w:name="page59"/>
    <w:bookmarkEnd w:id="5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Regulated operations revenues</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Operating expenses:</w:t>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Net cost of gas sold</w:t>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Operations and maintenance</w:t>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Taxes other than income taxes</w:t>
      </w:r>
    </w:p>
    <w:p>
      <w:pPr>
        <w:spacing w:after="0" w:line="30" w:lineRule="exact"/>
        <w:rPr>
          <w:sz w:val="20"/>
          <w:szCs w:val="20"/>
          <w:color w:val="auto"/>
        </w:rPr>
      </w:pPr>
    </w:p>
    <w:p>
      <w:pPr>
        <w:ind w:left="20" w:right="420" w:firstLine="642"/>
        <w:spacing w:after="0" w:line="296" w:lineRule="auto"/>
        <w:rPr>
          <w:sz w:val="20"/>
          <w:szCs w:val="20"/>
          <w:color w:val="auto"/>
        </w:rPr>
      </w:pPr>
      <w:r>
        <w:rPr>
          <w:rFonts w:ascii="Times New Roman" w:cs="Times New Roman" w:eastAsia="Times New Roman" w:hAnsi="Times New Roman"/>
          <w:sz w:val="16"/>
          <w:szCs w:val="16"/>
          <w:color w:val="auto"/>
        </w:rPr>
        <w:t>Total operating expenses Operating income</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 income and (expenses):</w:t>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Net interest deductions</w:t>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Other income (deductions)</w:t>
      </w:r>
    </w:p>
    <w:p>
      <w:pPr>
        <w:spacing w:after="0" w:line="20" w:lineRule="exact"/>
        <w:rPr>
          <w:sz w:val="20"/>
          <w:szCs w:val="20"/>
          <w:color w:val="auto"/>
        </w:rPr>
      </w:pPr>
      <w:r>
        <w:rPr>
          <w:sz w:val="20"/>
          <w:szCs w:val="20"/>
          <w:color w:val="auto"/>
        </w:rPr>
        <w:br w:type="column"/>
      </w:r>
    </w:p>
    <w:p>
      <w:pPr>
        <w:jc w:val="center"/>
        <w:ind w:right="3340"/>
        <w:spacing w:after="0" w:line="263" w:lineRule="auto"/>
        <w:rPr>
          <w:sz w:val="20"/>
          <w:szCs w:val="20"/>
          <w:color w:val="auto"/>
        </w:rPr>
      </w:pPr>
      <w:r>
        <w:rPr>
          <w:rFonts w:ascii="Times New Roman" w:cs="Times New Roman" w:eastAsia="Times New Roman" w:hAnsi="Times New Roman"/>
          <w:sz w:val="18"/>
          <w:szCs w:val="18"/>
          <w:color w:val="auto"/>
        </w:rPr>
        <w:t>SOUTHWEST GAS CORPORATION AND SUBSIDIARIES CONSOLIDATED STATEMENTS OF INCOME (Thousands of dollars)</w:t>
      </w:r>
    </w:p>
    <w:p>
      <w:pPr>
        <w:spacing w:after="0" w:line="35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6"/>
          <w:szCs w:val="16"/>
          <w:color w:val="auto"/>
        </w:rPr>
        <w:t>Year Ended December 31,</w:t>
      </w:r>
    </w:p>
    <w:p>
      <w:pPr>
        <w:spacing w:after="0" w:line="25" w:lineRule="exact"/>
        <w:rPr>
          <w:sz w:val="20"/>
          <w:szCs w:val="20"/>
          <w:color w:val="auto"/>
        </w:rPr>
      </w:pPr>
    </w:p>
    <w:tbl>
      <w:tblPr>
        <w:tblLayout w:type="fixed"/>
        <w:tblInd w:w="4180" w:type="dxa"/>
        <w:tblCellMar>
          <w:top w:w="0" w:type="dxa"/>
          <w:left w:w="0" w:type="dxa"/>
          <w:bottom w:w="0" w:type="dxa"/>
          <w:right w:w="0" w:type="dxa"/>
        </w:tblCellMar>
      </w:tblPr>
      <w:tr>
        <w:trPr>
          <w:trHeight w:val="211"/>
        </w:trPr>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rPr>
              <w:t>2022</w:t>
            </w:r>
          </w:p>
        </w:tc>
      </w:tr>
      <w:tr>
        <w:trPr>
          <w:trHeight w:val="207"/>
        </w:trPr>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2,475,216</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2,499,564</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1,935,069</w:t>
            </w:r>
          </w:p>
        </w:tc>
      </w:tr>
      <w:tr>
        <w:trPr>
          <w:trHeight w:val="405"/>
        </w:trPr>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1,150,005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1,246,901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789,216</w:t>
            </w:r>
          </w:p>
        </w:tc>
      </w:tr>
      <w:tr>
        <w:trPr>
          <w:trHeight w:val="214"/>
        </w:trPr>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520,820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511,646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491,928</w:t>
            </w:r>
          </w:p>
        </w:tc>
      </w:tr>
      <w:tr>
        <w:trPr>
          <w:trHeight w:val="214"/>
        </w:trPr>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303,095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295,462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263,043</w:t>
            </w:r>
          </w:p>
        </w:tc>
      </w:tr>
      <w:tr>
        <w:trPr>
          <w:trHeight w:val="217"/>
        </w:trPr>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88,965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87,261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83,197</w:t>
            </w:r>
          </w:p>
        </w:tc>
      </w:tr>
      <w:tr>
        <w:trPr>
          <w:trHeight w:val="208"/>
        </w:trPr>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2,062,885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2,141,270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1,627,384</w:t>
            </w:r>
          </w:p>
        </w:tc>
      </w:tr>
      <w:tr>
        <w:trPr>
          <w:trHeight w:val="207"/>
        </w:trPr>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412,331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358,294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307,685</w:t>
            </w:r>
          </w:p>
        </w:tc>
      </w:tr>
      <w:tr>
        <w:trPr>
          <w:trHeight w:val="405"/>
        </w:trPr>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(162,257)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(149,830)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(115,880)</w:t>
            </w:r>
          </w:p>
        </w:tc>
      </w:tr>
      <w:tr>
        <w:trPr>
          <w:trHeight w:val="214"/>
        </w:trPr>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-2153920</wp:posOffset>
            </wp:positionH>
            <wp:positionV relativeFrom="paragraph">
              <wp:posOffset>-1515745</wp:posOffset>
            </wp:positionV>
            <wp:extent cx="7108190" cy="144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08190" cy="144145"/>
                    </a:xfrm>
                    <a:prstGeom prst="rect">
                      <a:avLst/>
                    </a:prstGeom>
                    <a:noFill/>
                  </pic:spPr>
                </pic:pic>
              </a:graphicData>
            </a:graphic>
          </wp:anchor>
        </w:drawing>
        <w:drawing>
          <wp:anchor simplePos="0" relativeHeight="251657728" behindDoc="1" locked="0" layoutInCell="0" allowOverlap="1">
            <wp:simplePos x="0" y="0"/>
            <wp:positionH relativeFrom="column">
              <wp:posOffset>-2153920</wp:posOffset>
            </wp:positionH>
            <wp:positionV relativeFrom="paragraph">
              <wp:posOffset>-1235710</wp:posOffset>
            </wp:positionV>
            <wp:extent cx="7108190" cy="135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08190" cy="135890"/>
                    </a:xfrm>
                    <a:prstGeom prst="rect">
                      <a:avLst/>
                    </a:prstGeom>
                    <a:noFill/>
                  </pic:spPr>
                </pic:pic>
              </a:graphicData>
            </a:graphic>
          </wp:anchor>
        </w:drawing>
        <w:drawing>
          <wp:anchor simplePos="0" relativeHeight="251657728" behindDoc="1" locked="0" layoutInCell="0" allowOverlap="1">
            <wp:simplePos x="0" y="0"/>
            <wp:positionH relativeFrom="column">
              <wp:posOffset>-2153920</wp:posOffset>
            </wp:positionH>
            <wp:positionV relativeFrom="paragraph">
              <wp:posOffset>-963930</wp:posOffset>
            </wp:positionV>
            <wp:extent cx="7108190" cy="135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08190" cy="135890"/>
                    </a:xfrm>
                    <a:prstGeom prst="rect">
                      <a:avLst/>
                    </a:prstGeom>
                    <a:noFill/>
                  </pic:spPr>
                </pic:pic>
              </a:graphicData>
            </a:graphic>
          </wp:anchor>
        </w:drawing>
        <w:drawing>
          <wp:anchor simplePos="0" relativeHeight="251657728" behindDoc="1" locked="0" layoutInCell="0" allowOverlap="1">
            <wp:simplePos x="0" y="0"/>
            <wp:positionH relativeFrom="column">
              <wp:posOffset>-2153920</wp:posOffset>
            </wp:positionH>
            <wp:positionV relativeFrom="paragraph">
              <wp:posOffset>-692150</wp:posOffset>
            </wp:positionV>
            <wp:extent cx="7108190" cy="144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08190" cy="144145"/>
                    </a:xfrm>
                    <a:prstGeom prst="rect">
                      <a:avLst/>
                    </a:prstGeom>
                    <a:noFill/>
                  </pic:spPr>
                </pic:pic>
              </a:graphicData>
            </a:graphic>
          </wp:anchor>
        </w:drawing>
        <w:drawing>
          <wp:anchor simplePos="0" relativeHeight="251657728" behindDoc="1" locked="0" layoutInCell="0" allowOverlap="1">
            <wp:simplePos x="0" y="0"/>
            <wp:positionH relativeFrom="column">
              <wp:posOffset>-2153920</wp:posOffset>
            </wp:positionH>
            <wp:positionV relativeFrom="paragraph">
              <wp:posOffset>-403225</wp:posOffset>
            </wp:positionV>
            <wp:extent cx="7108190" cy="135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08190" cy="135890"/>
                    </a:xfrm>
                    <a:prstGeom prst="rect">
                      <a:avLst/>
                    </a:prstGeom>
                    <a:noFill/>
                  </pic:spPr>
                </pic:pic>
              </a:graphicData>
            </a:graphic>
          </wp:anchor>
        </w:drawing>
        <w:drawing>
          <wp:anchor simplePos="0" relativeHeight="251657728" behindDoc="1" locked="0" layoutInCell="0" allowOverlap="1">
            <wp:simplePos x="0" y="0"/>
            <wp:positionH relativeFrom="column">
              <wp:posOffset>-2153920</wp:posOffset>
            </wp:positionH>
            <wp:positionV relativeFrom="paragraph">
              <wp:posOffset>-131445</wp:posOffset>
            </wp:positionV>
            <wp:extent cx="7108190" cy="135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08190" cy="135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680" w:space="720"/>
            <w:col w:w="7800"/>
          </w:cols>
          <w:pgMar w:left="320" w:top="1031" w:right="379" w:bottom="1440" w:gutter="0" w:footer="0" w:header="0"/>
        </w:sectPr>
      </w:pPr>
    </w:p>
    <w:tbl>
      <w:tblPr>
        <w:tblLayout w:type="fixed"/>
        <w:tblInd w:w="0" w:type="dxa"/>
        <w:tblCellMar>
          <w:top w:w="0" w:type="dxa"/>
          <w:left w:w="0" w:type="dxa"/>
          <w:bottom w:w="0" w:type="dxa"/>
          <w:right w:w="0" w:type="dxa"/>
        </w:tblCellMar>
      </w:tblPr>
      <w:tr>
        <w:trPr>
          <w:trHeight w:val="213"/>
        </w:trPr>
        <w:tc>
          <w:tcPr>
            <w:tcW w:w="75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other income and (expenses)</w:t>
            </w: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(107,981)</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(79,169)</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(122,764)</w:t>
            </w:r>
          </w:p>
        </w:tc>
      </w:tr>
      <w:tr>
        <w:trPr>
          <w:trHeight w:val="207"/>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304,350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279,125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184,921</w:t>
            </w:r>
          </w:p>
        </w:tc>
      </w:tr>
      <w:tr>
        <w:trPr>
          <w:trHeight w:val="211"/>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43,174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36,899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30,541</w:t>
            </w:r>
          </w:p>
        </w:tc>
      </w:tr>
      <w:tr>
        <w:trPr>
          <w:trHeight w:val="232"/>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261,176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242,226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154,380</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31" w:right="379" w:bottom="1440" w:gutter="0" w:footer="0" w:header="0"/>
          <w:type w:val="continuous"/>
        </w:sectPr>
      </w:pPr>
    </w:p>
    <w:bookmarkStart w:id="59" w:name="page60"/>
    <w:bookmarkEnd w:id="59"/>
    <w:p>
      <w:pPr>
        <w:jc w:val="center"/>
        <w:ind w:right="-99"/>
        <w:spacing w:after="0"/>
        <w:rPr>
          <w:sz w:val="20"/>
          <w:szCs w:val="20"/>
          <w:color w:val="auto"/>
        </w:rPr>
      </w:pPr>
      <w:r>
        <w:rPr>
          <w:rFonts w:ascii="Times New Roman" w:cs="Times New Roman" w:eastAsia="Times New Roman" w:hAnsi="Times New Roman"/>
          <w:sz w:val="18"/>
          <w:szCs w:val="18"/>
          <w:color w:val="auto"/>
        </w:rPr>
        <w:t>SOUTHWEST GAS CORPORATION AND SUBSIDIARIES</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(Thousands of dollars)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6"/>
                <w:szCs w:val="16"/>
                <w:color w:val="auto"/>
              </w:rPr>
              <w:t>Year Ended December 31,</w:t>
            </w:r>
          </w:p>
        </w:tc>
        <w:tc>
          <w:tcPr>
            <w:tcW w:w="840" w:type="dxa"/>
            <w:vAlign w:val="bottom"/>
            <w:tcBorders>
              <w:bottom w:val="single" w:sz="8" w:color="auto"/>
            </w:tcBorders>
          </w:tcPr>
          <w:p>
            <w:pPr>
              <w:spacing w:after="0"/>
              <w:rPr>
                <w:sz w:val="18"/>
                <w:szCs w:val="18"/>
                <w:color w:val="auto"/>
              </w:rPr>
            </w:pPr>
          </w:p>
        </w:tc>
      </w:tr>
      <w:tr>
        <w:trPr>
          <w:trHeight w:val="208"/>
        </w:trPr>
        <w:tc>
          <w:tcPr>
            <w:tcW w:w="75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rPr>
              <w:t>2022</w:t>
            </w:r>
          </w:p>
        </w:tc>
      </w:tr>
      <w:tr>
        <w:trPr>
          <w:trHeight w:val="21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261,176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242,226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154,380</w:t>
            </w:r>
          </w:p>
        </w:tc>
      </w:tr>
      <w:tr>
        <w:trPr>
          <w:trHeight w:val="191"/>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6"/>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Defined benefit pension plans: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1"/>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actuarial gain (loss)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3,099</w:t>
            </w: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prior service cost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211"/>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Amortization of net actuarial loss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26,461</w:t>
            </w: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Regulatory adjustment</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(21,457)</w:t>
            </w:r>
          </w:p>
        </w:tc>
      </w:tr>
      <w:tr>
        <w:trPr>
          <w:trHeight w:val="205"/>
        </w:trPr>
        <w:tc>
          <w:tcPr>
            <w:tcW w:w="758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Net defined benefit pension plans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8,236</w:t>
            </w:r>
          </w:p>
        </w:tc>
      </w:tr>
      <w:tr>
        <w:trPr>
          <w:trHeight w:val="196"/>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FSIRS: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1"/>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Amounts reclassified into net income</w:t>
            </w: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w:t>
            </w:r>
          </w:p>
        </w:tc>
      </w:tr>
      <w:tr>
        <w:trPr>
          <w:trHeight w:val="210"/>
        </w:trPr>
        <w:tc>
          <w:tcPr>
            <w:tcW w:w="758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Net forward-starting interest rate swaps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w:t>
            </w:r>
          </w:p>
        </w:tc>
      </w:tr>
      <w:tr>
        <w:trPr>
          <w:trHeight w:val="205"/>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 (loss), net of tax</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8,652</w:t>
            </w:r>
          </w:p>
        </w:tc>
      </w:tr>
      <w:tr>
        <w:trPr>
          <w:trHeight w:val="232"/>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263,323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239,939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163,032</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31" w:right="379" w:bottom="1440" w:gutter="0" w:footer="0" w:header="0"/>
        </w:sectPr>
      </w:pPr>
    </w:p>
    <w:bookmarkStart w:id="60" w:name="page61"/>
    <w:bookmarkEnd w:id="60"/>
    <w:p>
      <w:pPr>
        <w:jc w:val="center"/>
        <w:ind w:right="-39"/>
        <w:spacing w:after="0"/>
        <w:rPr>
          <w:sz w:val="20"/>
          <w:szCs w:val="20"/>
          <w:color w:val="auto"/>
        </w:rPr>
      </w:pPr>
      <w:r>
        <w:rPr>
          <w:rFonts w:ascii="Times New Roman" w:cs="Times New Roman" w:eastAsia="Times New Roman" w:hAnsi="Times New Roman"/>
          <w:sz w:val="18"/>
          <w:szCs w:val="18"/>
          <w:color w:val="auto"/>
        </w:rPr>
        <w:t>SOUTHWEST GAS CORPORATION AND SUBSIDIARIES</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(Thousands of dollars)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6"/>
                <w:szCs w:val="16"/>
                <w:color w:val="auto"/>
              </w:rPr>
              <w:t>Year Ended December 31,</w:t>
            </w:r>
          </w:p>
        </w:tc>
        <w:tc>
          <w:tcPr>
            <w:tcW w:w="840" w:type="dxa"/>
            <w:vAlign w:val="bottom"/>
            <w:tcBorders>
              <w:bottom w:val="single" w:sz="8" w:color="auto"/>
            </w:tcBorders>
          </w:tcPr>
          <w:p>
            <w:pPr>
              <w:spacing w:after="0"/>
              <w:rPr>
                <w:sz w:val="18"/>
                <w:szCs w:val="18"/>
                <w:color w:val="auto"/>
              </w:rPr>
            </w:pPr>
          </w:p>
        </w:tc>
      </w:tr>
      <w:tr>
        <w:trPr>
          <w:trHeight w:val="208"/>
        </w:trPr>
        <w:tc>
          <w:tcPr>
            <w:tcW w:w="75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rPr>
              <w:t>2022</w:t>
            </w:r>
          </w:p>
        </w:tc>
      </w:tr>
      <w:tr>
        <w:trPr>
          <w:trHeight w:val="19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FROM OPERATING ACTIVITIES: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1"/>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261,176</w:t>
            </w:r>
          </w:p>
        </w:tc>
        <w:tc>
          <w:tcPr>
            <w:tcW w:w="10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242,226</w:t>
            </w:r>
          </w:p>
        </w:tc>
        <w:tc>
          <w:tcPr>
            <w:tcW w:w="10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154,380</w:t>
            </w:r>
          </w:p>
        </w:tc>
      </w:tr>
      <w:tr>
        <w:trPr>
          <w:trHeight w:val="216"/>
        </w:trPr>
        <w:tc>
          <w:tcPr>
            <w:tcW w:w="75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1"/>
        </w:trPr>
        <w:tc>
          <w:tcPr>
            <w:tcW w:w="75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303,095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295,462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263,043</w:t>
            </w:r>
          </w:p>
        </w:tc>
      </w:tr>
      <w:tr>
        <w:trPr>
          <w:trHeight w:val="216"/>
        </w:trPr>
        <w:tc>
          <w:tcPr>
            <w:tcW w:w="7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69,459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66,611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42,387</w:t>
            </w:r>
          </w:p>
        </w:tc>
      </w:tr>
      <w:tr>
        <w:trPr>
          <w:trHeight w:val="211"/>
        </w:trPr>
        <w:tc>
          <w:tcPr>
            <w:tcW w:w="75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Gain on sale of property</w:t>
            </w: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w:t>
            </w:r>
          </w:p>
        </w:tc>
      </w:tr>
      <w:tr>
        <w:trPr>
          <w:trHeight w:val="216"/>
        </w:trPr>
        <w:tc>
          <w:tcPr>
            <w:tcW w:w="7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Changes in undistributed stock compensation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5,776</w:t>
            </w:r>
          </w:p>
        </w:tc>
      </w:tr>
      <w:tr>
        <w:trPr>
          <w:trHeight w:val="211"/>
        </w:trPr>
        <w:tc>
          <w:tcPr>
            <w:tcW w:w="75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Equity AFUDC</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Changes in current assets and liabilities: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1"/>
        </w:trPr>
        <w:tc>
          <w:tcPr>
            <w:tcW w:w="75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Accounts receivable, net of allowances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(64,414)</w:t>
            </w:r>
          </w:p>
        </w:tc>
      </w:tr>
      <w:tr>
        <w:trPr>
          <w:trHeight w:val="216"/>
        </w:trPr>
        <w:tc>
          <w:tcPr>
            <w:tcW w:w="7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Accrued utility revenue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(3,200)</w:t>
            </w:r>
          </w:p>
        </w:tc>
      </w:tr>
      <w:tr>
        <w:trPr>
          <w:trHeight w:val="211"/>
        </w:trPr>
        <w:tc>
          <w:tcPr>
            <w:tcW w:w="75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Deferred purchased gas costs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781,206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(102,765)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(158,975)</w:t>
            </w:r>
          </w:p>
        </w:tc>
      </w:tr>
      <w:tr>
        <w:trPr>
          <w:trHeight w:val="216"/>
        </w:trPr>
        <w:tc>
          <w:tcPr>
            <w:tcW w:w="7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(19,032)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(260,403)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243,276</w:t>
            </w:r>
          </w:p>
        </w:tc>
      </w:tr>
      <w:tr>
        <w:trPr>
          <w:trHeight w:val="211"/>
        </w:trPr>
        <w:tc>
          <w:tcPr>
            <w:tcW w:w="75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Accrued taxes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21,754</w:t>
            </w:r>
          </w:p>
        </w:tc>
      </w:tr>
      <w:tr>
        <w:trPr>
          <w:trHeight w:val="216"/>
        </w:trPr>
        <w:tc>
          <w:tcPr>
            <w:tcW w:w="7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Other current assets and liabilities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311,593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(188,737)</w:t>
            </w:r>
          </w:p>
        </w:tc>
      </w:tr>
      <w:tr>
        <w:trPr>
          <w:trHeight w:val="211"/>
        </w:trPr>
        <w:tc>
          <w:tcPr>
            <w:tcW w:w="75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Changes in deferred charges and other assets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(1,694)</w:t>
            </w:r>
          </w:p>
        </w:tc>
      </w:tr>
      <w:tr>
        <w:trPr>
          <w:trHeight w:val="216"/>
        </w:trPr>
        <w:tc>
          <w:tcPr>
            <w:tcW w:w="7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Changes in other liabilities and deferred credits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(27,945)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(76,098)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(27,690)</w:t>
            </w:r>
          </w:p>
        </w:tc>
      </w:tr>
      <w:tr>
        <w:trPr>
          <w:trHeight w:val="205"/>
        </w:trPr>
        <w:tc>
          <w:tcPr>
            <w:tcW w:w="75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1,252,982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391,545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284,403</w:t>
            </w:r>
          </w:p>
        </w:tc>
      </w:tr>
      <w:tr>
        <w:trPr>
          <w:trHeight w:val="19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FROM INVESTING ACTIVITIES: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1"/>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Construction expenditures and property additions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(846,590)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(762,081)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(683,131)</w:t>
            </w: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the sale of property</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21,377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Changes in customer advances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21,506</w:t>
            </w: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6,917</w:t>
            </w:r>
          </w:p>
        </w:tc>
      </w:tr>
      <w:tr>
        <w:trPr>
          <w:trHeight w:val="205"/>
        </w:trPr>
        <w:tc>
          <w:tcPr>
            <w:tcW w:w="75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(831,093)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(770,572)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(654,708)</w:t>
            </w:r>
          </w:p>
        </w:tc>
      </w:tr>
      <w:tr>
        <w:trPr>
          <w:trHeight w:val="19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FROM FINANCING ACTIVITIES: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1"/>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Contributions from parent</w:t>
            </w: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Dividends paid</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(122,200)</w:t>
            </w:r>
          </w:p>
        </w:tc>
      </w:tr>
      <w:tr>
        <w:trPr>
          <w:trHeight w:val="211"/>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Issuance of long-term debt, net</w:t>
            </w: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297,759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891,663</w:t>
            </w: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Retirement of long-term debt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(275,000)</w:t>
            </w:r>
          </w:p>
        </w:tc>
      </w:tr>
      <w:tr>
        <w:trPr>
          <w:trHeight w:val="211"/>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 in long-term credit facility and commercial paper</w:t>
            </w: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(80,000)</w:t>
            </w: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Issuance of short-term debt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Repayment of short-term debt</w:t>
            </w: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Withholding remittance – share-based compensation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(2,569)</w:t>
            </w:r>
          </w:p>
        </w:tc>
      </w:tr>
      <w:tr>
        <w:trPr>
          <w:trHeight w:val="211"/>
        </w:trPr>
        <w:tc>
          <w:tcPr>
            <w:tcW w:w="7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(3,457)</w:t>
            </w:r>
          </w:p>
        </w:tc>
      </w:tr>
      <w:tr>
        <w:trPr>
          <w:trHeight w:val="210"/>
        </w:trPr>
        <w:tc>
          <w:tcPr>
            <w:tcW w:w="7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(181,970)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398,358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383,437</w:t>
            </w:r>
          </w:p>
        </w:tc>
      </w:tr>
      <w:tr>
        <w:trPr>
          <w:trHeight w:val="205"/>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 in cash and cash equivalents</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239,919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19,331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13,132</w:t>
            </w: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71,154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51,823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38,691</w:t>
            </w:r>
          </w:p>
        </w:tc>
      </w:tr>
      <w:tr>
        <w:trPr>
          <w:trHeight w:val="205"/>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311,073</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71,154</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51,823</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INFORMATION:</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14"/>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 paid, net of amounts capitalized</w:t>
            </w: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156,998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139,747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107,980</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30"/>
        </w:trPr>
        <w:tc>
          <w:tcPr>
            <w:tcW w:w="75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Income taxes paid (received), net</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31" w:right="37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color w:val="auto"/>
        </w:rPr>
        <w:t>SOUTHWEST GAS CORPORATION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EQUITY</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400" w:type="dxa"/>
            <w:vAlign w:val="bottom"/>
          </w:tcPr>
          <w:p>
            <w:pPr>
              <w:spacing w:after="0"/>
              <w:rPr>
                <w:sz w:val="18"/>
                <w:szCs w:val="18"/>
                <w:color w:val="auto"/>
              </w:rPr>
            </w:pPr>
          </w:p>
        </w:tc>
        <w:tc>
          <w:tcPr>
            <w:tcW w:w="192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16"/>
                <w:szCs w:val="16"/>
                <w:color w:val="auto"/>
              </w:rPr>
              <w:t>Common stock 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400" w:type="dxa"/>
            <w:vAlign w:val="bottom"/>
          </w:tcPr>
          <w:p>
            <w:pPr>
              <w:spacing w:after="0"/>
              <w:rPr>
                <w:sz w:val="13"/>
                <w:szCs w:val="13"/>
                <w:color w:val="auto"/>
              </w:rPr>
            </w:pPr>
          </w:p>
        </w:tc>
        <w:tc>
          <w:tcPr>
            <w:tcW w:w="1060" w:type="dxa"/>
            <w:vAlign w:val="bottom"/>
            <w:gridSpan w:val="2"/>
          </w:tcPr>
          <w:p>
            <w:pPr>
              <w:jc w:val="center"/>
              <w:ind w:right="80"/>
              <w:spacing w:after="0" w:line="159" w:lineRule="exact"/>
              <w:rPr>
                <w:sz w:val="20"/>
                <w:szCs w:val="20"/>
                <w:color w:val="auto"/>
              </w:rPr>
            </w:pPr>
            <w:r>
              <w:rPr>
                <w:rFonts w:ascii="Times New Roman" w:cs="Times New Roman" w:eastAsia="Times New Roman" w:hAnsi="Times New Roman"/>
                <w:sz w:val="16"/>
                <w:szCs w:val="16"/>
                <w:color w:val="auto"/>
              </w:rPr>
              <w:t>Number of</w:t>
            </w:r>
          </w:p>
        </w:tc>
        <w:tc>
          <w:tcPr>
            <w:tcW w:w="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Stated Value</w:t>
            </w:r>
          </w:p>
        </w:tc>
        <w:tc>
          <w:tcPr>
            <w:tcW w:w="140" w:type="dxa"/>
            <w:vAlign w:val="bottom"/>
          </w:tcPr>
          <w:p>
            <w:pPr>
              <w:spacing w:after="0"/>
              <w:rPr>
                <w:sz w:val="13"/>
                <w:szCs w:val="13"/>
                <w:color w:val="auto"/>
              </w:rPr>
            </w:pPr>
          </w:p>
        </w:tc>
        <w:tc>
          <w:tcPr>
            <w:tcW w:w="98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6"/>
                <w:szCs w:val="16"/>
                <w:color w:val="auto"/>
                <w:w w:val="99"/>
              </w:rPr>
              <w:t>Additional</w:t>
            </w:r>
          </w:p>
        </w:tc>
        <w:tc>
          <w:tcPr>
            <w:tcW w:w="200" w:type="dxa"/>
            <w:vAlign w:val="bottom"/>
          </w:tcPr>
          <w:p>
            <w:pPr>
              <w:spacing w:after="0"/>
              <w:rPr>
                <w:sz w:val="13"/>
                <w:szCs w:val="13"/>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AOCI</w:t>
            </w:r>
          </w:p>
        </w:tc>
        <w:tc>
          <w:tcPr>
            <w:tcW w:w="180" w:type="dxa"/>
            <w:vAlign w:val="bottom"/>
          </w:tcPr>
          <w:p>
            <w:pPr>
              <w:spacing w:after="0"/>
              <w:rPr>
                <w:sz w:val="13"/>
                <w:szCs w:val="13"/>
                <w:color w:val="auto"/>
              </w:rPr>
            </w:pPr>
          </w:p>
        </w:tc>
        <w:tc>
          <w:tcPr>
            <w:tcW w:w="960" w:type="dxa"/>
            <w:vAlign w:val="bottom"/>
            <w:gridSpan w:val="2"/>
          </w:tcPr>
          <w:p>
            <w:pPr>
              <w:ind w:left="60"/>
              <w:spacing w:after="0" w:line="159" w:lineRule="exact"/>
              <w:rPr>
                <w:sz w:val="20"/>
                <w:szCs w:val="20"/>
                <w:color w:val="auto"/>
              </w:rPr>
            </w:pPr>
            <w:r>
              <w:rPr>
                <w:rFonts w:ascii="Times New Roman" w:cs="Times New Roman" w:eastAsia="Times New Roman" w:hAnsi="Times New Roman"/>
                <w:sz w:val="16"/>
                <w:szCs w:val="16"/>
                <w:color w:val="auto"/>
              </w:rPr>
              <w:t>Retained</w:t>
            </w:r>
          </w:p>
        </w:tc>
        <w:tc>
          <w:tcPr>
            <w:tcW w:w="148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6"/>
                <w:szCs w:val="16"/>
                <w:color w:val="auto"/>
              </w:rPr>
              <w:t>Total Southwest Gas</w:t>
            </w:r>
          </w:p>
        </w:tc>
        <w:tc>
          <w:tcPr>
            <w:tcW w:w="0" w:type="dxa"/>
            <w:vAlign w:val="bottom"/>
          </w:tcPr>
          <w:p>
            <w:pPr>
              <w:spacing w:after="0"/>
              <w:rPr>
                <w:sz w:val="1"/>
                <w:szCs w:val="1"/>
                <w:color w:val="auto"/>
              </w:rPr>
            </w:pPr>
          </w:p>
        </w:tc>
      </w:tr>
      <w:tr>
        <w:trPr>
          <w:trHeight w:val="211"/>
        </w:trPr>
        <w:tc>
          <w:tcPr>
            <w:tcW w:w="4400" w:type="dxa"/>
            <w:vAlign w:val="bottom"/>
          </w:tcPr>
          <w:p>
            <w:pPr>
              <w:spacing w:after="0"/>
              <w:rPr>
                <w:sz w:val="18"/>
                <w:szCs w:val="18"/>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Shares</w:t>
            </w:r>
          </w:p>
        </w:tc>
        <w:tc>
          <w:tcPr>
            <w:tcW w:w="960" w:type="dxa"/>
            <w:vAlign w:val="bottom"/>
            <w:gridSpan w:val="3"/>
            <w:vMerge w:val="continue"/>
          </w:tcPr>
          <w:p>
            <w:pPr>
              <w:spacing w:after="0"/>
              <w:rPr>
                <w:sz w:val="18"/>
                <w:szCs w:val="18"/>
                <w:color w:val="auto"/>
              </w:rPr>
            </w:pPr>
          </w:p>
        </w:tc>
        <w:tc>
          <w:tcPr>
            <w:tcW w:w="112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color w:val="auto"/>
                <w:w w:val="99"/>
              </w:rPr>
              <w:t>Paid-in Capital</w:t>
            </w: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Earnings</w:t>
            </w:r>
          </w:p>
        </w:tc>
        <w:tc>
          <w:tcPr>
            <w:tcW w:w="120" w:type="dxa"/>
            <w:vAlign w:val="bottom"/>
          </w:tcPr>
          <w:p>
            <w:pPr>
              <w:spacing w:after="0"/>
              <w:rPr>
                <w:sz w:val="18"/>
                <w:szCs w:val="18"/>
                <w:color w:val="auto"/>
              </w:rPr>
            </w:pPr>
          </w:p>
        </w:tc>
        <w:tc>
          <w:tcPr>
            <w:tcW w:w="13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8"/>
              </w:rPr>
              <w:t>Corporation Equity</w:t>
            </w: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2021</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47,482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49,112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1,618,911</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(46,913)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906,827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2,527,937</w:t>
            </w:r>
          </w:p>
        </w:tc>
        <w:tc>
          <w:tcPr>
            <w:tcW w:w="0" w:type="dxa"/>
            <w:vAlign w:val="bottom"/>
          </w:tcPr>
          <w:p>
            <w:pPr>
              <w:spacing w:after="0"/>
              <w:rPr>
                <w:sz w:val="1"/>
                <w:szCs w:val="1"/>
                <w:color w:val="auto"/>
              </w:rPr>
            </w:pPr>
          </w:p>
        </w:tc>
      </w:tr>
      <w:tr>
        <w:trPr>
          <w:trHeight w:val="211"/>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154,380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154,380</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 to Southwest Gas Holdings, Inc.</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(125,000)</w:t>
            </w:r>
          </w:p>
        </w:tc>
        <w:tc>
          <w:tcPr>
            <w:tcW w:w="0" w:type="dxa"/>
            <w:vAlign w:val="bottom"/>
          </w:tcPr>
          <w:p>
            <w:pPr>
              <w:spacing w:after="0"/>
              <w:rPr>
                <w:sz w:val="1"/>
                <w:szCs w:val="1"/>
                <w:color w:val="auto"/>
              </w:rPr>
            </w:pPr>
          </w:p>
        </w:tc>
      </w:tr>
      <w:tr>
        <w:trPr>
          <w:trHeight w:val="211"/>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3,206</w:t>
            </w:r>
          </w:p>
        </w:tc>
        <w:tc>
          <w:tcPr>
            <w:tcW w:w="0" w:type="dxa"/>
            <w:vAlign w:val="bottom"/>
          </w:tcPr>
          <w:p>
            <w:pPr>
              <w:spacing w:after="0"/>
              <w:rPr>
                <w:sz w:val="1"/>
                <w:szCs w:val="1"/>
                <w:color w:val="auto"/>
              </w:rPr>
            </w:pPr>
          </w:p>
        </w:tc>
      </w:tr>
      <w:tr>
        <w:trPr>
          <w:trHeight w:val="163"/>
        </w:trPr>
        <w:tc>
          <w:tcPr>
            <w:tcW w:w="440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6"/>
                <w:szCs w:val="16"/>
                <w:color w:val="auto"/>
              </w:rPr>
              <w:t>Net actuarial gain arising during period, less amortization of</w:t>
            </w: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8,236</w:t>
            </w:r>
          </w:p>
        </w:tc>
        <w:tc>
          <w:tcPr>
            <w:tcW w:w="0" w:type="dxa"/>
            <w:vAlign w:val="bottom"/>
          </w:tcPr>
          <w:p>
            <w:pPr>
              <w:spacing w:after="0"/>
              <w:rPr>
                <w:sz w:val="1"/>
                <w:szCs w:val="1"/>
                <w:color w:val="auto"/>
              </w:rPr>
            </w:pPr>
          </w:p>
        </w:tc>
      </w:tr>
      <w:tr>
        <w:trPr>
          <w:trHeight w:val="214"/>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unamortized benefit plan cost, net of tax</w:t>
            </w:r>
          </w:p>
        </w:tc>
        <w:tc>
          <w:tcPr>
            <w:tcW w:w="10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FSIRS amounts reclassified to net income, net of tax</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2022</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47,482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49,112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1,622,969</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(38,261)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935,355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2,569,175</w:t>
            </w:r>
          </w:p>
        </w:tc>
        <w:tc>
          <w:tcPr>
            <w:tcW w:w="0" w:type="dxa"/>
            <w:vAlign w:val="bottom"/>
          </w:tcPr>
          <w:p>
            <w:pPr>
              <w:spacing w:after="0"/>
              <w:rPr>
                <w:sz w:val="1"/>
                <w:szCs w:val="1"/>
                <w:color w:val="auto"/>
              </w:rPr>
            </w:pPr>
          </w:p>
        </w:tc>
      </w:tr>
      <w:tr>
        <w:trPr>
          <w:trHeight w:val="211"/>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242,226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242,226</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 to Southwest Gas Holdings, Inc.</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(158,600)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(158,600)</w:t>
            </w:r>
          </w:p>
        </w:tc>
        <w:tc>
          <w:tcPr>
            <w:tcW w:w="0" w:type="dxa"/>
            <w:vAlign w:val="bottom"/>
          </w:tcPr>
          <w:p>
            <w:pPr>
              <w:spacing w:after="0"/>
              <w:rPr>
                <w:sz w:val="1"/>
                <w:szCs w:val="1"/>
                <w:color w:val="auto"/>
              </w:rPr>
            </w:pPr>
          </w:p>
        </w:tc>
      </w:tr>
      <w:tr>
        <w:trPr>
          <w:trHeight w:val="211"/>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3,101</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Contributions from Southwest Gas Holdings, Inc.</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530,000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530,000</w:t>
            </w:r>
          </w:p>
        </w:tc>
        <w:tc>
          <w:tcPr>
            <w:tcW w:w="0" w:type="dxa"/>
            <w:vAlign w:val="bottom"/>
          </w:tcPr>
          <w:p>
            <w:pPr>
              <w:spacing w:after="0"/>
              <w:rPr>
                <w:sz w:val="1"/>
                <w:szCs w:val="1"/>
                <w:color w:val="auto"/>
              </w:rPr>
            </w:pPr>
          </w:p>
        </w:tc>
      </w:tr>
      <w:tr>
        <w:trPr>
          <w:trHeight w:val="160"/>
        </w:trPr>
        <w:tc>
          <w:tcPr>
            <w:tcW w:w="440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Net actuarial loss arising during period, less amortization of</w:t>
            </w: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(2,287)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(2,287)</w:t>
            </w:r>
          </w:p>
        </w:tc>
        <w:tc>
          <w:tcPr>
            <w:tcW w:w="0" w:type="dxa"/>
            <w:vAlign w:val="bottom"/>
          </w:tcPr>
          <w:p>
            <w:pPr>
              <w:spacing w:after="0"/>
              <w:rPr>
                <w:sz w:val="1"/>
                <w:szCs w:val="1"/>
                <w:color w:val="auto"/>
              </w:rPr>
            </w:pPr>
          </w:p>
        </w:tc>
      </w:tr>
      <w:tr>
        <w:trPr>
          <w:trHeight w:val="211"/>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unamortized benefit plan cost, net of tax</w:t>
            </w:r>
          </w:p>
        </w:tc>
        <w:tc>
          <w:tcPr>
            <w:tcW w:w="10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2023</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47,482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49,112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2,156,577</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(40,548)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1,018,474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3,183,615</w:t>
            </w:r>
          </w:p>
        </w:tc>
        <w:tc>
          <w:tcPr>
            <w:tcW w:w="0" w:type="dxa"/>
            <w:vAlign w:val="bottom"/>
          </w:tcPr>
          <w:p>
            <w:pPr>
              <w:spacing w:after="0"/>
              <w:rPr>
                <w:sz w:val="1"/>
                <w:szCs w:val="1"/>
                <w:color w:val="auto"/>
              </w:rPr>
            </w:pPr>
          </w:p>
        </w:tc>
      </w:tr>
      <w:tr>
        <w:trPr>
          <w:trHeight w:val="211"/>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261,176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261,176</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 to Southwest Gas Holdings, Inc.</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(182,900)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(182,900)</w:t>
            </w:r>
          </w:p>
        </w:tc>
        <w:tc>
          <w:tcPr>
            <w:tcW w:w="0" w:type="dxa"/>
            <w:vAlign w:val="bottom"/>
          </w:tcPr>
          <w:p>
            <w:pPr>
              <w:spacing w:after="0"/>
              <w:rPr>
                <w:sz w:val="1"/>
                <w:szCs w:val="1"/>
                <w:color w:val="auto"/>
              </w:rPr>
            </w:pPr>
          </w:p>
        </w:tc>
      </w:tr>
      <w:tr>
        <w:trPr>
          <w:trHeight w:val="211"/>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7,824</w:t>
            </w:r>
          </w:p>
        </w:tc>
        <w:tc>
          <w:tcPr>
            <w:tcW w:w="0" w:type="dxa"/>
            <w:vAlign w:val="bottom"/>
          </w:tcPr>
          <w:p>
            <w:pPr>
              <w:spacing w:after="0"/>
              <w:rPr>
                <w:sz w:val="1"/>
                <w:szCs w:val="1"/>
                <w:color w:val="auto"/>
              </w:rPr>
            </w:pPr>
          </w:p>
        </w:tc>
      </w:tr>
      <w:tr>
        <w:trPr>
          <w:trHeight w:val="163"/>
        </w:trPr>
        <w:tc>
          <w:tcPr>
            <w:tcW w:w="440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6"/>
                <w:szCs w:val="16"/>
                <w:color w:val="auto"/>
              </w:rPr>
              <w:t>Net actuarial gain arising during period, less amortization of</w:t>
            </w: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2,147</w:t>
            </w:r>
          </w:p>
        </w:tc>
        <w:tc>
          <w:tcPr>
            <w:tcW w:w="0" w:type="dxa"/>
            <w:vAlign w:val="bottom"/>
          </w:tcPr>
          <w:p>
            <w:pPr>
              <w:spacing w:after="0"/>
              <w:rPr>
                <w:sz w:val="1"/>
                <w:szCs w:val="1"/>
                <w:color w:val="auto"/>
              </w:rPr>
            </w:pPr>
          </w:p>
        </w:tc>
      </w:tr>
      <w:tr>
        <w:trPr>
          <w:trHeight w:val="214"/>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unamortized benefit plan cost, net of tax</w:t>
            </w:r>
          </w:p>
        </w:tc>
        <w:tc>
          <w:tcPr>
            <w:tcW w:w="10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December 31, 2024</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47,482</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49,112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2,165,002</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(38,401)</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1,096,149</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3,271,862</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62" w:name="page63"/>
    <w:bookmarkEnd w:id="62"/>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Background, Organization, and Summary of Significant Accounting Policies</w:t>
      </w:r>
    </w:p>
    <w:p>
      <w:pPr>
        <w:spacing w:after="0" w:line="11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Nature of Operations. </w:t>
      </w:r>
      <w:r>
        <w:rPr>
          <w:rFonts w:ascii="Times New Roman" w:cs="Times New Roman" w:eastAsia="Times New Roman" w:hAnsi="Times New Roman"/>
          <w:sz w:val="18"/>
          <w:szCs w:val="18"/>
          <w:color w:val="auto"/>
        </w:rPr>
        <w:t>This is a combined annual report of the Company and Southwest Gas. The notes to the consolidated financial statements apply to both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Southwest Gas Holdings, a Delaware corporation, is a holding company owning all of the shares of common stock of Southwest Gas; until April 22, 2024, all of the shares of common stock of Centuri; and until February 14, 2023, all of the shares of common stock of MountainWest.</w:t>
      </w:r>
    </w:p>
    <w:p>
      <w:pPr>
        <w:spacing w:after="0" w:line="6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December 2022, the Company announced that its Board unanimously determined to take strategic actions to simplify the Company’s portfolio of businesses. These actions included entering into a definitive agreement to sell 100% of MountainWest in an all-cash transaction to Williams for $1.5 billion in total enterprise value, subject to certain adjustments. The sale closed on February 14, 2023.</w:t>
      </w:r>
    </w:p>
    <w:p>
      <w:pPr>
        <w:spacing w:after="0" w:line="6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 xml:space="preserve">Also as part of this simplification strategy, the Company previously communicated that it would pursue a separation of Centuri. In April 2024, the Company and Centuri announced the completion of an IPO of Centuri Holdings, Inc. common stock. Following the Centuri IPO, the Company owns approximately 81% of Centuri. Through the first quarter of 2024 and leading up to the Centuri IPO, Centuri continued to be wholly owned by the Company. Centuri continues to be consolidated as part of these financial statements, and will continue to be consolidated until such time as the conditions for consolidation are no longer met. Centuri now makes separate filings with the SEC as a public company. The Company’s common stock continues to trade under the ticker symbol “SWX,” while Centuri’s common stock trades under the ticker symbol “CTRI.” See </w:t>
      </w:r>
      <w:r>
        <w:rPr>
          <w:rFonts w:ascii="Times New Roman" w:cs="Times New Roman" w:eastAsia="Times New Roman" w:hAnsi="Times New Roman"/>
          <w:sz w:val="17"/>
          <w:szCs w:val="17"/>
          <w:b w:val="1"/>
          <w:bCs w:val="1"/>
          <w:color w:val="auto"/>
        </w:rPr>
        <w:t>Note 7 - Common Stock</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Note 15 - Dispositions</w:t>
      </w:r>
      <w:r>
        <w:rPr>
          <w:rFonts w:ascii="Times New Roman" w:cs="Times New Roman" w:eastAsia="Times New Roman" w:hAnsi="Times New Roman"/>
          <w:sz w:val="17"/>
          <w:szCs w:val="17"/>
          <w:color w:val="auto"/>
        </w:rPr>
        <w:t>.</w:t>
      </w:r>
    </w:p>
    <w:p>
      <w:pPr>
        <w:spacing w:after="0" w:line="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October 15, 2024, the Company and the Icahn Group entered into an Amended and Restated Cooperation Agreement (the “Amended Agreement”), which amends, restates, supersedes, and replaces in its entirety the Amended and Restated Cooperation Agreement entered into on November 21, 2023. In accordance with the terms of the Amended Agreement, the Company agreed with the Icahn Group, among other things, to nominate Andrew W. Evans, Henry P. Linginfelter, Ruby Sharma, and Andrew J. Teno (collectively, the “Icahn Designees”) for election at the Company’s 2025 Annual Meeting. In addition, the Amended Agreement provides that the standstill restrictions on the Icahn Group will remain in effect until, and the Amended Agreement will terminate upon, the later of (x) the conclusion of the 2025 Annual Meeting and (y) the earlier of (1) immediately following the time at which Mr. Teno (or any replacement designee for Mr. Teno) is no longer serving on the Company’s Board and (2) thirty days prior to the expiration of the advance notice deadline for submission of director nominees in connection with the Company’s 2026 Annual Meeting of Stockholders; provided, however, that the Amended Agreement will terminate automatically on the date on which the Board re-appoints as a director any former director of the Board, without the approval of a majority of the Icahn Designees. The Company further agreed with the Icahn Group to establish the record date for the 2025 Annual Meeting for a time within thirty days of March 4, 2025. Other than the foregoing, the material terms of the prior agreement remain unchanged.</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Southwest Gas is engaged in the business of purchasing, distributing, and transporting natural gas for customers in portions of Arizona, Nevada, and California. Public utility rates, practices, facilities, and service territories of Southwest Gas are subject to regulatory oversight. The timing and amount of rate relief can materially impact results of operations. Natural gas purchases and the timing of related recoveries can materially impact liquidity, highlighted by a significant cash balance existing as of the end of the fourth quarter of 2024, reflective of the collection of gas cost under purchased gas cost mechanisms as a component of customer bills. While mechanisms exist in all states in which Southwest Gas operates, which effectively and primarily decouple authorized operating cost recovery and profitability from the volume of natural gas sold, thereby also incentivizing energy conservation, results for the natural gas distribution segment are higher during winter periods due to the seasonality incorporated in its regulatory rate structures.</w:t>
      </w:r>
    </w:p>
    <w:p>
      <w:pPr>
        <w:spacing w:after="0" w:line="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Centuri is a strategic utility infrastructure services company dedicated to partnering with North America’s gas and electric providers to build and maintain the energy network that powers millions of homes across the U.S. and Canada. Centuri derives revenue primarily from installation, replacement, repair, and maintenance of energy networks. Centuri operates in the U.S. primarily as NPL, Neuco, Linetec, and Riggs Distler, and in Canada, primarily as NPL Canada. Utility infrastructure services activity is seasonal in many of Centuri’s operating areas. Peak periods are the summer and fall months in colder climate areas, such as the northeastern and midwestern U.S. and in Canada. In warmer climate areas, such as the southwestern and southeastern U.S., utility infrastructure services activity continues year round.</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Basis of Presentation. </w:t>
      </w:r>
      <w:r>
        <w:rPr>
          <w:rFonts w:ascii="Times New Roman" w:cs="Times New Roman" w:eastAsia="Times New Roman" w:hAnsi="Times New Roman"/>
          <w:sz w:val="18"/>
          <w:szCs w:val="18"/>
          <w:color w:val="auto"/>
        </w:rPr>
        <w:t>The Company follows U.S. GAAP in accounting for all of its businesses. Unless specified otherwise, all amounts are in U.S. dollars.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for regulated operations conforms with U.S. GAAP as applied to rate-regulated companies and as prescribed by federal agencies and commissions of the various states in which the rate-regulated companies operate. The preparation of financial statements in conformity with U.S. GAAP requires management to make estimates and assumptions that affect the reported amounts of assets and liabilities and disclosure of contingent assets and liabilities at the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jc w:val="both"/>
        <w:spacing w:after="0" w:line="278" w:lineRule="auto"/>
        <w:rPr>
          <w:sz w:val="20"/>
          <w:szCs w:val="20"/>
          <w:color w:val="auto"/>
        </w:rPr>
      </w:pPr>
      <w:r>
        <w:rPr>
          <w:rFonts w:ascii="Times New Roman" w:cs="Times New Roman" w:eastAsia="Times New Roman" w:hAnsi="Times New Roman"/>
          <w:sz w:val="18"/>
          <w:szCs w:val="18"/>
          <w:color w:val="auto"/>
        </w:rPr>
        <w:t>date of the financial statements, and the reported amounts of revenues and expenses during the reporting period. Actual results could differ from those estimates.</w:t>
      </w:r>
    </w:p>
    <w:p>
      <w:pPr>
        <w:spacing w:after="0" w:line="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identified misstatements in historical periods at Southwest Gas related to Net cost of gas sold, which was overstated in 2021, 2022, and 2023 by $3.5 million, $8.3 million, and $3.6 million, respectively. It also determined that Regulated operations revenue was overstated during these years by $0.2 million, $4.3 million, and $5.3 million, respectively. Corrections were made as out-of-period adjustments with a net impact of $8 million in 2023 and $2.6 million in 2024.</w:t>
      </w:r>
    </w:p>
    <w:p>
      <w:pPr>
        <w:spacing w:after="0" w:line="7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In addition, the Company determined the loss upon reclassifying MountainWest as an asset held for sale was understated by approximately $21 million during the year ended December 31, 2022, and corrected this item in the first quarter of 2023.</w:t>
      </w:r>
    </w:p>
    <w:p>
      <w:pPr>
        <w:spacing w:after="0" w:line="5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Company (and Southwest Gas, as relevant) assessed, both quantitatively and qualitatively, the impact of these items on previously issued financial statements in concluding that they were not material to any earlier period or to the period of correction.</w:t>
      </w:r>
    </w:p>
    <w:p>
      <w:pPr>
        <w:spacing w:after="0" w:line="5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Consolidation. </w:t>
      </w:r>
      <w:r>
        <w:rPr>
          <w:rFonts w:ascii="Times New Roman" w:cs="Times New Roman" w:eastAsia="Times New Roman" w:hAnsi="Times New Roman"/>
          <w:sz w:val="18"/>
          <w:szCs w:val="18"/>
          <w:color w:val="auto"/>
        </w:rPr>
        <w:t>The accompanying financial statements (as of and for the periods presented) are presented on a consolidated basis for the Company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Southwest Gas (except those accounted for using the equity method as discussed below). All significant intercompany balances and transactions have been eliminated with the exception of transactions between Southwest Gas and Centuri in accordance with accounting treatment for rate-regulated entities.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Centuri, through its subsidiaries, holds a 50% interest in WSN, a Canadian infrastructure services company that is a variable interest entity. Centuri determined that it is not the primary beneficiary of the entity due to a shared-power structure; therefore, Centuri does not consolidate the entity and has recorded its investment, and results related thereto, using the equity method. The investment in WSN, related earnings, and dividends received from WSN in 2024 and 2023 were not significant. Centuri’s maximum exposure to loss as a result of its involvement with WSN was estimated at $10.9 million as of December 31, 2024.</w:t>
      </w:r>
    </w:p>
    <w:p>
      <w:pPr>
        <w:spacing w:after="0" w:line="7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Certain assets and liabilities are reported at fair value, which is defined as the price that would be received to sell an asset or paid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transfer a liability in an orderly transaction between market participants at the measurement date.</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U.S. GAAP states that a fair value measurement should be based on the assumptions that market participants would use in pricing the asset or liability and establishes a fair value hierarchy that ranks the inputs used to measure fair value by their reliability. The hierarchy gives the highest priority to unadjusted quoted prices in active markets for identical assets or liabilities (Level 1 measurements) and the lowest priority to fair values derived from unobservable inputs (Level 3 measurements). Financial assets and liabilities are categorized in their entirety based on the lowest level of input that is significant to the fair value measurement. The three levels of the fair value hierarchy are as follows: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(unadjusted) in active markets for identical assets or liabilities that a company has the ability to access at the measurement date.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 inputs other than quoted prices included within Level 1 that are observable for similar assets or liabilities, either directly or indirectly.</w:t>
      </w:r>
    </w:p>
    <w:p>
      <w:pPr>
        <w:spacing w:after="0" w:line="11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Level 3 – unobservable inputs for the asset or liability. Unobservable inputs are used to measure fair value to the extent that observable inputs are not available, thereby allowing for situations in which there is little, if any, market activity for the asset or liability at the measurement date.</w:t>
      </w:r>
    </w:p>
    <w:p>
      <w:pPr>
        <w:spacing w:after="0" w:line="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primarily used quoted market prices and other observable market pricing information (exclusive of any purchase accounting adjustments) in valuing cash and cash equivalents, long-term debt outstanding, and assets of the qualified pension plan and the postretirement benefits other than pensions required to be recorded and/or disclosed at fair value. The Company uses prices and inputs that are current as of the measurement date, and recognizes transfers between levels at either the actual date of an event or a change in circumstance that caused the transfer.</w:t>
      </w:r>
    </w:p>
    <w:p>
      <w:pPr>
        <w:spacing w:after="0" w:line="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Net Regulated Operations Plant. </w:t>
      </w:r>
      <w:r>
        <w:rPr>
          <w:rFonts w:ascii="Times New Roman" w:cs="Times New Roman" w:eastAsia="Times New Roman" w:hAnsi="Times New Roman"/>
          <w:sz w:val="18"/>
          <w:szCs w:val="18"/>
          <w:color w:val="auto"/>
        </w:rPr>
        <w:t>Net regulated operations plant includes gas plant at original cost, less the accumulated provision for depreciation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amortization, plus any unamortized balance of acquisition adjustments. Original cost generally includes contracted services, material, payroll, and related costs such as taxes and certain benefits, general and administrative expenses applicable to construction efforts, and an allowance for funds used during construction, less contributions in aid of construction. Aligned with regulatory treatment, when plant is retired, the cost of such plant, net of any salvage value, is charged to accumulated depreciation. See also </w:t>
      </w: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xml:space="preserve"> below.</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i w:val="1"/>
          <w:iCs w:val="1"/>
          <w:color w:val="auto"/>
        </w:rPr>
        <w:t xml:space="preserve">Other Property and Investments. </w:t>
      </w:r>
      <w:r>
        <w:rPr>
          <w:rFonts w:ascii="Times New Roman" w:cs="Times New Roman" w:eastAsia="Times New Roman" w:hAnsi="Times New Roman"/>
          <w:sz w:val="18"/>
          <w:szCs w:val="18"/>
          <w:color w:val="auto"/>
        </w:rPr>
        <w:t>Other property and investments on Southwest Gas’ and the Company’s Consolidated Balance Sheets includes: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0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1020" w:type="dxa"/>
            <w:vAlign w:val="bottom"/>
            <w:tcBorders>
              <w:bottom w:val="single" w:sz="8" w:color="auto"/>
            </w:tcBorders>
          </w:tcPr>
          <w:p>
            <w:pPr>
              <w:spacing w:after="0"/>
              <w:rPr>
                <w:sz w:val="20"/>
                <w:szCs w:val="20"/>
                <w:color w:val="auto"/>
              </w:rPr>
            </w:pPr>
          </w:p>
        </w:tc>
      </w:tr>
      <w:tr>
        <w:trPr>
          <w:trHeight w:val="221"/>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2023</w:t>
            </w:r>
          </w:p>
        </w:tc>
      </w:tr>
      <w:tr>
        <w:trPr>
          <w:trHeight w:val="221"/>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surrender value of COLI policies</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155,199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146,546</w:t>
            </w:r>
          </w:p>
        </w:tc>
      </w:tr>
      <w:tr>
        <w:trPr>
          <w:trHeight w:val="227"/>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property</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6,112</w:t>
            </w:r>
          </w:p>
        </w:tc>
      </w:tr>
      <w:tr>
        <w:trPr>
          <w:trHeight w:val="221"/>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Southwest Gas Corporation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159,678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152,658</w:t>
            </w:r>
          </w:p>
        </w:tc>
      </w:tr>
      <w:tr>
        <w:trPr>
          <w:trHeight w:val="227"/>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Non-regulated property, equipment, and intangibles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1,730,712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1,752,094</w:t>
            </w:r>
          </w:p>
        </w:tc>
      </w:tr>
      <w:tr>
        <w:trPr>
          <w:trHeight w:val="227"/>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Non-regulated accumulated provision for depreciation and amortization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(740,569)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(675,632)</w:t>
            </w:r>
          </w:p>
        </w:tc>
      </w:tr>
      <w:tr>
        <w:trPr>
          <w:trHeight w:val="227"/>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property and investments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41,327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37,220</w:t>
            </w:r>
          </w:p>
        </w:tc>
      </w:tr>
      <w:tr>
        <w:trPr>
          <w:trHeight w:val="246"/>
        </w:trPr>
        <w:tc>
          <w:tcPr>
            <w:tcW w:w="80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Southwest Gas Holdings, Inc.</w:t>
            </w: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1,191,148</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1,266,340</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Included in the table above are the net cash surrender values of COLI policies. These life insurance policies on members of management and other key employees are used by Southwest Gas to indemnify itself against the loss of talent, expertise, and knowledge, as well as to provide indirect funding for certain nonqualified benefit plans. The term non-regulated in regard to assets and related balances in the table above is in reference to the non-rate regulated operations of Centuri.</w:t>
      </w:r>
    </w:p>
    <w:p>
      <w:pPr>
        <w:spacing w:after="0" w:line="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Intangible assets (other than goodwill) are amortized using the straight-line method to reflect the pattern of economic benefits consumed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the estimated periods benefited. The recoverability of intangible assets is evaluated when events or circumstances indicate that a revision of estimated useful lives is warranted or that an intangible asset may be impaired. These intangible assets are included in Other property and investments on the Company’s Consolidated Balance Sheets. Centuri’s intangible assets (other than goodwill) have finite lives and are associated with businesses previously acquired. The balances at December 31, 2024 and 2023, respectively, were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7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December 31, 2024</w:t>
            </w: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r>
      <w:tr>
        <w:trPr>
          <w:trHeight w:val="176"/>
        </w:trPr>
        <w:tc>
          <w:tcPr>
            <w:tcW w:w="5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gridSpan w:val="2"/>
          </w:tcPr>
          <w:p>
            <w:pPr>
              <w:jc w:val="center"/>
              <w:ind w:right="340"/>
              <w:spacing w:after="0" w:line="176" w:lineRule="exact"/>
              <w:rPr>
                <w:sz w:val="20"/>
                <w:szCs w:val="20"/>
                <w:color w:val="auto"/>
              </w:rPr>
            </w:pPr>
            <w:r>
              <w:rPr>
                <w:rFonts w:ascii="Times New Roman" w:cs="Times New Roman" w:eastAsia="Times New Roman" w:hAnsi="Times New Roman"/>
                <w:sz w:val="18"/>
                <w:szCs w:val="18"/>
                <w:color w:val="auto"/>
                <w:w w:val="99"/>
              </w:rPr>
              <w:t>Gross Carrying</w:t>
            </w:r>
          </w:p>
        </w:tc>
        <w:tc>
          <w:tcPr>
            <w:tcW w:w="140" w:type="dxa"/>
            <w:vAlign w:val="bottom"/>
          </w:tcPr>
          <w:p>
            <w:pPr>
              <w:spacing w:after="0"/>
              <w:rPr>
                <w:sz w:val="15"/>
                <w:szCs w:val="15"/>
                <w:color w:val="auto"/>
              </w:rPr>
            </w:pPr>
          </w:p>
        </w:tc>
        <w:tc>
          <w:tcPr>
            <w:tcW w:w="170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w w:val="97"/>
              </w:rPr>
              <w:t>Accumulated</w:t>
            </w:r>
          </w:p>
        </w:tc>
        <w:tc>
          <w:tcPr>
            <w:tcW w:w="260" w:type="dxa"/>
            <w:vAlign w:val="bottom"/>
          </w:tcPr>
          <w:p>
            <w:pPr>
              <w:spacing w:after="0"/>
              <w:rPr>
                <w:sz w:val="15"/>
                <w:szCs w:val="15"/>
                <w:color w:val="auto"/>
              </w:rPr>
            </w:pPr>
          </w:p>
        </w:tc>
        <w:tc>
          <w:tcPr>
            <w:tcW w:w="1500" w:type="dxa"/>
            <w:vAlign w:val="bottom"/>
          </w:tcPr>
          <w:p>
            <w:pPr>
              <w:jc w:val="right"/>
              <w:ind w:right="331"/>
              <w:spacing w:after="0" w:line="176" w:lineRule="exact"/>
              <w:rPr>
                <w:sz w:val="20"/>
                <w:szCs w:val="20"/>
                <w:color w:val="auto"/>
              </w:rPr>
            </w:pPr>
            <w:r>
              <w:rPr>
                <w:rFonts w:ascii="Times New Roman" w:cs="Times New Roman" w:eastAsia="Times New Roman" w:hAnsi="Times New Roman"/>
                <w:sz w:val="18"/>
                <w:szCs w:val="18"/>
                <w:color w:val="auto"/>
              </w:rPr>
              <w:t>Net Carrying</w:t>
            </w:r>
          </w:p>
        </w:tc>
      </w:tr>
      <w:tr>
        <w:trPr>
          <w:trHeight w:val="232"/>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20" w:type="dxa"/>
            <w:vAlign w:val="bottom"/>
          </w:tcPr>
          <w:p>
            <w:pPr>
              <w:spacing w:after="0"/>
              <w:rPr>
                <w:sz w:val="20"/>
                <w:szCs w:val="20"/>
                <w:color w:val="auto"/>
              </w:rPr>
            </w:pPr>
          </w:p>
        </w:tc>
        <w:tc>
          <w:tcPr>
            <w:tcW w:w="16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Amount</w:t>
            </w:r>
          </w:p>
        </w:tc>
        <w:tc>
          <w:tcPr>
            <w:tcW w:w="140" w:type="dxa"/>
            <w:vAlign w:val="bottom"/>
          </w:tcPr>
          <w:p>
            <w:pPr>
              <w:spacing w:after="0"/>
              <w:rPr>
                <w:sz w:val="20"/>
                <w:szCs w:val="20"/>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Amortization</w:t>
            </w:r>
          </w:p>
        </w:tc>
        <w:tc>
          <w:tcPr>
            <w:tcW w:w="260" w:type="dxa"/>
            <w:vAlign w:val="bottom"/>
          </w:tcPr>
          <w:p>
            <w:pPr>
              <w:spacing w:after="0"/>
              <w:rPr>
                <w:sz w:val="20"/>
                <w:szCs w:val="20"/>
                <w:color w:val="auto"/>
              </w:rPr>
            </w:pPr>
          </w:p>
        </w:tc>
        <w:tc>
          <w:tcPr>
            <w:tcW w:w="1500" w:type="dxa"/>
            <w:vAlign w:val="bottom"/>
          </w:tcPr>
          <w:p>
            <w:pPr>
              <w:jc w:val="right"/>
              <w:ind w:right="491"/>
              <w:spacing w:after="0"/>
              <w:rPr>
                <w:sz w:val="20"/>
                <w:szCs w:val="20"/>
                <w:color w:val="auto"/>
              </w:rPr>
            </w:pPr>
            <w:r>
              <w:rPr>
                <w:rFonts w:ascii="Times New Roman" w:cs="Times New Roman" w:eastAsia="Times New Roman" w:hAnsi="Times New Roman"/>
                <w:sz w:val="18"/>
                <w:szCs w:val="18"/>
                <w:color w:val="auto"/>
              </w:rPr>
              <w:t>Amount</w:t>
            </w:r>
          </w:p>
        </w:tc>
      </w:tr>
      <w:tr>
        <w:trPr>
          <w:trHeight w:val="221"/>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389,918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(105,218)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284,700</w:t>
            </w:r>
          </w:p>
        </w:tc>
      </w:tr>
      <w:tr>
        <w:trPr>
          <w:trHeight w:val="227"/>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78,955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(22,754)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56,201</w:t>
            </w:r>
          </w:p>
        </w:tc>
      </w:tr>
      <w:tr>
        <w:trPr>
          <w:trHeight w:val="246"/>
        </w:trPr>
        <w:tc>
          <w:tcPr>
            <w:tcW w:w="5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468,873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(127,972)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340,901</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201"/>
        </w:trPr>
        <w:tc>
          <w:tcPr>
            <w:tcW w:w="5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27"/>
        </w:trPr>
        <w:tc>
          <w:tcPr>
            <w:tcW w:w="57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8"/>
              </w:rPr>
              <w:t>December 31, 2023</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r>
      <w:tr>
        <w:trPr>
          <w:trHeight w:val="221"/>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392,512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(85,212)</w:t>
            </w:r>
          </w:p>
        </w:tc>
        <w:tc>
          <w:tcPr>
            <w:tcW w:w="12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307,300</w:t>
            </w:r>
          </w:p>
        </w:tc>
      </w:tr>
      <w:tr>
        <w:trPr>
          <w:trHeight w:val="227"/>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79,408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61,748</w:t>
            </w:r>
          </w:p>
        </w:tc>
      </w:tr>
      <w:tr>
        <w:trPr>
          <w:trHeight w:val="221"/>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471,920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(102,872)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369,048</w:t>
            </w:r>
          </w:p>
        </w:tc>
      </w:tr>
      <w:tr>
        <w:trPr>
          <w:trHeight w:val="20"/>
        </w:trPr>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Collective amortization expense for these acquired intangible assets for the years ended December 31, 2024, 2023, and 2022 was $26.6 million, $26.7 million, and $29.8 million, respectively. The weighted-average amortization periods for customer relationships and trade names and trademarks are 19 years and 15 years,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future amortization of the above intangible assets for the next five years and thereafter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4"/>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26,566</w:t>
            </w:r>
          </w:p>
        </w:tc>
      </w:tr>
      <w:tr>
        <w:trPr>
          <w:trHeight w:val="254"/>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26,349</w:t>
            </w:r>
          </w:p>
        </w:tc>
      </w:tr>
      <w:tr>
        <w:trPr>
          <w:trHeight w:val="254"/>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25,994</w:t>
            </w:r>
          </w:p>
        </w:tc>
      </w:tr>
      <w:tr>
        <w:trPr>
          <w:trHeight w:val="254"/>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25,678</w:t>
            </w:r>
          </w:p>
        </w:tc>
      </w:tr>
      <w:tr>
        <w:trPr>
          <w:trHeight w:val="254"/>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25,678</w:t>
            </w:r>
          </w:p>
        </w:tc>
      </w:tr>
      <w:tr>
        <w:trPr>
          <w:trHeight w:val="254"/>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210,636</w:t>
            </w:r>
          </w:p>
        </w:tc>
      </w:tr>
      <w:tr>
        <w:trPr>
          <w:trHeight w:val="246"/>
        </w:trPr>
        <w:tc>
          <w:tcPr>
            <w:tcW w:w="7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340,901</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b w:val="1"/>
          <w:bCs w:val="1"/>
          <w:color w:val="auto"/>
        </w:rPr>
        <w:t>Note 2 - Regulated Operations Plant and Leases</w:t>
      </w:r>
      <w:r>
        <w:rPr>
          <w:rFonts w:ascii="Times New Roman" w:cs="Times New Roman" w:eastAsia="Times New Roman" w:hAnsi="Times New Roman"/>
          <w:sz w:val="18"/>
          <w:szCs w:val="18"/>
          <w:color w:val="auto"/>
        </w:rPr>
        <w:t xml:space="preserve"> for additional information regarding natural gas distribution intangible assets</w:t>
      </w:r>
      <w:r>
        <w:rPr>
          <w:rFonts w:ascii="Times New Roman" w:cs="Times New Roman" w:eastAsia="Times New Roman" w:hAnsi="Times New Roman"/>
          <w:sz w:val="18"/>
          <w:szCs w:val="18"/>
          <w:b w:val="1"/>
          <w:bCs w:val="1"/>
          <w:color w:val="auto"/>
        </w:rPr>
        <w:t>.</w:t>
      </w:r>
    </w:p>
    <w:p>
      <w:pPr>
        <w:spacing w:after="0" w:line="11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For purposes of reporting consolidated cash flows, cash and cash equivalents include cash on hand, money market funds,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instruments with original maturities of three months or less. Such investments are carried at cost, which approximates fair value. Cash and cash equivalents of the Company include $64.3 million and</w:t>
      </w:r>
    </w:p>
    <w:p>
      <w:pPr>
        <w:sectPr>
          <w:pgSz w:w="11900" w:h="16838" w:orient="portrait"/>
          <w:cols w:equalWidth="0" w:num="1">
            <w:col w:w="11240"/>
          </w:cols>
          <w:pgMar w:left="320" w:top="1136"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type w:val="continuous"/>
        </w:sectPr>
      </w:pPr>
    </w:p>
    <w:bookmarkStart w:id="65" w:name="page66"/>
    <w:bookmarkEnd w:id="65"/>
    <w:p>
      <w:pPr>
        <w:jc w:val="both"/>
        <w:spacing w:after="0" w:line="263" w:lineRule="auto"/>
        <w:rPr>
          <w:sz w:val="20"/>
          <w:szCs w:val="20"/>
          <w:color w:val="auto"/>
        </w:rPr>
      </w:pPr>
      <w:r>
        <w:rPr>
          <w:rFonts w:ascii="Times New Roman" w:cs="Times New Roman" w:eastAsia="Times New Roman" w:hAnsi="Times New Roman"/>
          <w:sz w:val="18"/>
          <w:szCs w:val="18"/>
          <w:color w:val="auto"/>
        </w:rPr>
        <w:t>$48.9 million of money market fund investments at December 31, 2024 and 2023, respectively. Of these amounts, $48.8 million and $38.6 million at December 31, 2024 and 2023, respectively, were held by Southwest Gas. The money market fund investments were acquired and are generally redeemable at their net asset value.</w:t>
      </w:r>
    </w:p>
    <w:p>
      <w:pPr>
        <w:spacing w:after="0" w:line="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Noncash investing activities for the Company and Southwest Gas include capital expenditures that were not yet paid as of year end, thereby remaining in accounts payable, the amounts related to which decreased by approximately $8.7 million and $6.1 million, for the Company and Southwest Gas, respectively during the year ended December 31, 2024; decreased $17.1 million and $20.9 million, for the Company and Southwest Gas, respectively, during the year ended December 31, 2023; and, increased $23.4 million and $19.7 million, for the Company and Southwest Gas, respectively, during the year ended December 31, 2022. Additionally for Southwest Gas, noncash investing activities include customer advances applied as contributions toward utility construction activity, and such amounts were not significant for the periods presented herein. Also, see </w:t>
      </w:r>
      <w:r>
        <w:rPr>
          <w:rFonts w:ascii="Times New Roman" w:cs="Times New Roman" w:eastAsia="Times New Roman" w:hAnsi="Times New Roman"/>
          <w:sz w:val="18"/>
          <w:szCs w:val="18"/>
          <w:b w:val="1"/>
          <w:bCs w:val="1"/>
          <w:color w:val="auto"/>
        </w:rPr>
        <w:t>Note 2 - Regulated Operations Plant and Leases</w:t>
      </w:r>
      <w:r>
        <w:rPr>
          <w:rFonts w:ascii="Times New Roman" w:cs="Times New Roman" w:eastAsia="Times New Roman" w:hAnsi="Times New Roman"/>
          <w:sz w:val="18"/>
          <w:szCs w:val="18"/>
          <w:color w:val="auto"/>
        </w:rPr>
        <w:t xml:space="preserve"> for information related to ROU assets obtained in exchange for lease liabilities, which are noncash investing and financing activities. ROU assets and lease liabilities are also subject to noncash impacts as a result of other factors, such as lease terminations and modifications.</w:t>
      </w:r>
    </w:p>
    <w:p>
      <w:pPr>
        <w:spacing w:after="0" w:line="8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Company and Southwest Gas expanded their presentation in 2024 to show the Change in short-term portion of credit facility and Repayment of short-term debt as separate line items within their Consolidated Statements of Cash Flows. The comparable prior-year periods have been updated to reflect this change.</w:t>
      </w:r>
    </w:p>
    <w:p>
      <w:pPr>
        <w:spacing w:after="0" w:line="6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Income Taxes. </w:t>
      </w:r>
      <w:r>
        <w:rPr>
          <w:rFonts w:ascii="Times New Roman" w:cs="Times New Roman" w:eastAsia="Times New Roman" w:hAnsi="Times New Roman"/>
          <w:sz w:val="17"/>
          <w:szCs w:val="17"/>
          <w:color w:val="auto"/>
        </w:rPr>
        <w:t>The asset and liability method of accounting is utilized for the recognition of income taxes. Under the asset and liability method, deferred tax</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anticipated to be recovered or settled. The effect on deferred tax assets and liabilities of a change in tax rates is recognized in the period that includes the enactment date. For regulatory and financial reporting purposes, ITCs related to gas utility operations are deferred and amortized over the life of related fixed assets. As of December 31, 2024, the Company had cumulative book earnings of approximately $106 million in its foreign jurisdiction. Management previously asserted and continues to assert that all the earnings of Centuri’s Canadian subsidiaries will be permanently reinvested in Canada. As a result, no U.S. deferred income taxes have been recorded related to cumulative foreign earnings.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FASB issued guidance to allow an accounting policy election of either (i) treating taxes attributable to future taxable income related to GILTI as a current period expense when incurred or (ii) recognizing deferred taxes for temporary differences expected to reverse as GILTI in future years. The Company elected to treat GILTI as a current period cost when incurred and has considered the estimated 2024 GILTI impact on its 2024 tax expense, which was immaterial.</w:t>
      </w:r>
    </w:p>
    <w:p>
      <w:pPr>
        <w:spacing w:after="0" w:line="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Deferred Purchased Gas Costs. </w:t>
      </w:r>
      <w:r>
        <w:rPr>
          <w:rFonts w:ascii="Times New Roman" w:cs="Times New Roman" w:eastAsia="Times New Roman" w:hAnsi="Times New Roman"/>
          <w:sz w:val="18"/>
          <w:szCs w:val="18"/>
          <w:color w:val="auto"/>
        </w:rPr>
        <w:t>The various regulatory commissions have established procedures to enable Southwest Gas to adjust billing rates for changes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cost of natural gas purchased. The difference between the current cost of gas purchased and the cost of gas recovered in billed rates is deferred. Generally, these deferred amounts are recovered or refunded within one year.</w:t>
      </w:r>
    </w:p>
    <w:p>
      <w:pPr>
        <w:spacing w:after="0" w:line="6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i w:val="1"/>
          <w:iCs w:val="1"/>
          <w:color w:val="auto"/>
        </w:rPr>
        <w:t>Prepaid and other current assets</w:t>
      </w:r>
      <w:r>
        <w:rPr>
          <w:rFonts w:ascii="Times New Roman" w:cs="Times New Roman" w:eastAsia="Times New Roman" w:hAnsi="Times New Roman"/>
          <w:sz w:val="18"/>
          <w:szCs w:val="18"/>
          <w:color w:val="auto"/>
        </w:rPr>
        <w:t>. Prepaid and other current assets for Southwest Gas and the Company include, among other things, gas pipe materials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supplies of $77.8 million and $83.4 million as of December 31, 2024 and 2023, respectively (carried at weighted average cost).</w:t>
      </w:r>
    </w:p>
    <w:p>
      <w:pPr>
        <w:spacing w:after="0" w:line="5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Held for sale. </w:t>
      </w:r>
      <w:r>
        <w:rPr>
          <w:rFonts w:ascii="Times New Roman" w:cs="Times New Roman" w:eastAsia="Times New Roman" w:hAnsi="Times New Roman"/>
          <w:sz w:val="18"/>
          <w:szCs w:val="18"/>
          <w:color w:val="auto"/>
        </w:rPr>
        <w:t>The Company and Southwest Gas recognize, when applicable, the assets and liabilities of a disposal group as held for sale in the period (i)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approved and committed to a plan to sell the disposal group, (ii) the disposal group is available for immediate sale in its present condition, (iii) an active program to locate a buyer and other actions to sell the disposal group have been initiated, (iv) it is unlikely that significant changes to the plan will be made or that the plan will be withdrawn. The Company and Southwest Gas initially measure a disposal group that is classified as held for sale at the lower of its carrying value or fair value less any costs to sell. Any loss resulting from this measurement is recognized in the period in which the held for sale criteria are met. Conversely, gains are not recognized on the sale of a disposal group until closing. Upon designation as held for sale, the Company and Southwest Gas stop recording depreciation expense and assess the fair value of the disposal group less any costs to sell at each reporting period, until it is no longer classified as held for sale.</w:t>
      </w:r>
    </w:p>
    <w:p>
      <w:pPr>
        <w:spacing w:after="0" w:line="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first quarter of 2023, the Company and Southwest Gas concluded certain assets associated with their previous corporate headquarters met the criteria to be classified as held for sale. As a result, the Company and Southwest Gas reclassified approximately $27 million from Other property and investments to Current assets held for sale on their respective Consolidated Balance Sheets in the first quarter of 2023. Also in 2023, the Company and Southwest Gas recorded an estimated loss of $5.2 million on the assets based upon an updated fair value less costs to sell, which was recorded in Other income (deductions). The sale was completed in January 2024.</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66" w:name="page67"/>
    <w:bookmarkEnd w:id="66"/>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As required by U.S. GAAP, goodwill is assessed for impairment annually, or more frequently, if circumstances indicate impairment to the carrying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goodwill may have occurred. The goodwill impairment analysis was conducted as of October 1st using a qualitative assessment, as permitted by U.S. GAAP. Management of the Company and Southwest Gas considered its reporting units and segments, determining that they remained consistent between periods presented below, and that no change was necessary with regard to the level at which goodwill is assessed for impairment. The Company and Southwest Gas determined that it is not more likely than not that the fair values of the Centuri and Southwest Gas reporting units were less than their carrying amounts in either 2024 or 2023, and therefore, no impairment was recorded in either year in regard to these entities.</w:t>
      </w:r>
    </w:p>
    <w:p>
      <w:pPr>
        <w:spacing w:after="0" w:line="7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In regard to MountainWest, a loss was recognized, primarily as a goodwill impairment of $449.6 million in the fourth quarter of 2022. As noted above, an additional $21 million loss was recorded in the first quarter of 2023.</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Goodwill in the Natural Gas Distribution and Utility Infrastructure Services segments is included in their respective Consolidated Balance Sheets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Natural Gas</w:t>
            </w:r>
          </w:p>
        </w:tc>
        <w:tc>
          <w:tcPr>
            <w:tcW w:w="14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Utility</w:t>
            </w:r>
          </w:p>
        </w:tc>
        <w:tc>
          <w:tcPr>
            <w:tcW w:w="200" w:type="dxa"/>
            <w:vAlign w:val="bottom"/>
          </w:tcPr>
          <w:p>
            <w:pPr>
              <w:spacing w:after="0"/>
              <w:rPr>
                <w:sz w:val="17"/>
                <w:szCs w:val="17"/>
                <w:color w:val="auto"/>
              </w:rPr>
            </w:pPr>
          </w:p>
        </w:tc>
        <w:tc>
          <w:tcPr>
            <w:tcW w:w="1100" w:type="dxa"/>
            <w:vAlign w:val="bottom"/>
            <w:vMerge w:val="restart"/>
          </w:tcPr>
          <w:p>
            <w:pPr>
              <w:jc w:val="right"/>
              <w:ind w:right="371"/>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174"/>
        </w:trPr>
        <w:tc>
          <w:tcPr>
            <w:tcW w:w="7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40"/>
              <w:spacing w:after="0" w:line="174" w:lineRule="exact"/>
              <w:rPr>
                <w:sz w:val="20"/>
                <w:szCs w:val="20"/>
                <w:color w:val="auto"/>
              </w:rPr>
            </w:pPr>
            <w:r>
              <w:rPr>
                <w:rFonts w:ascii="Times New Roman" w:cs="Times New Roman" w:eastAsia="Times New Roman" w:hAnsi="Times New Roman"/>
                <w:sz w:val="18"/>
                <w:szCs w:val="18"/>
                <w:color w:val="auto"/>
                <w:w w:val="99"/>
              </w:rPr>
              <w:t>Infrastructure</w:t>
            </w:r>
          </w:p>
        </w:tc>
        <w:tc>
          <w:tcPr>
            <w:tcW w:w="2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6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Distribution</w:t>
            </w:r>
          </w:p>
        </w:tc>
        <w:tc>
          <w:tcPr>
            <w:tcW w:w="140" w:type="dxa"/>
            <w:vAlign w:val="bottom"/>
          </w:tcPr>
          <w:p>
            <w:pPr>
              <w:spacing w:after="0"/>
              <w:rPr>
                <w:sz w:val="20"/>
                <w:szCs w:val="20"/>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Services</w:t>
            </w:r>
          </w:p>
        </w:tc>
        <w:tc>
          <w:tcPr>
            <w:tcW w:w="200" w:type="dxa"/>
            <w:vAlign w:val="bottom"/>
          </w:tcPr>
          <w:p>
            <w:pPr>
              <w:spacing w:after="0"/>
              <w:rPr>
                <w:sz w:val="20"/>
                <w:szCs w:val="20"/>
                <w:color w:val="auto"/>
              </w:rPr>
            </w:pPr>
          </w:p>
        </w:tc>
        <w:tc>
          <w:tcPr>
            <w:tcW w:w="11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Company</w:t>
            </w:r>
          </w:p>
        </w:tc>
        <w:tc>
          <w:tcPr>
            <w:tcW w:w="0" w:type="dxa"/>
            <w:vAlign w:val="bottom"/>
          </w:tcPr>
          <w:p>
            <w:pPr>
              <w:spacing w:after="0"/>
              <w:rPr>
                <w:sz w:val="1"/>
                <w:szCs w:val="1"/>
                <w:color w:val="auto"/>
              </w:rPr>
            </w:pPr>
          </w:p>
        </w:tc>
      </w:tr>
      <w:tr>
        <w:trPr>
          <w:trHeight w:val="221"/>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776,095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787,250</w:t>
            </w:r>
          </w:p>
        </w:tc>
        <w:tc>
          <w:tcPr>
            <w:tcW w:w="0" w:type="dxa"/>
            <w:vAlign w:val="bottom"/>
          </w:tcPr>
          <w:p>
            <w:pPr>
              <w:spacing w:after="0"/>
              <w:rPr>
                <w:sz w:val="1"/>
                <w:szCs w:val="1"/>
                <w:color w:val="auto"/>
              </w:rPr>
            </w:pPr>
          </w:p>
        </w:tc>
      </w:tr>
      <w:tr>
        <w:trPr>
          <w:trHeight w:val="227"/>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0" w:type="dxa"/>
            <w:vAlign w:val="bottom"/>
          </w:tcPr>
          <w:p>
            <w:pPr>
              <w:spacing w:after="0"/>
              <w:rPr>
                <w:sz w:val="1"/>
                <w:szCs w:val="1"/>
                <w:color w:val="auto"/>
              </w:rPr>
            </w:pPr>
          </w:p>
        </w:tc>
      </w:tr>
      <w:tr>
        <w:trPr>
          <w:trHeight w:val="221"/>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778,574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789,729</w:t>
            </w:r>
          </w:p>
        </w:tc>
        <w:tc>
          <w:tcPr>
            <w:tcW w:w="0" w:type="dxa"/>
            <w:vAlign w:val="bottom"/>
          </w:tcPr>
          <w:p>
            <w:pPr>
              <w:spacing w:after="0"/>
              <w:rPr>
                <w:sz w:val="1"/>
                <w:szCs w:val="1"/>
                <w:color w:val="auto"/>
              </w:rPr>
            </w:pPr>
          </w:p>
        </w:tc>
      </w:tr>
      <w:tr>
        <w:trPr>
          <w:trHeight w:val="227"/>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(8,528)</w:t>
            </w:r>
          </w:p>
        </w:tc>
        <w:tc>
          <w:tcPr>
            <w:tcW w:w="0" w:type="dxa"/>
            <w:vAlign w:val="bottom"/>
          </w:tcPr>
          <w:p>
            <w:pPr>
              <w:spacing w:after="0"/>
              <w:rPr>
                <w:sz w:val="1"/>
                <w:szCs w:val="1"/>
                <w:color w:val="auto"/>
              </w:rPr>
            </w:pPr>
          </w:p>
        </w:tc>
      </w:tr>
      <w:tr>
        <w:trPr>
          <w:trHeight w:val="246"/>
        </w:trPr>
        <w:tc>
          <w:tcPr>
            <w:tcW w:w="7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770,046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781,201</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Noncontrolling Interest</w:t>
      </w:r>
      <w:r>
        <w:rPr>
          <w:rFonts w:ascii="Times New Roman" w:cs="Times New Roman" w:eastAsia="Times New Roman" w:hAnsi="Times New Roman"/>
          <w:sz w:val="18"/>
          <w:szCs w:val="18"/>
          <w:color w:val="auto"/>
        </w:rPr>
        <w:t>. In connection with the Centuri IPO, the Company recorded a noncontrolling interest as part of equity in the Consolidated Balance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Sheet (associated with the interests held by the new investors in Centuri), and recognized the excess of the fair value of the Centuri IPO proceeds over the carrying value of the noncontrolling interest, in addition to a portion of AOCI relevant to the proportional interest of the noncontrolling parties in Centuri, within Additional paid-in capital. The Consolidated Statements of Income include multiple components of comprehensive income attributable to noncontrolling interests following the Centuri IPO. These amounts, including those distinguishable from net income attributed to these parties, are separately presented in the Consolidated Statements of Equity. Refer also to </w:t>
      </w:r>
      <w:r>
        <w:rPr>
          <w:rFonts w:ascii="Times New Roman" w:cs="Times New Roman" w:eastAsia="Times New Roman" w:hAnsi="Times New Roman"/>
          <w:sz w:val="18"/>
          <w:szCs w:val="18"/>
          <w:b w:val="1"/>
          <w:bCs w:val="1"/>
          <w:color w:val="auto"/>
        </w:rPr>
        <w:t>Note 15 - Dispositions</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Other Current Liabilities. </w:t>
      </w:r>
      <w:r>
        <w:rPr>
          <w:rFonts w:ascii="Times New Roman" w:cs="Times New Roman" w:eastAsia="Times New Roman" w:hAnsi="Times New Roman"/>
          <w:sz w:val="18"/>
          <w:szCs w:val="18"/>
          <w:color w:val="auto"/>
        </w:rPr>
        <w:t>Management recognizes in its balance sheets various liabilities that are expected to be settled through future cash payments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next twelve months, including certain regulatory mechanisms (refer to </w:t>
      </w:r>
      <w:r>
        <w:rPr>
          <w:rFonts w:ascii="Times New Roman" w:cs="Times New Roman" w:eastAsia="Times New Roman" w:hAnsi="Times New Roman"/>
          <w:sz w:val="18"/>
          <w:szCs w:val="18"/>
          <w:b w:val="1"/>
          <w:bCs w:val="1"/>
          <w:color w:val="auto"/>
        </w:rPr>
        <w:t>Note 5 - Regulatory Assets and Liabilities</w:t>
      </w:r>
      <w:r>
        <w:rPr>
          <w:rFonts w:ascii="Times New Roman" w:cs="Times New Roman" w:eastAsia="Times New Roman" w:hAnsi="Times New Roman"/>
          <w:sz w:val="18"/>
          <w:szCs w:val="18"/>
          <w:color w:val="auto"/>
        </w:rPr>
        <w:t xml:space="preserve">), customary accrued expenses for employee compensation and benefits, declared but unpaid dividends, and miscellaneous other accrued liabilities. Other current liabilities for the Company include $44.5 million and $44.4 million of dividends declared as of December 31, 2024 and 2023, respectively. Also included in the balance for the Company and Southwest Gas was $13.3 million and $87.6 million in accrued purchased gas costs as of December 31, 2024 and 2023, respectively. See also </w:t>
      </w:r>
      <w:r>
        <w:rPr>
          <w:rFonts w:ascii="Times New Roman" w:cs="Times New Roman" w:eastAsia="Times New Roman" w:hAnsi="Times New Roman"/>
          <w:sz w:val="18"/>
          <w:szCs w:val="18"/>
          <w:i w:val="1"/>
          <w:iCs w:val="1"/>
          <w:color w:val="auto"/>
        </w:rPr>
        <w:t xml:space="preserve">Deferred Purchased Gas Costs </w:t>
      </w:r>
      <w:r>
        <w:rPr>
          <w:rFonts w:ascii="Times New Roman" w:cs="Times New Roman" w:eastAsia="Times New Roman" w:hAnsi="Times New Roman"/>
          <w:sz w:val="18"/>
          <w:szCs w:val="18"/>
          <w:color w:val="auto"/>
        </w:rPr>
        <w:t>above.</w:t>
      </w:r>
    </w:p>
    <w:p>
      <w:pPr>
        <w:spacing w:after="0" w:line="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Accumulated Removal Costs. </w:t>
      </w:r>
      <w:r>
        <w:rPr>
          <w:rFonts w:ascii="Times New Roman" w:cs="Times New Roman" w:eastAsia="Times New Roman" w:hAnsi="Times New Roman"/>
          <w:sz w:val="18"/>
          <w:szCs w:val="18"/>
          <w:color w:val="auto"/>
        </w:rPr>
        <w:t>Approved regulatory practices allow Southwest Gas to include in depreciation expense a component intended to recover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removal costs associated with regulated operations plant retirements. In accordance with the SEC position on presentation of these amounts, management reclassifies estimated removal costs from Accumulated depreciation to Accumulated removal costs within the liabilities section of the Consolidated Balance Sheets. Management regularly updates the estimated accumulated removal costs as amounts fluctuate between periods depending on the level of replacement work performed (and actual cost experience) compared to the estimated cost of removal in rates.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See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Note 3 -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information related to revenue recognition for Southwest Gas and Centuri.</w:t>
      </w:r>
    </w:p>
    <w:p>
      <w:pPr>
        <w:spacing w:after="0" w:line="11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Intercompany Transactions. </w:t>
      </w:r>
      <w:r>
        <w:rPr>
          <w:rFonts w:ascii="Times New Roman" w:cs="Times New Roman" w:eastAsia="Times New Roman" w:hAnsi="Times New Roman"/>
          <w:sz w:val="18"/>
          <w:szCs w:val="18"/>
          <w:color w:val="auto"/>
        </w:rPr>
        <w:t>Centuri recognizes revenues generated from contracts with Southwest Gas (see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Note 13 - Segment Information</w:t>
      </w:r>
      <w:r>
        <w:rPr>
          <w:rFonts w:ascii="Times New Roman" w:cs="Times New Roman" w:eastAsia="Times New Roman" w:hAnsi="Times New Roman"/>
          <w:sz w:val="18"/>
          <w:szCs w:val="18"/>
          <w:color w:val="auto"/>
        </w:rPr>
        <w:t>). The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receivable balance, revenues, and associated profits are included in the consolidated financial statements of the Company and Southwest Gas, and are not eliminated during consolidation in accordance with accounting treatment for rate-regulated entities.</w:t>
      </w:r>
    </w:p>
    <w:p>
      <w:pPr>
        <w:spacing w:after="0" w:line="6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i w:val="1"/>
          <w:iCs w:val="1"/>
          <w:color w:val="auto"/>
        </w:rPr>
        <w:t>Utility Infrastructu</w:t>
      </w:r>
      <w:r>
        <w:rPr>
          <w:rFonts w:ascii="Times New Roman" w:cs="Times New Roman" w:eastAsia="Times New Roman" w:hAnsi="Times New Roman"/>
          <w:sz w:val="18"/>
          <w:szCs w:val="18"/>
          <w:b w:val="1"/>
          <w:bCs w:val="1"/>
          <w:i w:val="1"/>
          <w:iCs w:val="1"/>
          <w:color w:val="auto"/>
        </w:rPr>
        <w:t>r</w:t>
      </w:r>
      <w:r>
        <w:rPr>
          <w:rFonts w:ascii="Times New Roman" w:cs="Times New Roman" w:eastAsia="Times New Roman" w:hAnsi="Times New Roman"/>
          <w:sz w:val="18"/>
          <w:szCs w:val="18"/>
          <w:i w:val="1"/>
          <w:iCs w:val="1"/>
          <w:color w:val="auto"/>
        </w:rPr>
        <w:t xml:space="preserve">e Services Expenses. </w:t>
      </w:r>
      <w:r>
        <w:rPr>
          <w:rFonts w:ascii="Times New Roman" w:cs="Times New Roman" w:eastAsia="Times New Roman" w:hAnsi="Times New Roman"/>
          <w:sz w:val="18"/>
          <w:szCs w:val="18"/>
          <w:color w:val="auto"/>
        </w:rPr>
        <w:t>Centuri’s utility infrastructure services expenses in the Consolidated Statements of Income includes payroll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office and equipment rental costs, subcontractor expenses, training, job-related materials, gains and losses on equipment sales, and professional fees.</w:t>
      </w:r>
    </w:p>
    <w:p>
      <w:pPr>
        <w:spacing w:after="0" w:line="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Cost of Gas Sold. </w:t>
      </w:r>
      <w:r>
        <w:rPr>
          <w:rFonts w:ascii="Times New Roman" w:cs="Times New Roman" w:eastAsia="Times New Roman" w:hAnsi="Times New Roman"/>
          <w:sz w:val="18"/>
          <w:szCs w:val="18"/>
          <w:color w:val="auto"/>
        </w:rPr>
        <w:t>Components of net cost of gas sold include natural gas commodity costs (fixed-price and variable-rate), pipeline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capacity/transportation costs, and any actual settled costs of natural gas derivative instruments, where relevant. Also included are the net impacts of PGA deferrals and recoveries, which by their inclusion, result in net cost of gas sold overall that is comparable to amounts included in billed gas operating revenues. Differences between amounts incurred with suppliers,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t>transmission pipelines, etc. and amounts already included in customer rates, are temporarily deferred in PGA accounts pending inclusion in customer rates.</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Operations and Maintenance Expense. </w:t>
      </w:r>
      <w:r>
        <w:rPr>
          <w:rFonts w:ascii="Times New Roman" w:cs="Times New Roman" w:eastAsia="Times New Roman" w:hAnsi="Times New Roman"/>
          <w:sz w:val="18"/>
          <w:szCs w:val="18"/>
          <w:color w:val="auto"/>
        </w:rPr>
        <w:t>Operations and maintenance expense includes Southwest Gas’ operating and maintenance costs associated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serving utility customers and maintaining its distribution and transmission systems, uncollectible customer accounts expense, administrative and general salaries and expense, and employee benefits expense excluding relevant non-service cost components (that have been reclassified to Other income (deductions) due to requirements in U.S. GAAP), as well as legal expense (including injuries and damages), professional and other external contracted services, and other business expenses.</w:t>
      </w:r>
    </w:p>
    <w:p>
      <w:pPr>
        <w:spacing w:after="0" w:line="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Regulated operations plant depreciation is computed on the straight-line remaining life method at composite rates considered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sufficient to amortize costs over estimated service lives, including components which compensate for removal costs (net of salvage value), and retirements, as approved by the appropriate regulatory agency. When plant is retired from service, the original cost of plant, including cost of removal, less salvage, is charged to the accumulated provision for depreciation. See also discussion regarding </w:t>
      </w:r>
      <w:r>
        <w:rPr>
          <w:rFonts w:ascii="Times New Roman" w:cs="Times New Roman" w:eastAsia="Times New Roman" w:hAnsi="Times New Roman"/>
          <w:sz w:val="18"/>
          <w:szCs w:val="18"/>
          <w:i w:val="1"/>
          <w:iCs w:val="1"/>
          <w:color w:val="auto"/>
        </w:rPr>
        <w:t>Accumulated Removal Costs</w:t>
      </w:r>
      <w:r>
        <w:rPr>
          <w:rFonts w:ascii="Times New Roman" w:cs="Times New Roman" w:eastAsia="Times New Roman" w:hAnsi="Times New Roman"/>
          <w:sz w:val="18"/>
          <w:szCs w:val="18"/>
          <w:color w:val="auto"/>
        </w:rPr>
        <w:t xml:space="preserve"> above. Other regulatory assets, including acquisition adjustments, are amortized when appropriate, over time periods authorized by regulators. Non-regulated operations, including utility infrastructure services-related property and equipment, are depreciated on a straight-line method based on the estimated useful lives of the related assets. Costs and gains related to refunding regulated operations debt and debt issuance expenses are deferred and amortized over the weighted-average lives of the new issues and become a component of interest expense.</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AFUDC. </w:t>
      </w:r>
      <w:r>
        <w:rPr>
          <w:rFonts w:ascii="Times New Roman" w:cs="Times New Roman" w:eastAsia="Times New Roman" w:hAnsi="Times New Roman"/>
          <w:sz w:val="18"/>
          <w:szCs w:val="18"/>
          <w:color w:val="auto"/>
        </w:rPr>
        <w:t>AFUDC represents the cost of both debt and equity funds used to finance regulated operations plant construction. AFUDC is capitalized as part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cost of regulated operations plant. The debt portion of AFUDC is reported in the Company’s and Southwest Gas’ Consolidated Statements of Income as an offset to Net interest deductions and the equity portion is reported as Other income. Regulated operations plant construction costs, including AFUDC, are recoverable as part of authorized rates through depreciation when completed projects are placed into operation, and general rate relief is requested and granted. AFUDC, disaggregated by type, included in the Company’s and Southwest Gas’ Consolidated Statements of Income are presented in the table below:</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07"/>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AFUDC:</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Debt portion</w:t>
            </w: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3,126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6,851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3,535</w:t>
            </w:r>
          </w:p>
        </w:tc>
        <w:tc>
          <w:tcPr>
            <w:tcW w:w="0" w:type="dxa"/>
            <w:vAlign w:val="bottom"/>
          </w:tcPr>
          <w:p>
            <w:pPr>
              <w:spacing w:after="0"/>
              <w:rPr>
                <w:sz w:val="1"/>
                <w:szCs w:val="1"/>
                <w:color w:val="auto"/>
              </w:rPr>
            </w:pPr>
          </w:p>
        </w:tc>
      </w:tr>
      <w:tr>
        <w:trPr>
          <w:trHeight w:val="227"/>
        </w:trPr>
        <w:tc>
          <w:tcPr>
            <w:tcW w:w="6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Equity portion</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6,597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1,869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6"/>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AFUDC capitalized as part of regulated operations plant</w:t>
            </w: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9,723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8,720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3,535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AFUDC rate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74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6.76 %</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6.30 %</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2.64 %</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color w:val="auto"/>
        </w:rPr>
        <w:t>AFUDC related to MountainWest was not significant in 2023 or 2022 and is not reflected in the table above. Debt and equity AFUDC at Southwest Gas were impacted in 2023 and 2022 by the amount of short-term debt outstanding based on the regulatory formula for each component.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68" w:name="page69"/>
    <w:bookmarkEnd w:id="68"/>
    <w:p>
      <w:pPr>
        <w:jc w:val="both"/>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Other Income (Deductions). </w:t>
      </w:r>
      <w:r>
        <w:rPr>
          <w:rFonts w:ascii="Times New Roman" w:cs="Times New Roman" w:eastAsia="Times New Roman" w:hAnsi="Times New Roman"/>
          <w:sz w:val="18"/>
          <w:szCs w:val="18"/>
          <w:color w:val="auto"/>
        </w:rPr>
        <w:t>The following table provides the composition of significant items included in Other income (deductions) on the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of Income: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2022</w:t>
            </w:r>
          </w:p>
        </w:tc>
      </w:tr>
      <w:tr>
        <w:trPr>
          <w:trHeight w:val="20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Southwest Gas Corporation:</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7"/>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COLI policies</w:t>
            </w: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w:t>
            </w:r>
          </w:p>
        </w:tc>
      </w:tr>
      <w:tr>
        <w:trPr>
          <w:trHeight w:val="227"/>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16,183</w:t>
            </w:r>
          </w:p>
        </w:tc>
      </w:tr>
      <w:tr>
        <w:trPr>
          <w:trHeight w:val="227"/>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AFUDC</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Non-service components of net periodic benefit cost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r>
      <w:tr>
        <w:trPr>
          <w:trHeight w:val="227"/>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Miscellaneous expense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(16,916)</w:t>
            </w:r>
          </w:p>
        </w:tc>
      </w:tr>
      <w:tr>
        <w:trPr>
          <w:trHeight w:val="221"/>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Southwest Gas Corporation – total other income (deductions)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54,276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70,661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(6,884)</w:t>
            </w:r>
          </w:p>
        </w:tc>
      </w:tr>
      <w:tr>
        <w:trPr>
          <w:trHeight w:val="20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Centuri, MountainWest, and Southwest Gas Holdings, Inc.:</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7"/>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transaction gain (loss)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r>
      <w:tr>
        <w:trPr>
          <w:trHeight w:val="227"/>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AFUDC</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27"/>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in earnings of unconsolidated investments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w:t>
            </w:r>
          </w:p>
        </w:tc>
      </w:tr>
      <w:tr>
        <w:trPr>
          <w:trHeight w:val="227"/>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Miscellaneous income and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w:t>
            </w:r>
          </w:p>
        </w:tc>
      </w:tr>
      <w:tr>
        <w:trPr>
          <w:trHeight w:val="227"/>
        </w:trPr>
        <w:tc>
          <w:tcPr>
            <w:tcW w:w="7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Corporate and administrative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46"/>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Southwest Gas Holdings, Inc. - total other income (deductions)</w:t>
            </w: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71,305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(6,189)</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Included in the table above is the change in COLI policies (including net death benefits recognized, where relevant). Current tax regulations provide for tax-free treatment of life insurance (death benefit) proceeds. Therefore, changes in the cash surrender value components of COLI policies, as they progress towards the ultimate death benefits, are also recorded without tax consequences.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Interest income primarily relates to Southwest Gas’ regulatory asset balances, including its deferred purchased gas cost mechanisms, the combined balance of which ranged from an asset balance of $553 million as of December 31, 2023 to a net liability balance of $228 million as of December 31, 2024. Interest income is earned on asset balances and interest expense is incurred on liability balances. In regard to net periodic benefit cost, refer to </w:t>
      </w:r>
      <w:r>
        <w:rPr>
          <w:rFonts w:ascii="Times New Roman" w:cs="Times New Roman" w:eastAsia="Times New Roman" w:hAnsi="Times New Roman"/>
          <w:sz w:val="18"/>
          <w:szCs w:val="18"/>
          <w:b w:val="1"/>
          <w:bCs w:val="1"/>
          <w:color w:val="auto"/>
        </w:rPr>
        <w:t>Note 11 - Pension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Other Postretirement Benefits</w:t>
      </w:r>
      <w:r>
        <w:rPr>
          <w:rFonts w:ascii="Times New Roman" w:cs="Times New Roman" w:eastAsia="Times New Roman" w:hAnsi="Times New Roman"/>
          <w:sz w:val="18"/>
          <w:szCs w:val="18"/>
          <w:color w:val="auto"/>
        </w:rPr>
        <w:t>. Miscellaneous expense for Southwest Gas includes a variety of items, not limited to, but including where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reserves for uncompleted software projects and the reduction in value of Southwest Gas’ previous corporate campus property (discussed above).</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In managing its natural gas supply portfolios, Southwest Gas has historically entered into fixed- and variable-price contracts, which qualify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derivatives. The fixed-price contracts, firm commitments to purchase a fixed amount of gas in the future at a fixed price, qualify for the normal purchases and normal sales exception that is allowed for contracts that are probable of delivery in the normal course of business, and are exempt from fair value reporting. The variable-price contracts qualify as derivative instruments; however, because the contract price is the prevailing price at the future transaction date, no fair value adjustment is required. Southwest Gas does not utilize derivative financial instruments for speculative purposes, nor does it have trading operations.</w:t>
      </w:r>
    </w:p>
    <w:p>
      <w:pPr>
        <w:spacing w:after="0" w:line="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Foreign Currency Translation and Transactions. </w:t>
      </w:r>
      <w:r>
        <w:rPr>
          <w:rFonts w:ascii="Times New Roman" w:cs="Times New Roman" w:eastAsia="Times New Roman" w:hAnsi="Times New Roman"/>
          <w:sz w:val="18"/>
          <w:szCs w:val="18"/>
          <w:color w:val="auto"/>
        </w:rPr>
        <w:t>Foreign currency-denominated assets and liabilities of consolidated subsidiaries are translated into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dollars at exchange rates existing at the respective balance sheet dates. Translation adjustments resulting from fluctuations in exchange rates are recorded as a separate component of Other comprehensive income and accumulations thereof within stockholders’ equity. Results of operations of foreign subsidiaries are translated using the monthly weighted-average exchange rates during the respective periods. Gains and losses resulting from foreign currency transactions are included in Other income and (expenses) of the Company. Gains and losses resulting from intercompany foreign currency transactions that are of a long-term investment nature are reported in Other comprehensive income, if applicable.</w:t>
      </w:r>
    </w:p>
    <w:p>
      <w:pPr>
        <w:spacing w:after="0" w:line="7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EPS. </w:t>
      </w:r>
      <w:r>
        <w:rPr>
          <w:rFonts w:ascii="Times New Roman" w:cs="Times New Roman" w:eastAsia="Times New Roman" w:hAnsi="Times New Roman"/>
          <w:sz w:val="18"/>
          <w:szCs w:val="18"/>
          <w:color w:val="auto"/>
        </w:rPr>
        <w:t>Basic EPS in each period of this report were calculated by dividing net income (loss) attributable to the Company by the weighted-average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during those periods. Diluted EPS includes additional weighted-average common stock</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69" w:name="page70"/>
    <w:bookmarkEnd w:id="69"/>
    <w:p>
      <w:pPr>
        <w:spacing w:after="0" w:line="278" w:lineRule="auto"/>
        <w:rPr>
          <w:sz w:val="20"/>
          <w:szCs w:val="20"/>
          <w:color w:val="auto"/>
        </w:rPr>
      </w:pPr>
      <w:r>
        <w:rPr>
          <w:rFonts w:ascii="Times New Roman" w:cs="Times New Roman" w:eastAsia="Times New Roman" w:hAnsi="Times New Roman"/>
          <w:sz w:val="18"/>
          <w:szCs w:val="18"/>
          <w:color w:val="auto"/>
        </w:rPr>
        <w:t>equivalents (performance share units and restricted stock units), if dilutive. Unless otherwise noted, the term EPS refers to Basic EPS. A reconciliation of the denominator used in Basic and Diluted EPS calculations is shown in the following table:</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320" w:type="dxa"/>
            <w:vAlign w:val="bottom"/>
            <w:tcBorders>
              <w:bottom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2022</w:t>
            </w:r>
          </w:p>
        </w:tc>
      </w:tr>
      <w:tr>
        <w:trPr>
          <w:trHeight w:val="221"/>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basic shares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71,841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70,787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65,558</w:t>
            </w:r>
          </w:p>
        </w:tc>
      </w:tr>
      <w:tr>
        <w:trPr>
          <w:trHeight w:val="22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7"/>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stock units (1)(2)</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6"/>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diluted shares</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72,032</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70,990</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65,558</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ind w:left="400" w:hanging="233"/>
        <w:spacing w:after="0"/>
        <w:tabs>
          <w:tab w:leader="none" w:pos="4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anti-dilutive restricted stock units for 2022 excluded from the calculation of diluted shares is 157,000.</w:t>
      </w:r>
    </w:p>
    <w:p>
      <w:pPr>
        <w:spacing w:after="0" w:line="25" w:lineRule="exact"/>
        <w:rPr>
          <w:rFonts w:ascii="Times New Roman" w:cs="Times New Roman" w:eastAsia="Times New Roman" w:hAnsi="Times New Roman"/>
          <w:sz w:val="16"/>
          <w:szCs w:val="16"/>
          <w:color w:val="auto"/>
        </w:rPr>
      </w:pPr>
    </w:p>
    <w:p>
      <w:pPr>
        <w:ind w:left="160" w:firstLine="7"/>
        <w:spacing w:after="0" w:line="265" w:lineRule="auto"/>
        <w:tabs>
          <w:tab w:leader="none" w:pos="387"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securities granted for 2024, 2023, and 2022 includes 158,000, 173,000, and 144,000 performance stock units, respectively, the total of which was derived by assuming that target performance will be achieved during the relevant performance period.</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Standards Updates</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Recently issued accounting pronouncement adopted in 2024:</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“Segment Reporting (Topic 280): Improvements to Reportable Segment Disclosures.” The update, among other amendments, requires disclosure of significant segment expenses that are regularly provided to the CODM and included within each reported measure of segment profit or loss, an amount and description of the composition of other segment items to reconcile to segment profit or loss, and the title and position of the entity’s CODM. The Company and Southwest Gas adopted this update in the fourth quarter of 2024, the impact of which is reflected in </w:t>
      </w:r>
      <w:r>
        <w:rPr>
          <w:rFonts w:ascii="Times New Roman" w:cs="Times New Roman" w:eastAsia="Times New Roman" w:hAnsi="Times New Roman"/>
          <w:sz w:val="18"/>
          <w:szCs w:val="18"/>
          <w:b w:val="1"/>
          <w:bCs w:val="1"/>
          <w:color w:val="auto"/>
        </w:rPr>
        <w:t>Note 13 - Segment Information</w:t>
      </w:r>
      <w:r>
        <w:rPr>
          <w:rFonts w:ascii="Times New Roman" w:cs="Times New Roman" w:eastAsia="Times New Roman" w:hAnsi="Times New Roman"/>
          <w:sz w:val="18"/>
          <w:szCs w:val="18"/>
          <w:color w:val="auto"/>
        </w:rPr>
        <w:t>, with no impact on results of operations, cash flows, or financial condition of the Company or Southwest Gas.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Recently issued accounting pronouncements that will be effective in 2025 and thereafter:</w:t>
      </w:r>
    </w:p>
    <w:p>
      <w:pPr>
        <w:spacing w:after="0" w:line="1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update, among other amendments, provides for enhanced income tax information primarily through changes in the rate reconciliation and income taxes paid information. The update is effective for annual periods beginning after December 15, 2024; early adoption is permitted. Management is evaluating the impacts this update might have on the Company’s and Southwest Gas’ disclosures.</w:t>
      </w:r>
    </w:p>
    <w:p>
      <w:pPr>
        <w:spacing w:after="0" w:line="7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November 2024, the FASB issued ASU 2024-03 “Income Statement - Reporting Comprehensive Income - Expense Disaggregation Disclosures (Subtopic 220-40): Disaggregation of Income Statement Expenses.” The update requires disclosure of disaggregated information about certain income statement expense line items in the notes to the financial statements. The update is effective for fiscal years beginning after December 15, 2026, and interim periods within fiscal years beginning after December 15, 2027; early adoption is permitted. The update should be applied prospectively; however, retrospective application is also permitted. Management is evaluating the impacts this update might have on the Company’s and Southwest Gas’ disclosures.</w:t>
      </w:r>
    </w:p>
    <w:p>
      <w:pPr>
        <w:spacing w:after="0" w:line="59"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Subsequent Events. </w:t>
      </w:r>
      <w:r>
        <w:rPr>
          <w:rFonts w:ascii="Times New Roman" w:cs="Times New Roman" w:eastAsia="Times New Roman" w:hAnsi="Times New Roman"/>
          <w:sz w:val="18"/>
          <w:szCs w:val="18"/>
          <w:color w:val="auto"/>
        </w:rPr>
        <w:t>Management monitors events occurring after the balance sheet date and prior to the issuance of the financial statements to determine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impacts, if any, of events on the financial statements to be issued or disclosures to be made, and has reflected them where appropriate.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Note 2 - Regulated Operations Plant and Leases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Regulated Operations Plant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 classes of regulated operations plant and their respective balances as of December 31, 2024 and 2023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2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940" w:type="dxa"/>
            <w:vAlign w:val="bottom"/>
            <w:tcBorders>
              <w:bottom w:val="single" w:sz="8" w:color="auto"/>
            </w:tcBorders>
            <w:shd w:val="clear" w:color="auto" w:fill="CCEEFF"/>
          </w:tcPr>
          <w:p>
            <w:pPr>
              <w:spacing w:after="0"/>
              <w:rPr>
                <w:sz w:val="19"/>
                <w:szCs w:val="19"/>
                <w:color w:val="auto"/>
              </w:rPr>
            </w:pPr>
          </w:p>
        </w:tc>
      </w:tr>
      <w:tr>
        <w:trPr>
          <w:trHeight w:val="221"/>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2023</w:t>
            </w:r>
          </w:p>
        </w:tc>
      </w:tr>
      <w:tr>
        <w:trPr>
          <w:trHeight w:val="20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Gas plant: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7"/>
        </w:trPr>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Storage</w:t>
            </w: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121,817</w:t>
            </w:r>
          </w:p>
        </w:tc>
        <w:tc>
          <w:tcPr>
            <w:tcW w:w="100" w:type="dxa"/>
            <w:vAlign w:val="bottom"/>
          </w:tcPr>
          <w:p>
            <w:pPr>
              <w:spacing w:after="0"/>
              <w:rPr>
                <w:sz w:val="19"/>
                <w:szCs w:val="19"/>
                <w:color w:val="auto"/>
              </w:rPr>
            </w:pPr>
          </w:p>
        </w:tc>
        <w:tc>
          <w:tcPr>
            <w:tcW w:w="48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104,527</w:t>
            </w:r>
          </w:p>
        </w:tc>
      </w:tr>
      <w:tr>
        <w:trPr>
          <w:trHeight w:val="227"/>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Transmission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447,719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402,591</w:t>
            </w:r>
          </w:p>
        </w:tc>
      </w:tr>
      <w:tr>
        <w:trPr>
          <w:trHeight w:val="227"/>
        </w:trPr>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Distribution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9,343,955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8,684,949</w:t>
            </w:r>
          </w:p>
        </w:tc>
      </w:tr>
      <w:tr>
        <w:trPr>
          <w:trHeight w:val="227"/>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587,423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539,188</w:t>
            </w:r>
          </w:p>
        </w:tc>
      </w:tr>
      <w:tr>
        <w:trPr>
          <w:trHeight w:val="227"/>
        </w:trPr>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Software and software-related intangibles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328,769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393,444</w:t>
            </w:r>
          </w:p>
        </w:tc>
      </w:tr>
      <w:tr>
        <w:trPr>
          <w:trHeight w:val="227"/>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15,663</w:t>
            </w:r>
          </w:p>
        </w:tc>
      </w:tr>
      <w:tr>
        <w:trPr>
          <w:trHeight w:val="221"/>
        </w:trPr>
        <w:tc>
          <w:tcPr>
            <w:tcW w:w="8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10,844,895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10,140,362</w:t>
            </w:r>
          </w:p>
        </w:tc>
      </w:tr>
      <w:tr>
        <w:trPr>
          <w:trHeight w:val="22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(2,914,457)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(2,822,669)</w:t>
            </w:r>
          </w:p>
        </w:tc>
      </w:tr>
      <w:tr>
        <w:trPr>
          <w:trHeight w:val="227"/>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178,647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200,549</w:t>
            </w:r>
          </w:p>
        </w:tc>
      </w:tr>
      <w:tr>
        <w:trPr>
          <w:trHeight w:val="246"/>
        </w:trPr>
        <w:tc>
          <w:tcPr>
            <w:tcW w:w="8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regulated operations plant</w:t>
            </w: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8,109,085</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7,518,242</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Regulated operations plant depreciation is computed on the straight-line remaining life method at composite rates considered sufficient to amortize costs over estimated service lives, including components which are intended to compensate for removal costs (net of salvage value), and retirements, based on the processes of regulatory proceedings and related regulatory commission approvals and/or mandates. In 2024 and 2023, annual regulated operations depreciation and amortization expense in regard to Southwest Gas averaged 2.6% of the original cost of depreciable and amortizable property, and 2.7% in 2022. Transmission and distribution plant are associated with the core natural gas delivery infrastructure, and combined, constitute the majority of gas plant. Annual regulated operations depreciation expense for Southwest Gas averaged approximately 2.2% of the original cost of depreciable transmission and distribution plant during the period 2022 through 2024. The decrease in Software and software-related intangibles was due to the removal of fully amortized software that is no longer in use.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expense on gas plant, including intangibles, was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2022</w:t>
            </w:r>
          </w:p>
        </w:tc>
      </w:tr>
      <w:tr>
        <w:trPr>
          <w:trHeight w:val="221"/>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243,857</w:t>
            </w:r>
          </w:p>
        </w:tc>
      </w:tr>
    </w:tbl>
    <w:p>
      <w:pPr>
        <w:spacing w:after="0" w:line="8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Included in the figures above is amortization of regulated operations intangibles of $19.3 million, $20.5 million, and $21 million for the years ended December 31, 2024, 2023, and 2022, respectively. The amounts above exclude regulatory asset and liability amortization.</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Determinations are made as to whether an arrangement is a lease at inception. ROU assets represent the right to use an underlying asset for the lease term; lease liabilities represent obligations to make lease payments arising from the lease. Operating lease ROU assets and lease liabilities are recognized at the commencement date based on the present value of lease payments over the lease term. When leases do not provide an implicit interest rate, an incremental borrowing rate based on information available at commencement is used in determining the present value of lease payments; an implicit rate, if readily determinable, is used. Lease terms utilized in the computations may include options to extend or terminate the lease when it is reasonably certain that the option will be exercised. When lease agreements include non-lease components, they are included with the lease component and accounted for as a single component, for all asset classes. Southwest Gas has no significant operating, finance, or short-term leases.</w:t>
      </w:r>
    </w:p>
    <w:p>
      <w:pPr>
        <w:spacing w:after="0" w:line="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Centuri has operating and finance leases for corporate and field offices, construction equipment, and transportation vehicles. Centuri is currently not a lessor in any significant lease arrangements. Centuri’s leases have remaining lease terms of up to 14 years. Some of these include options to extend the leases, generally for optional terms of up to 5 years, and some include options to terminate the leases within 1 year. Centuri’s equipment leases may include variable payment terms in addition to the fixed lease payments if machinery is used in excess of the standard work periods. These variable payments are not probable of occurring under the current operating environment and have not been included in consideration of lease payments. Short-term leases were not recorded on the balance sheet under the provisions of U.S. GAAP, as permitted. Due to the seasonality of Centuri’s business, expense for short-term leases will fluctuate throughout the year with higher expense incurred during the warmer months. Executed lease agreements that had not yet commenced were insignificant as of December 31, 2024.</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3"/>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lease expense for Centuri were as follows: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47"/>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2022</w:t>
            </w:r>
          </w:p>
        </w:tc>
      </w:tr>
      <w:tr>
        <w:trPr>
          <w:trHeight w:val="22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26,565</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17,881</w:t>
            </w:r>
          </w:p>
        </w:tc>
      </w:tr>
      <w:tr>
        <w:trPr>
          <w:trHeight w:val="234"/>
        </w:trPr>
        <w:tc>
          <w:tcPr>
            <w:tcW w:w="6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27"/>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7"/>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7,702</w:t>
            </w:r>
          </w:p>
        </w:tc>
      </w:tr>
      <w:tr>
        <w:trPr>
          <w:trHeight w:val="227"/>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r>
      <w:tr>
        <w:trPr>
          <w:trHeight w:val="221"/>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finance lease cost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9,222</w:t>
            </w:r>
          </w:p>
        </w:tc>
      </w:tr>
      <w:tr>
        <w:trPr>
          <w:trHeight w:val="22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103,465</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122,333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120,339</w:t>
            </w:r>
          </w:p>
        </w:tc>
      </w:tr>
      <w:tr>
        <w:trPr>
          <w:trHeight w:val="221"/>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139,173</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153,955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147,442</w:t>
            </w:r>
          </w:p>
        </w:tc>
      </w:tr>
      <w:tr>
        <w:trPr>
          <w:trHeight w:val="20"/>
        </w:trPr>
        <w:tc>
          <w:tcPr>
            <w:tcW w:w="6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Centuri leases for the years ended December 31, 2024, 2023, and 2022 was as follows:</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232"/>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2022</w:t>
            </w:r>
          </w:p>
        </w:tc>
      </w:tr>
      <w:tr>
        <w:trPr>
          <w:trHeight w:val="207"/>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7"/>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26,451</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21,908</w:t>
            </w:r>
          </w:p>
        </w:tc>
        <w:tc>
          <w:tcPr>
            <w:tcW w:w="10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16,725</w:t>
            </w:r>
          </w:p>
        </w:tc>
      </w:tr>
      <w:tr>
        <w:trPr>
          <w:trHeight w:val="227"/>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r>
      <w:tr>
        <w:trPr>
          <w:trHeight w:val="227"/>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11,985</w:t>
            </w:r>
          </w:p>
        </w:tc>
      </w:tr>
      <w:tr>
        <w:trPr>
          <w:trHeight w:val="254"/>
        </w:trPr>
        <w:tc>
          <w:tcPr>
            <w:tcW w:w="67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27"/>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lease obligations: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7"/>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22,653</w:t>
            </w:r>
          </w:p>
        </w:tc>
      </w:tr>
      <w:tr>
        <w:trPr>
          <w:trHeight w:val="233"/>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28,861</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information related to Centuri leases, including location in the Consolidated Balance Sheets, is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14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91"/>
              <w:spacing w:after="0"/>
              <w:rPr>
                <w:sz w:val="20"/>
                <w:szCs w:val="20"/>
                <w:color w:val="auto"/>
              </w:rPr>
            </w:pPr>
            <w:r>
              <w:rPr>
                <w:rFonts w:ascii="Times New Roman" w:cs="Times New Roman" w:eastAsia="Times New Roman" w:hAnsi="Times New Roman"/>
                <w:sz w:val="18"/>
                <w:szCs w:val="18"/>
                <w:color w:val="auto"/>
              </w:rPr>
              <w:t>December 31,</w:t>
            </w:r>
          </w:p>
        </w:tc>
        <w:tc>
          <w:tcPr>
            <w:tcW w:w="1360" w:type="dxa"/>
            <w:vAlign w:val="bottom"/>
            <w:tcBorders>
              <w:bottom w:val="single" w:sz="8" w:color="auto"/>
            </w:tcBorders>
          </w:tcPr>
          <w:p>
            <w:pPr>
              <w:spacing w:after="0"/>
              <w:rPr>
                <w:sz w:val="20"/>
                <w:szCs w:val="20"/>
                <w:color w:val="auto"/>
              </w:rPr>
            </w:pPr>
          </w:p>
        </w:tc>
      </w:tr>
      <w:tr>
        <w:trPr>
          <w:trHeight w:val="221"/>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rPr>
              <w:t>2023</w:t>
            </w:r>
          </w:p>
        </w:tc>
      </w:tr>
      <w:tr>
        <w:trPr>
          <w:trHeight w:val="207"/>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4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52"/>
        </w:trPr>
        <w:tc>
          <w:tcPr>
            <w:tcW w:w="71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property and investments</w:t>
            </w:r>
          </w:p>
        </w:tc>
        <w:tc>
          <w:tcPr>
            <w:tcW w:w="48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104,139</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118,448</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01"/>
        </w:trPr>
        <w:tc>
          <w:tcPr>
            <w:tcW w:w="7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27"/>
        </w:trPr>
        <w:tc>
          <w:tcPr>
            <w:tcW w:w="71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8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18,695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19,363</w:t>
            </w:r>
          </w:p>
        </w:tc>
      </w:tr>
      <w:tr>
        <w:trPr>
          <w:trHeight w:val="227"/>
        </w:trPr>
        <w:tc>
          <w:tcPr>
            <w:tcW w:w="71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Other deferred credits and other long-term liabilities</w:t>
            </w: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91,739</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105,215</w:t>
            </w:r>
          </w:p>
        </w:tc>
      </w:tr>
      <w:tr>
        <w:trPr>
          <w:trHeight w:val="246"/>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8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110,434</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124,578</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01"/>
        </w:trPr>
        <w:tc>
          <w:tcPr>
            <w:tcW w:w="7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27"/>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7"/>
        </w:trPr>
        <w:tc>
          <w:tcPr>
            <w:tcW w:w="7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property and investments</w:t>
            </w:r>
          </w:p>
        </w:tc>
        <w:tc>
          <w:tcPr>
            <w:tcW w:w="4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33,790</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43,525</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1"/>
        </w:trPr>
        <w:tc>
          <w:tcPr>
            <w:tcW w:w="7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7"/>
        </w:trPr>
        <w:tc>
          <w:tcPr>
            <w:tcW w:w="7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8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9,331</w:t>
            </w:r>
          </w:p>
        </w:tc>
        <w:tc>
          <w:tcPr>
            <w:tcW w:w="100" w:type="dxa"/>
            <w:vAlign w:val="bottom"/>
          </w:tcPr>
          <w:p>
            <w:pPr>
              <w:spacing w:after="0"/>
              <w:rPr>
                <w:sz w:val="19"/>
                <w:szCs w:val="19"/>
                <w:color w:val="auto"/>
              </w:rPr>
            </w:pPr>
          </w:p>
        </w:tc>
        <w:tc>
          <w:tcPr>
            <w:tcW w:w="64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11,370</w:t>
            </w:r>
          </w:p>
        </w:tc>
      </w:tr>
      <w:tr>
        <w:trPr>
          <w:trHeight w:val="227"/>
        </w:trPr>
        <w:tc>
          <w:tcPr>
            <w:tcW w:w="71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deferred credits and other long-term liabilities</w:t>
            </w: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15,009</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24,334</w:t>
            </w:r>
          </w:p>
        </w:tc>
      </w:tr>
      <w:tr>
        <w:trPr>
          <w:trHeight w:val="221"/>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4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24,340</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35,704</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1"/>
        </w:trPr>
        <w:tc>
          <w:tcPr>
            <w:tcW w:w="7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5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7"/>
        </w:trPr>
        <w:tc>
          <w:tcPr>
            <w:tcW w:w="4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Operating leases</w:t>
            </w:r>
          </w:p>
        </w:tc>
        <w:tc>
          <w:tcPr>
            <w:tcW w:w="5380" w:type="dxa"/>
            <w:vAlign w:val="bottom"/>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rPr>
              <w:t>6.72</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r>
      <w:tr>
        <w:trPr>
          <w:trHeight w:val="227"/>
        </w:trPr>
        <w:tc>
          <w:tcPr>
            <w:tcW w:w="4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Finance leases</w:t>
            </w:r>
          </w:p>
        </w:tc>
        <w:tc>
          <w:tcPr>
            <w:tcW w:w="5380" w:type="dxa"/>
            <w:vAlign w:val="bottom"/>
          </w:tcPr>
          <w:p>
            <w:pPr>
              <w:jc w:val="right"/>
              <w:ind w:right="711"/>
              <w:spacing w:after="0"/>
              <w:rPr>
                <w:sz w:val="20"/>
                <w:szCs w:val="20"/>
                <w:color w:val="auto"/>
              </w:rPr>
            </w:pPr>
            <w:r>
              <w:rPr>
                <w:rFonts w:ascii="Times New Roman" w:cs="Times New Roman" w:eastAsia="Times New Roman" w:hAnsi="Times New Roman"/>
                <w:sz w:val="18"/>
                <w:szCs w:val="18"/>
                <w:color w:val="auto"/>
              </w:rPr>
              <w:t>2.99</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54"/>
        </w:trPr>
        <w:tc>
          <w:tcPr>
            <w:tcW w:w="4540" w:type="dxa"/>
            <w:vAlign w:val="bottom"/>
            <w:shd w:val="clear" w:color="auto" w:fill="CCEEFF"/>
          </w:tcPr>
          <w:p>
            <w:pPr>
              <w:spacing w:after="0"/>
              <w:rPr>
                <w:sz w:val="22"/>
                <w:szCs w:val="22"/>
                <w:color w:val="auto"/>
              </w:rPr>
            </w:pPr>
          </w:p>
        </w:tc>
        <w:tc>
          <w:tcPr>
            <w:tcW w:w="53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27"/>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5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7"/>
        </w:trPr>
        <w:tc>
          <w:tcPr>
            <w:tcW w:w="4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Operating leases</w:t>
            </w:r>
          </w:p>
        </w:tc>
        <w:tc>
          <w:tcPr>
            <w:tcW w:w="5380" w:type="dxa"/>
            <w:vAlign w:val="bottom"/>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rPr>
              <w:t>5.05 %</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4.88 %</w:t>
            </w:r>
          </w:p>
        </w:tc>
      </w:tr>
      <w:tr>
        <w:trPr>
          <w:trHeight w:val="233"/>
        </w:trPr>
        <w:tc>
          <w:tcPr>
            <w:tcW w:w="4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Finance leases</w:t>
            </w:r>
          </w:p>
        </w:tc>
        <w:tc>
          <w:tcPr>
            <w:tcW w:w="5380" w:type="dxa"/>
            <w:vAlign w:val="bottom"/>
          </w:tcPr>
          <w:p>
            <w:pPr>
              <w:jc w:val="right"/>
              <w:ind w:right="711"/>
              <w:spacing w:after="0"/>
              <w:rPr>
                <w:sz w:val="20"/>
                <w:szCs w:val="20"/>
                <w:color w:val="auto"/>
              </w:rPr>
            </w:pPr>
            <w:r>
              <w:rPr>
                <w:rFonts w:ascii="Times New Roman" w:cs="Times New Roman" w:eastAsia="Times New Roman" w:hAnsi="Times New Roman"/>
                <w:sz w:val="18"/>
                <w:szCs w:val="18"/>
                <w:color w:val="auto"/>
              </w:rPr>
              <w:t>4.27 %</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4.02 %</w:t>
            </w:r>
          </w:p>
        </w:tc>
      </w:tr>
      <w:tr>
        <w:trPr>
          <w:trHeight w:val="878"/>
        </w:trPr>
        <w:tc>
          <w:tcPr>
            <w:tcW w:w="4540" w:type="dxa"/>
            <w:vAlign w:val="bottom"/>
          </w:tcPr>
          <w:p>
            <w:pPr>
              <w:spacing w:after="0"/>
              <w:rPr>
                <w:sz w:val="24"/>
                <w:szCs w:val="24"/>
                <w:color w:val="auto"/>
              </w:rPr>
            </w:pPr>
          </w:p>
        </w:tc>
        <w:tc>
          <w:tcPr>
            <w:tcW w:w="5380" w:type="dxa"/>
            <w:vAlign w:val="bottom"/>
          </w:tcPr>
          <w:p>
            <w:pPr>
              <w:jc w:val="right"/>
              <w:ind w:right="4111"/>
              <w:spacing w:after="0"/>
              <w:rPr>
                <w:sz w:val="20"/>
                <w:szCs w:val="20"/>
                <w:color w:val="auto"/>
              </w:rPr>
            </w:pPr>
            <w:r>
              <w:rPr>
                <w:rFonts w:ascii="Times New Roman" w:cs="Times New Roman" w:eastAsia="Times New Roman" w:hAnsi="Times New Roman"/>
                <w:sz w:val="18"/>
                <w:szCs w:val="18"/>
                <w:color w:val="auto"/>
              </w:rPr>
              <w:t>72</w:t>
            </w:r>
          </w:p>
        </w:tc>
        <w:tc>
          <w:tcPr>
            <w:tcW w:w="1320" w:type="dxa"/>
            <w:vAlign w:val="bottom"/>
          </w:tcPr>
          <w:p>
            <w:pPr>
              <w:spacing w:after="0"/>
              <w:rPr>
                <w:sz w:val="24"/>
                <w:szCs w:val="24"/>
                <w:color w:val="auto"/>
              </w:rPr>
            </w:pPr>
          </w:p>
        </w:tc>
      </w:tr>
      <w:tr>
        <w:trPr>
          <w:trHeight w:val="207"/>
        </w:trPr>
        <w:tc>
          <w:tcPr>
            <w:tcW w:w="4540" w:type="dxa"/>
            <w:vAlign w:val="bottom"/>
            <w:tcBorders>
              <w:bottom w:val="single" w:sz="8" w:color="9A9A9A"/>
            </w:tcBorders>
          </w:tcPr>
          <w:p>
            <w:pPr>
              <w:spacing w:after="0"/>
              <w:rPr>
                <w:sz w:val="17"/>
                <w:szCs w:val="17"/>
                <w:color w:val="auto"/>
              </w:rPr>
            </w:pPr>
          </w:p>
        </w:tc>
        <w:tc>
          <w:tcPr>
            <w:tcW w:w="5380" w:type="dxa"/>
            <w:vAlign w:val="bottom"/>
            <w:tcBorders>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3"/>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is a schedule of maturities of Centuri lease liabilities as of December 31, 2024:</w:t>
            </w:r>
          </w:p>
        </w:tc>
        <w:tc>
          <w:tcPr>
            <w:tcW w:w="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54"/>
        </w:trPr>
        <w:tc>
          <w:tcPr>
            <w:tcW w:w="20" w:type="dxa"/>
            <w:vAlign w:val="bottom"/>
          </w:tcPr>
          <w:p>
            <w:pPr>
              <w:spacing w:after="0"/>
              <w:rPr>
                <w:sz w:val="22"/>
                <w:szCs w:val="22"/>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20" w:type="dxa"/>
            <w:vAlign w:val="bottom"/>
          </w:tcPr>
          <w:p>
            <w:pPr>
              <w:spacing w:after="0"/>
              <w:rPr>
                <w:sz w:val="22"/>
                <w:szCs w:val="22"/>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tcPr>
          <w:p>
            <w:pPr>
              <w:spacing w:after="0"/>
              <w:rPr>
                <w:sz w:val="22"/>
                <w:szCs w:val="22"/>
                <w:color w:val="auto"/>
              </w:rPr>
            </w:pPr>
          </w:p>
        </w:tc>
        <w:tc>
          <w:tcPr>
            <w:tcW w:w="160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Finance Leases</w:t>
            </w:r>
          </w:p>
        </w:tc>
      </w:tr>
      <w:tr>
        <w:trPr>
          <w:trHeight w:val="221"/>
        </w:trPr>
        <w:tc>
          <w:tcPr>
            <w:tcW w:w="20" w:type="dxa"/>
            <w:vAlign w:val="bottom"/>
          </w:tcPr>
          <w:p>
            <w:pPr>
              <w:spacing w:after="0"/>
              <w:rPr>
                <w:sz w:val="19"/>
                <w:szCs w:val="19"/>
                <w:color w:val="auto"/>
              </w:rPr>
            </w:pPr>
          </w:p>
        </w:tc>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10,237</w:t>
            </w:r>
          </w:p>
        </w:tc>
      </w:tr>
      <w:tr>
        <w:trPr>
          <w:trHeight w:val="227"/>
        </w:trPr>
        <w:tc>
          <w:tcPr>
            <w:tcW w:w="20" w:type="dxa"/>
            <w:vAlign w:val="bottom"/>
          </w:tcPr>
          <w:p>
            <w:pPr>
              <w:spacing w:after="0"/>
              <w:rPr>
                <w:sz w:val="19"/>
                <w:szCs w:val="19"/>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7,623</w:t>
            </w:r>
          </w:p>
        </w:tc>
      </w:tr>
      <w:tr>
        <w:trPr>
          <w:trHeight w:val="227"/>
        </w:trPr>
        <w:tc>
          <w:tcPr>
            <w:tcW w:w="20" w:type="dxa"/>
            <w:vAlign w:val="bottom"/>
          </w:tcPr>
          <w:p>
            <w:pPr>
              <w:spacing w:after="0"/>
              <w:rPr>
                <w:sz w:val="19"/>
                <w:szCs w:val="19"/>
                <w:color w:val="auto"/>
              </w:rPr>
            </w:pPr>
          </w:p>
        </w:tc>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5,765</w:t>
            </w:r>
          </w:p>
        </w:tc>
      </w:tr>
      <w:tr>
        <w:trPr>
          <w:trHeight w:val="227"/>
        </w:trPr>
        <w:tc>
          <w:tcPr>
            <w:tcW w:w="20" w:type="dxa"/>
            <w:vAlign w:val="bottom"/>
          </w:tcPr>
          <w:p>
            <w:pPr>
              <w:spacing w:after="0"/>
              <w:rPr>
                <w:sz w:val="19"/>
                <w:szCs w:val="19"/>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w:t>
            </w:r>
          </w:p>
        </w:tc>
      </w:tr>
      <w:tr>
        <w:trPr>
          <w:trHeight w:val="227"/>
        </w:trPr>
        <w:tc>
          <w:tcPr>
            <w:tcW w:w="20" w:type="dxa"/>
            <w:vAlign w:val="bottom"/>
          </w:tcPr>
          <w:p>
            <w:pPr>
              <w:spacing w:after="0"/>
              <w:rPr>
                <w:sz w:val="19"/>
                <w:szCs w:val="19"/>
                <w:color w:val="auto"/>
              </w:rPr>
            </w:pPr>
          </w:p>
        </w:tc>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27"/>
        </w:trPr>
        <w:tc>
          <w:tcPr>
            <w:tcW w:w="20" w:type="dxa"/>
            <w:vAlign w:val="bottom"/>
          </w:tcPr>
          <w:p>
            <w:pPr>
              <w:spacing w:after="0"/>
              <w:rPr>
                <w:sz w:val="19"/>
                <w:szCs w:val="19"/>
                <w:color w:val="auto"/>
              </w:rPr>
            </w:pPr>
          </w:p>
        </w:tc>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34,478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21"/>
        </w:trPr>
        <w:tc>
          <w:tcPr>
            <w:tcW w:w="20" w:type="dxa"/>
            <w:vAlign w:val="bottom"/>
          </w:tcPr>
          <w:p>
            <w:pPr>
              <w:spacing w:after="0"/>
              <w:rPr>
                <w:sz w:val="19"/>
                <w:szCs w:val="19"/>
                <w:color w:val="auto"/>
              </w:rPr>
            </w:pPr>
          </w:p>
        </w:tc>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26,145</w:t>
            </w:r>
          </w:p>
        </w:tc>
      </w:tr>
      <w:tr>
        <w:trPr>
          <w:trHeight w:val="227"/>
        </w:trPr>
        <w:tc>
          <w:tcPr>
            <w:tcW w:w="20" w:type="dxa"/>
            <w:vAlign w:val="bottom"/>
          </w:tcPr>
          <w:p>
            <w:pPr>
              <w:spacing w:after="0"/>
              <w:rPr>
                <w:sz w:val="19"/>
                <w:szCs w:val="19"/>
                <w:color w:val="auto"/>
              </w:rPr>
            </w:pPr>
          </w:p>
        </w:tc>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19,498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w:t>
            </w:r>
          </w:p>
        </w:tc>
      </w:tr>
      <w:tr>
        <w:trPr>
          <w:trHeight w:val="246"/>
        </w:trPr>
        <w:tc>
          <w:tcPr>
            <w:tcW w:w="20" w:type="dxa"/>
            <w:vAlign w:val="bottom"/>
          </w:tcPr>
          <w:p>
            <w:pPr>
              <w:spacing w:after="0"/>
              <w:rPr>
                <w:sz w:val="20"/>
                <w:szCs w:val="20"/>
                <w:color w:val="auto"/>
              </w:rPr>
            </w:pPr>
          </w:p>
        </w:tc>
        <w:tc>
          <w:tcPr>
            <w:tcW w:w="7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110,434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24,340</w:t>
            </w:r>
          </w:p>
        </w:tc>
      </w:tr>
      <w:tr>
        <w:trPr>
          <w:trHeight w:val="20"/>
        </w:trPr>
        <w:tc>
          <w:tcPr>
            <w:tcW w:w="20" w:type="dxa"/>
            <w:vAlign w:val="bottom"/>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w:t>
      </w:r>
    </w:p>
    <w:p>
      <w:pPr>
        <w:spacing w:after="0" w:line="11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following information about the Company’s revenues is presented by segment. Southwest Gas encompasses the natural gas distribution segment and Centuri encompasses the utility infrastructure services segment.</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Natural Gas Distribution Segment</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Southwest Gas recognizes revenue when it satisfies its performance by transferring gas to the customer. Revenues also include the net impacts of margin tracker/decoupling accruals based on criteria in U.S. GAAP for rate-regulated entities associated with alternative revenue programs. Revenues from customer arrangements and from alternative revenue programs are described below.</w:t>
      </w:r>
    </w:p>
    <w:p>
      <w:pPr>
        <w:spacing w:after="0" w:line="6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Southwest Gas acts as an agent for state and local taxing authorities in the collection and remittance of a variety of taxes, including sales and use taxes and surcharges. These taxes are not included in Regulated operations revenues. Management uses the net classification method to report taxes collected from customers to be remitted to governmental authorities.</w:t>
      </w:r>
    </w:p>
    <w:p>
      <w:pPr>
        <w:spacing w:after="0" w:line="6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Southwest Gas generally offers two types of services to its customers: tariff sales and transportation–only service. Tariff sales encompass sales to many types of customers (primarily residential) under various rate schedules, subject to cost-of-service ratemaking, which is based on the rate-regulation of state commissions and the FERC. Southwest Gas provides both the commodity and the related distribution service to nearly all of its approximate 2.3 million customers, and only several hundred customers (who are eligible to secure their own gas) subscribe to transportation-only service. Natural gas is delivered and consumed by the customer simultaneously. The provision of service is represented by the turn of the meter dial and is the primary representation of the satisfaction of performance obligations of Southwest Gas. The amount billable via regulated rates (both volumetric and fixed monthly rates as part of rate design) corresponds to the value to the customer, and management believes that the amount billable (amount Southwest Gas has the right to invoice) is appropriate to utilize for purposes of recognizing revenue. Estimated amounts remaining unbilled since the last meter read date are restricted from being billed due only to the passage of time and therefore are also recognized for service provided through the balance sheet date. While natural gas service is typically recurring, there is generally not a contract term for utility service. Therefore, the contract term is not generally viewed to extend beyond the service provided to date, and customers can generally terminate service at will.</w:t>
      </w:r>
    </w:p>
    <w:p>
      <w:pPr>
        <w:spacing w:after="0" w:line="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Transportation-only service is also governed by tariff rate provisions. Transportation-only service is generally only available to very large customers under requirements of Southwest Gas’ various tariffs. With this service, customers secure their own gas supply and Southwest Gas provides transportation services to move the customer-supplied gas to the intended location. Southwest Gas concluded that transportation/transmission service is suitable to an “over time” recognition model. Rate structures under Southwest Gas’ regulation for transportation customers include a combination of volumetric charges and monthly “fixed” charges (including charges commonly referred to as capacity charges, demand charges, or reservation charges) as part of the rate design of regulated jurisdictions. These types of fixed charges represent a separate performance obligation associated with standing ready over the period of the month to deliver quantities of gas, regardless of whether the customer takes delivery of any quantity of gas. The performance obligations under these circumstances are satisfied over the course of the month under an output measure of progress based on time, which correlates to the period for which the charges are eligible to be invoiced.</w:t>
      </w:r>
    </w:p>
    <w:p>
      <w:pPr>
        <w:spacing w:after="0" w:line="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its regulation, Southwest Gas enters into negotiated rate contracts for those customers located in proximity to another pipeline, which pose a threat of bypassing its distribution system. Southwest Gas may also enter into similar contracts for customers otherwise able to satisfy their energy needs by means of alternative fuel to natural gas. Less than two dozen customers are party to contracts with rate components subject to negotiation. Many rate provisions and terms of service for these less common types of contracts are also subject to regulatory oversight and tariff provisions. The performance obligations for these customers are satisfied similarly to those for other customers by means of transporting/delivering natural gas to the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73" w:name="page74"/>
    <w:bookmarkEnd w:id="73"/>
    <w:p>
      <w:pPr>
        <w:jc w:val="both"/>
        <w:spacing w:after="0" w:line="258" w:lineRule="auto"/>
        <w:rPr>
          <w:sz w:val="20"/>
          <w:szCs w:val="20"/>
          <w:color w:val="auto"/>
        </w:rPr>
      </w:pPr>
      <w:r>
        <w:rPr>
          <w:rFonts w:ascii="Times New Roman" w:cs="Times New Roman" w:eastAsia="Times New Roman" w:hAnsi="Times New Roman"/>
          <w:sz w:val="18"/>
          <w:szCs w:val="18"/>
          <w:color w:val="auto"/>
        </w:rPr>
        <w:t>customer. Many or most of the rate components, and structures, for these types of customers are the same as those for similar customers without negotiated rate components; and the negotiated rates are within the parameters of the tariff guidelines. Furthermore, while some of these contracts include contract periods extending over time, including multiple years, as amounts billable under the contract are based on rates in effect for the customer for service provided to date, no significant financing component is deemed to exist.</w:t>
      </w:r>
    </w:p>
    <w:p>
      <w:pPr>
        <w:spacing w:after="0" w:line="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indicated above, revenues also include the net impacts of margin tracker/decoupling accruals. All of Southwest Gas’ service territories have decoupled rate structures (also referred to as alternative revenue programs) that are designed to eliminate the direct link between volumetric sales and revenue, thereby mitigating the impacts of unusual weather variability and conservation on margin. The primary alternative revenue programs involve permissible adjustments for differences between stated tariff benchmarks and amounts billed through revenue from contracts with customers via existing rates. Such adjustments are recognized monthly in revenue and in the associated regulatory asset/liability accounts in advance of rate adjustments intended to collect or return amounts recognized. Revenues recognized for the adjustment to the benchmarks noted are required to be presented separately from revenues from contracts with customers, and as such, are provided below and identified as related to alternative revenue programs (which excludes recoveries from customers).</w:t>
      </w:r>
    </w:p>
    <w:p>
      <w:pPr>
        <w:spacing w:after="0" w:line="8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Southwest Gas’ operating revenues included on the Consolidated Statements of Income of both the Company and Southwest Gas include revenue from contracts with customers, which is shown below disaggregated by customer type, in addition to other categories of revenue: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December 31,</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1"/>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2022</w:t>
            </w:r>
          </w:p>
        </w:tc>
      </w:tr>
      <w:tr>
        <w:trPr>
          <w:trHeight w:val="221"/>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1,654,685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1,725,223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1,324,794</w:t>
            </w:r>
          </w:p>
        </w:tc>
      </w:tr>
      <w:tr>
        <w:trPr>
          <w:trHeight w:val="227"/>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Small commercial</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493,709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513,366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378,520</w:t>
            </w:r>
          </w:p>
        </w:tc>
      </w:tr>
      <w:tr>
        <w:trPr>
          <w:trHeight w:val="227"/>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Large commercial</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85,234</w:t>
            </w:r>
          </w:p>
        </w:tc>
      </w:tr>
      <w:tr>
        <w:trPr>
          <w:trHeight w:val="227"/>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Industrial/other</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50,894</w:t>
            </w:r>
          </w:p>
        </w:tc>
      </w:tr>
      <w:tr>
        <w:trPr>
          <w:trHeight w:val="227"/>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115,782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104,298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100,642</w:t>
            </w:r>
          </w:p>
        </w:tc>
      </w:tr>
      <w:tr>
        <w:trPr>
          <w:trHeight w:val="221"/>
        </w:trPr>
        <w:tc>
          <w:tcPr>
            <w:tcW w:w="7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2,438,523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2,536,079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1,940,084</w:t>
            </w:r>
          </w:p>
        </w:tc>
      </w:tr>
      <w:tr>
        <w:trPr>
          <w:trHeight w:val="227"/>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Alternative revenue program revenues (deferrals)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(18,478)</w:t>
            </w:r>
          </w:p>
        </w:tc>
      </w:tr>
      <w:tr>
        <w:trPr>
          <w:trHeight w:val="227"/>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revenues (a)</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13,463</w:t>
            </w:r>
          </w:p>
        </w:tc>
      </w:tr>
      <w:tr>
        <w:trPr>
          <w:trHeight w:val="246"/>
        </w:trPr>
        <w:tc>
          <w:tcPr>
            <w:tcW w:w="7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Regulated operations revenues</w:t>
            </w: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2,475,216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2,499,564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1,935,069</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 Amounts include late fees and other miscellaneous revenues, and may also include the impact of certain regulatory mechanisms.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Utility Infrastructure Services Segment</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During 2023 and 2024, Utility infrastructure services segment management, in connection with Centuri’s planned separation, changed its service type revenue classification to align with changes in its organization structure, and as a result, prior year “other” revenue has been recast into gas infrastructure services or electric power infrastructure services to reflect these changes, with no impact to revenue overall. The majority of Centuri contracts are performed under unit-price contracts. Generally, these contracts state prices per unit of installation. Typical installations are accomplished in a few weeks or less. Revenues are recorded as installations are completed. Revenues are recorded for long-term fixed-price contracts in a pattern that reflects the transfer of control of promised goods and services to the customer over time. The amount of revenue recognized on fixed-price contracts is based on costs expended to date relative to anticipated final contract costs (a method of recognition based on inputs). Some unit-price contracts contain caps that if encroached, trigger revenue and loss recognition similar to a fixed-price contract model.</w:t>
      </w:r>
    </w:p>
    <w:p>
      <w:pPr>
        <w:spacing w:after="0" w:line="8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Centuri is required to collect taxes imposed by various governmental agencies on the work performed for its customers. These taxes are not included in Utility infrastructure services revenues. Management uses the net classification method to report taxes collected from customers to be remitted to governmental authorities.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Centuri derives revenue from the installation, replacement, repair, maintenance of energy distribution systems, and in developing industrial construction solutions. Centuri has operations in the U.S. and Canada. The majority of Centuri’s revenues are related to contracts for natural gas pipeline replacement and installation work for natural gas utilities, and electric power infrastructure installation, upgrade, and maintenance, as well as emergency restoration to repair above-ground infrastructure damaged by inclement weather. In addition, Centuri performs certain industrial construction activities for various customers and industries. Centuri has two types of agreements with its customers: MSAs and bid contracts. Most of Centuri’s customers supply many of their own materials in order for Centuri to complete its work under the contracts.</w:t>
      </w:r>
    </w:p>
    <w:p>
      <w:pPr>
        <w:spacing w:after="0" w:line="7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An MSA identifies most of the terms describing each party’s rights and obligations that will govern future work authorizations. An MSA is often effective for multiple years. A work authorization is issued by the customer to describe the location, timing,</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74" w:name="page75"/>
    <w:bookmarkEnd w:id="74"/>
    <w:p>
      <w:pPr>
        <w:jc w:val="both"/>
        <w:spacing w:after="0" w:line="263" w:lineRule="auto"/>
        <w:rPr>
          <w:sz w:val="20"/>
          <w:szCs w:val="20"/>
          <w:color w:val="auto"/>
        </w:rPr>
      </w:pPr>
      <w:r>
        <w:rPr>
          <w:rFonts w:ascii="Times New Roman" w:cs="Times New Roman" w:eastAsia="Times New Roman" w:hAnsi="Times New Roman"/>
          <w:sz w:val="18"/>
          <w:szCs w:val="18"/>
          <w:color w:val="auto"/>
        </w:rPr>
        <w:t>and any additional information necessary to complete the work for the customer. The combination of the MSA and the work authorization determines when a contract exists and revenue recognition may begin. Each work authorization is generally a single performance obligation as Centuri is performing a significant integration service.</w:t>
      </w:r>
    </w:p>
    <w:p>
      <w:pPr>
        <w:spacing w:after="0" w:line="6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 bid contract is typically a one-time agreement for a specific project that has all necessary terms defining each party’s rights and obligations. Each bid contract is evaluated for revenue recognition individually. Control of assets created under bid contracts generally passes to the customer over time. Bid contracts often have a single performance obligation as Centuri is providing a significant integration service.</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Centuri’s MSA and bid contracts are characterized as either fixed-price contracts or unit-price contracts for revenue recognition purposes. The cost-to-cost input method is used to measure progress towards the satisfaction of a performance obligation for fixed-price contracts. Input methods result in the recognition of revenue based on the entity’s expended effort toward satisfaction of the performance obligation relative to the total expected effort to satisfy the performance obligation. For unit-price contracts, an output method is used to measure progress towards satisfaction of a performance obligation. Also, with regard to unit-price contracts, the output measurement will be the completion of each unit that is required under the contract.</w:t>
      </w:r>
    </w:p>
    <w:p>
      <w:pPr>
        <w:spacing w:after="0" w:line="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Actual revenues and project costs can vary, sometimes substantially, from previous estimates due to changes in a variety of factors, including unforeseen circumstances. These factors, along with other risks inherent in performing fixed-price contracts may cause actual revenues and gross profit for a project to differ from previous estimates, and could result in reduced profitability or losses on projects. Changes in these factors may result in revisions to costs and earnings, the impacts for which are recognized in the period in which the changes are identified. Once identified, these types of conditions continue to be evaluated for each project throughout the project term and ongoing revisions in management’s estimates of contract value, contract cost, and contract profit are recognized as necessary in the period determined.</w:t>
      </w:r>
    </w:p>
    <w:p>
      <w:pPr>
        <w:spacing w:after="0" w:line="7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Centuri categorizes work performed under MSAs and bid contracts into two primary service types: gas construction and electrical construction. Gas construction includes work involving previously existing gas pipelines and the installation of new pipelines or service lines. Electrical construction includes work involving installation and maintenance of transmission and distribution lines and storm restoration services.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Contracts can have compensation/consideration that is variable. For MSAs, variable consideration is evaluated at the customer level as the terms creating variability in pricing are included within the MSA and are not specific to a work authorization. For multi-year MSAs, variable consideration components are typically determined for each year of the contract and not for the full contract term. For bid contracts, variable consideration is evaluated at the individual contract level. The expected value method or most likely amount method is used based on the nature of the variable consideration. Types of variable consideration include liquidated damages, delay penalties, performance incentives, safety bonuses, payment discounts, and volume rebates. Centuri will typically estimate variable consideration and adjust financial information, as necessary.</w:t>
      </w:r>
    </w:p>
    <w:p>
      <w:pPr>
        <w:spacing w:after="0" w:line="7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Change orders involve the modification in scope, price, or both to the current contract, and are typically approved by both parties. Once approved, the change order is either treated as a separate contract or as part of the existing contract, as appropriate under the circumstances. When the scope is agreed upon in the change order but not the price, Centuri estimates the change to the transaction price.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display Centuri’s revenue from contracts with customers disaggregated by service type and contract type: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December 31,</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7060" w:type="dxa"/>
            <w:vAlign w:val="bottom"/>
            <w:tcBorders>
              <w:bottom w:val="single" w:sz="8" w:color="CCEEFF"/>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0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Types: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Gas infrastructure services</w:t>
            </w: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1,458,451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1,592,243</w:t>
            </w:r>
          </w:p>
        </w:tc>
        <w:tc>
          <w:tcPr>
            <w:tcW w:w="10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1,664,977</w:t>
            </w:r>
          </w:p>
        </w:tc>
        <w:tc>
          <w:tcPr>
            <w:tcW w:w="0" w:type="dxa"/>
            <w:vAlign w:val="bottom"/>
          </w:tcPr>
          <w:p>
            <w:pPr>
              <w:spacing w:after="0"/>
              <w:rPr>
                <w:sz w:val="1"/>
                <w:szCs w:val="1"/>
                <w:color w:val="auto"/>
              </w:rPr>
            </w:pPr>
          </w:p>
        </w:tc>
      </w:tr>
      <w:tr>
        <w:trPr>
          <w:trHeight w:val="22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Electric power infrastructure services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1,178,778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1,307,033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1,095,350</w:t>
            </w:r>
          </w:p>
        </w:tc>
        <w:tc>
          <w:tcPr>
            <w:tcW w:w="0" w:type="dxa"/>
            <w:vAlign w:val="bottom"/>
          </w:tcPr>
          <w:p>
            <w:pPr>
              <w:spacing w:after="0"/>
              <w:rPr>
                <w:sz w:val="1"/>
                <w:szCs w:val="1"/>
                <w:color w:val="auto"/>
              </w:rPr>
            </w:pPr>
          </w:p>
        </w:tc>
      </w:tr>
      <w:tr>
        <w:trPr>
          <w:trHeight w:val="221"/>
        </w:trPr>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Utility infrastructure services revenues</w:t>
            </w: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2,637,229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2,899,276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2,760,327</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160"/>
        <w:spacing w:after="0" w:line="302" w:lineRule="auto"/>
        <w:rPr>
          <w:sz w:val="20"/>
          <w:szCs w:val="20"/>
          <w:color w:val="auto"/>
        </w:rPr>
      </w:pPr>
      <w:r>
        <w:rPr>
          <w:rFonts w:ascii="Times New Roman" w:cs="Times New Roman" w:eastAsia="Times New Roman" w:hAnsi="Times New Roman"/>
          <w:sz w:val="16"/>
          <w:szCs w:val="16"/>
          <w:color w:val="auto"/>
        </w:rPr>
        <w:t xml:space="preserve">*The years ended December 31, 2023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6"/>
          <w:szCs w:val="16"/>
          <w:color w:val="auto"/>
        </w:rPr>
        <w:t xml:space="preserve"> 2022 were previously presented as: Gas infrastructure services of $1,549,152 and $1,630,911, respectively; Electric power infrastructure services of $1,307,033 and $1,095,350, respectively; and Other of $43,091 and $34,066, respectively.</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2"/>
        </w:trPr>
        <w:tc>
          <w:tcPr>
            <w:tcW w:w="7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December 31,</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7060" w:type="dxa"/>
            <w:vAlign w:val="bottom"/>
            <w:tcBorders>
              <w:bottom w:val="single" w:sz="8" w:color="CCEEFF"/>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0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Types: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Master services agreement</w:t>
            </w: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2,121,144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2,388,688</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2,342,220</w:t>
            </w:r>
          </w:p>
        </w:tc>
        <w:tc>
          <w:tcPr>
            <w:tcW w:w="0" w:type="dxa"/>
            <w:vAlign w:val="bottom"/>
          </w:tcPr>
          <w:p>
            <w:pPr>
              <w:spacing w:after="0"/>
              <w:rPr>
                <w:sz w:val="1"/>
                <w:szCs w:val="1"/>
                <w:color w:val="auto"/>
              </w:rPr>
            </w:pPr>
          </w:p>
        </w:tc>
      </w:tr>
      <w:tr>
        <w:trPr>
          <w:trHeight w:val="22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Bid contract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516,085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510,588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418,107</w:t>
            </w:r>
          </w:p>
        </w:tc>
        <w:tc>
          <w:tcPr>
            <w:tcW w:w="0" w:type="dxa"/>
            <w:vAlign w:val="bottom"/>
          </w:tcPr>
          <w:p>
            <w:pPr>
              <w:spacing w:after="0"/>
              <w:rPr>
                <w:sz w:val="1"/>
                <w:szCs w:val="1"/>
                <w:color w:val="auto"/>
              </w:rPr>
            </w:pPr>
          </w:p>
        </w:tc>
      </w:tr>
      <w:tr>
        <w:trPr>
          <w:trHeight w:val="221"/>
        </w:trPr>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Utility infrastructure services revenues</w:t>
            </w: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2,637,229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2,899,276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2,760,327</w:t>
            </w:r>
          </w:p>
        </w:tc>
        <w:tc>
          <w:tcPr>
            <w:tcW w:w="0" w:type="dxa"/>
            <w:vAlign w:val="bottom"/>
          </w:tcPr>
          <w:p>
            <w:pPr>
              <w:spacing w:after="0"/>
              <w:rPr>
                <w:sz w:val="1"/>
                <w:szCs w:val="1"/>
                <w:color w:val="auto"/>
              </w:rPr>
            </w:pP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70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Unit-price contracts</w:t>
            </w: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1,508,683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1,570,356</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1,608,131</w:t>
            </w:r>
          </w:p>
        </w:tc>
        <w:tc>
          <w:tcPr>
            <w:tcW w:w="0" w:type="dxa"/>
            <w:vAlign w:val="bottom"/>
          </w:tcPr>
          <w:p>
            <w:pPr>
              <w:spacing w:after="0"/>
              <w:rPr>
                <w:sz w:val="1"/>
                <w:szCs w:val="1"/>
                <w:color w:val="auto"/>
              </w:rPr>
            </w:pPr>
          </w:p>
        </w:tc>
      </w:tr>
      <w:tr>
        <w:trPr>
          <w:trHeight w:val="22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Fixed-price contracts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673,605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498,039</w:t>
            </w:r>
          </w:p>
        </w:tc>
        <w:tc>
          <w:tcPr>
            <w:tcW w:w="0" w:type="dxa"/>
            <w:vAlign w:val="bottom"/>
          </w:tcPr>
          <w:p>
            <w:pPr>
              <w:spacing w:after="0"/>
              <w:rPr>
                <w:sz w:val="1"/>
                <w:szCs w:val="1"/>
                <w:color w:val="auto"/>
              </w:rPr>
            </w:pPr>
          </w:p>
        </w:tc>
      </w:tr>
      <w:tr>
        <w:trPr>
          <w:trHeight w:val="227"/>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Time and materials contracts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589,018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655,315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654,157</w:t>
            </w:r>
          </w:p>
        </w:tc>
        <w:tc>
          <w:tcPr>
            <w:tcW w:w="0" w:type="dxa"/>
            <w:vAlign w:val="bottom"/>
          </w:tcPr>
          <w:p>
            <w:pPr>
              <w:spacing w:after="0"/>
              <w:rPr>
                <w:sz w:val="1"/>
                <w:szCs w:val="1"/>
                <w:color w:val="auto"/>
              </w:rPr>
            </w:pPr>
          </w:p>
        </w:tc>
      </w:tr>
      <w:tr>
        <w:trPr>
          <w:trHeight w:val="246"/>
        </w:trPr>
        <w:tc>
          <w:tcPr>
            <w:tcW w:w="7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Utility infrastructure services revenues</w:t>
            </w: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2,637,229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2,899,276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2,760,327</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following table provides information about contracts receivable and revenue earned on contracts in progress in excess of billings (contract assets), both of which are included within Accounts receivable, net of allowances, as well as amounts billed in excess of revenue earned on contracts (contract liabilities) at Centuri, which are included in Other current liabilities as of December 31, 2024 and 2023 on the Company’s Consolidated Balance Sheets: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8480" w:type="dxa"/>
            <w:vAlign w:val="bottom"/>
            <w:tcBorders>
              <w:bottom w:val="single" w:sz="8" w:color="CCEEFF"/>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w w:val="99"/>
              </w:rPr>
              <w:t>2023</w:t>
            </w:r>
          </w:p>
        </w:tc>
        <w:tc>
          <w:tcPr>
            <w:tcW w:w="0" w:type="dxa"/>
            <w:vAlign w:val="bottom"/>
          </w:tcPr>
          <w:p>
            <w:pPr>
              <w:spacing w:after="0"/>
              <w:rPr>
                <w:sz w:val="1"/>
                <w:szCs w:val="1"/>
                <w:color w:val="auto"/>
              </w:rPr>
            </w:pPr>
          </w:p>
        </w:tc>
      </w:tr>
      <w:tr>
        <w:trPr>
          <w:trHeight w:val="221"/>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Contracts receivable, net</w:t>
            </w: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281,441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347,454</w:t>
            </w:r>
          </w:p>
        </w:tc>
        <w:tc>
          <w:tcPr>
            <w:tcW w:w="0" w:type="dxa"/>
            <w:vAlign w:val="bottom"/>
          </w:tcPr>
          <w:p>
            <w:pPr>
              <w:spacing w:after="0"/>
              <w:rPr>
                <w:sz w:val="1"/>
                <w:szCs w:val="1"/>
                <w:color w:val="auto"/>
              </w:rPr>
            </w:pPr>
          </w:p>
        </w:tc>
      </w:tr>
      <w:tr>
        <w:trPr>
          <w:trHeight w:val="227"/>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earned on contracts in progress in excess of billings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238,169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269,808</w:t>
            </w:r>
          </w:p>
        </w:tc>
        <w:tc>
          <w:tcPr>
            <w:tcW w:w="0" w:type="dxa"/>
            <w:vAlign w:val="bottom"/>
          </w:tcPr>
          <w:p>
            <w:pPr>
              <w:spacing w:after="0"/>
              <w:rPr>
                <w:sz w:val="1"/>
                <w:szCs w:val="1"/>
                <w:color w:val="auto"/>
              </w:rPr>
            </w:pPr>
          </w:p>
        </w:tc>
      </w:tr>
      <w:tr>
        <w:trPr>
          <w:trHeight w:val="227"/>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billed in excess of revenue earned on contracts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43,694</w:t>
            </w: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revenue earned on contracts in progress in excess of billings primarily relates to Centuri’s rights to consideration for work completed but not billed and/or approved at the reporting date. These contract assets are transferred to contracts receivable when the rights become unconditional. These contract assets are recoverable from Centuri’s customers based upon various measures of performance, including achievement of certain milestones, completion of specified units or completion of a contract. In addition, many of Centuri’s time and materials arrangements are billed in arrears pursuant to contract terms that are standard within the industry, resulting in contract assets and/or unbilled receivables being recorded, as revenue is recognized in advance of billings. Due to the lag in billing, resulting from the aforementioned contractual provisions, there may be circumstances in which material changes to a customer’s business, cash flows or financial condition, which may be impacted by negative economic or market conditions, could affect Centuri’s ability to bill and subsequently collect amounts due. These changes may result in the need to record an estimated valuation allowance to state contract asset balances at their net realizable value.</w:t>
      </w:r>
    </w:p>
    <w:p>
      <w:pPr>
        <w:spacing w:after="0" w:line="8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Revenue earned on contracts in progress in excess of billings that are not expected to be recognized within a year from the financial statement date are not included in the table above, and were $23.9 million as of December 31, 2024, and $0.2 million as of December 31, 2023. These non-current balances were included in Deferred charges and other assets on the Company’s Consolidated Balance Sheets.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occasion, Centuri recognizes revenue related to contract claims, which arise when there is a dispute between Centuri and a customer regarding a change in the scope of work and associated price for work already performed. As of December 31, 2024, Centuri had recorded $24.8 million in net recovery claims. Centuri records estimated claims as variable consideration based on the most likely amount it expects to receive, and to the extent it is probable that a significant reversal of cumulative revenue recognized will not occur when the uncertainty surrounding the variable consideration is resolved.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assets (including both current and non-current) decreased $8 million during 2024 due primarily to timing of billings.</w:t>
      </w:r>
    </w:p>
    <w:p>
      <w:pPr>
        <w:spacing w:after="0" w:line="1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amounts billed in excess of revenue earned primarily relate to the advance consideration received from customers for which work has not yet been completed. The contract liability decreased from December 31, 2023 to December 31, 2024 by $18.7 million due to approximately $40 million of revenue recognized that was included in the balance as of December 31, 2023, net of additional payments received in advance of work completed.</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contracts that have an original duration of one year or less, Centuri uses the practical expedient applicable to such contracts and does not consider/compute an interest component based on the time value of money. Further, because of the short duration of these contracts, the Company has not disclosed the transaction price for the remaining performance obligations as of the end of each reporting period or when the Company expects to recognize the revenue.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76" w:name="page77"/>
    <w:bookmarkEnd w:id="76"/>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Centuri has 49 contracts with an original duration of more than one year. The aggregate amount of the transaction price allocated to the unsatisfied performance obligations of these contracts as of December 31, 2024 was $251.9 million. Centuri expects to recognize the remaining performance obligations over the next two years; however, the timing of that recognition is largely within the control of the customer, including when the necessary equipment and materials required to complete the work will be provided by the customer.</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Utility infrastructure services contracts receivable consists of the following:</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7"/>
        </w:trPr>
        <w:tc>
          <w:tcPr>
            <w:tcW w:w="8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8480" w:type="dxa"/>
            <w:vAlign w:val="bottom"/>
            <w:tcBorders>
              <w:bottom w:val="single" w:sz="8" w:color="CCEEFF"/>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w w:val="99"/>
              </w:rPr>
              <w:t>2023</w:t>
            </w:r>
          </w:p>
        </w:tc>
        <w:tc>
          <w:tcPr>
            <w:tcW w:w="0" w:type="dxa"/>
            <w:vAlign w:val="bottom"/>
          </w:tcPr>
          <w:p>
            <w:pPr>
              <w:spacing w:after="0"/>
              <w:rPr>
                <w:sz w:val="1"/>
                <w:szCs w:val="1"/>
                <w:color w:val="auto"/>
              </w:rPr>
            </w:pPr>
          </w:p>
        </w:tc>
      </w:tr>
      <w:tr>
        <w:trPr>
          <w:trHeight w:val="221"/>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Billed on completed contracts and contracts in progress</w:t>
            </w: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281,416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348,021</w:t>
            </w:r>
          </w:p>
        </w:tc>
        <w:tc>
          <w:tcPr>
            <w:tcW w:w="0" w:type="dxa"/>
            <w:vAlign w:val="bottom"/>
          </w:tcPr>
          <w:p>
            <w:pPr>
              <w:spacing w:after="0"/>
              <w:rPr>
                <w:sz w:val="1"/>
                <w:szCs w:val="1"/>
                <w:color w:val="auto"/>
              </w:rPr>
            </w:pPr>
          </w:p>
        </w:tc>
      </w:tr>
      <w:tr>
        <w:trPr>
          <w:trHeight w:val="227"/>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0" w:type="dxa"/>
            <w:vAlign w:val="bottom"/>
          </w:tcPr>
          <w:p>
            <w:pPr>
              <w:spacing w:after="0"/>
              <w:rPr>
                <w:sz w:val="1"/>
                <w:szCs w:val="1"/>
                <w:color w:val="auto"/>
              </w:rPr>
            </w:pPr>
          </w:p>
        </w:tc>
      </w:tr>
      <w:tr>
        <w:trPr>
          <w:trHeight w:val="221"/>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Contracts receivable, gross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284,143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349,966</w:t>
            </w:r>
          </w:p>
        </w:tc>
        <w:tc>
          <w:tcPr>
            <w:tcW w:w="0" w:type="dxa"/>
            <w:vAlign w:val="bottom"/>
          </w:tcPr>
          <w:p>
            <w:pPr>
              <w:spacing w:after="0"/>
              <w:rPr>
                <w:sz w:val="1"/>
                <w:szCs w:val="1"/>
                <w:color w:val="auto"/>
              </w:rPr>
            </w:pPr>
          </w:p>
        </w:tc>
      </w:tr>
      <w:tr>
        <w:trPr>
          <w:trHeight w:val="227"/>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0" w:type="dxa"/>
            <w:vAlign w:val="bottom"/>
          </w:tcPr>
          <w:p>
            <w:pPr>
              <w:spacing w:after="0"/>
              <w:rPr>
                <w:sz w:val="1"/>
                <w:szCs w:val="1"/>
                <w:color w:val="auto"/>
              </w:rPr>
            </w:pPr>
          </w:p>
        </w:tc>
      </w:tr>
      <w:tr>
        <w:trPr>
          <w:trHeight w:val="246"/>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Contracts receivable, net</w:t>
            </w: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281,441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347,454</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September 2024, Centuri entered into a three-year Securitization Facility for an aggregate amount of up to $125 million with PNC, to enhance Centuri’s financial flexibility by providing additional liquidity. Under the Securitization Facility, certain designated subsidiaries of Centuri have sold and/or contributed, and will continue to sell and/or contribute, their trade accounts receivable and contract assets generated in the ordinary course of business to an indirect wholly owned bankruptcy-remote SPE of Centuri created specifically for this purpose. The SPE is a variable interest entity, and Centuri is the primary beneficiary and therefore consolidates the SPE. The SPE transfers ownership and control of accounts receivable (but not contract assets) to PNC for payments as set forth in the receivables purchase agreement. Centuri and its related subsidiaries have no continuing involvement in the transferred accounts receivable, other than collection and administrative responsibilities, and, once sold, the accounts receivable are no longer available to satisfy Centuri’s creditors or those of its related subsidiaries. Centuri has not recorded any servicing asset or liability related to this continuing involvement as Centuri has determined it is compensated adequately for its servicing role. Centuri accounts for accounts receivable sold to PNC as a sale of financial assets and has derecognized the accounts receivable from its consolidated balance sheet.</w:t>
      </w:r>
    </w:p>
    <w:p>
      <w:pPr>
        <w:spacing w:after="0" w:line="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Centuri has agreed to guarantee the performance of the indirect wholly-owned subsidiaries of Centuri and itself as the servicer of their respective obligations under the documentation for the Securitization Facility. Centuri is not guaranteeing the collectibility of the receivables or the creditworthiness of the related obligors. The Securitization Facility is subject to yield charges based upon a rate as specified in the Securitization Facility. These yield charges are recorded in net interest deductions on the Company’s Consolidated Statement of Income and were $2.2 million for the fiscal year ended December 31, 2024. Centuri may incur a recourse obligation in limited circumstances, but has determined this liability is not material.</w:t>
      </w:r>
    </w:p>
    <w:p>
      <w:pPr>
        <w:spacing w:after="0" w:line="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total outstanding balance of accounts receivable that have been sold and derecognized is $125 million as of December 31, 2024. Additionally, the SPE owned unsold accounts receivable and contract assets of $45.2 million and $78.3 million, respectively, as of December 31, 2024. These balances are primarily included in Accounts receivable, net of allowances in the Company’s Consolidated Balance Sheet, with certain non-current balances included in Deferred charges and other assets. For the year ended December 31, 2024, Centuri received $125 million in cash proceeds from the Securitization Facility, which are included in cash from operating activities on the Company’s Consolidated Statement of Cash Flows and had no repayments to the Securitization Facility. As of December 31, 2024, Centuri had no available capacity under the Facility.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Receivables and Related Allowances</w:t>
      </w:r>
    </w:p>
    <w:p>
      <w:pPr>
        <w:spacing w:after="0" w:line="1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Business activity with respect to natural gas utility operations is conducted with customers located within the three-state region of Arizona, Nevada, and California. Southwest Gas’ accounts receivable are short-term in nature, with billing due dates customarily not extending beyond one month, with customers’ credit worthiness assessed upon account creation by evaluation of other utility service or their credit file, and related payment history. Although Southwest Gas seeks to minimize its credit risk related to utility operations by requiring security deposits from new customers, imposing late fees, and actively pursuing collection on overdue accounts where possible, some accounts are ultimately not collected. Customer accounts are subject to collection procedures that vary by jurisdiction (late fee assessment, notice requirements for disconnection of service, and procedures for actual disconnection and/or reestablishment of service). After disconnection of service, accounts are customarily written off approximately two months after disconnection if the account remains inactive. Dependent upon the jurisdiction, reestablishment of service requires both payment of previously unpaid balances and additional deposit requirements. Generally, costs related to uncollectible accounts are included in the ratemaking process as a cost of service. However, the Nevada and California jurisdictions have certain regulatory mechanisms in place to separately track and collect portions of uncollectible accounts through the mechanisms; eligible amounts are deferred and collected through a surcharge in the ratemaking process. Southwest Gas continues to actively work with customers experiencing financial hardship by means of</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sectPr>
      </w:pPr>
    </w:p>
    <w:bookmarkStart w:id="77" w:name="page78"/>
    <w:bookmarkEnd w:id="77"/>
    <w:p>
      <w:pPr>
        <w:jc w:val="both"/>
        <w:spacing w:after="0" w:line="263" w:lineRule="auto"/>
        <w:rPr>
          <w:sz w:val="20"/>
          <w:szCs w:val="20"/>
          <w:color w:val="auto"/>
        </w:rPr>
      </w:pPr>
      <w:r>
        <w:rPr>
          <w:rFonts w:ascii="Times New Roman" w:cs="Times New Roman" w:eastAsia="Times New Roman" w:hAnsi="Times New Roman"/>
          <w:sz w:val="18"/>
          <w:szCs w:val="18"/>
          <w:color w:val="auto"/>
        </w:rPr>
        <w:t>flexible payment options and partnering with assistance agencies. Provisions for uncollectible accounts are recorded monthly based on customers’ current and future ability to pay amounts that are due, experience, consideration of current and expected future conditions, customer and rate composition, regulatory requirements, and write-off processes.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Utility infrastructure services accounts receivable are recorded at face amounts less an allowance for doubtful accounts. Centuri’s customers are generally investment-grade gas and electric utility companies for which Centuri has historically recognized an insignificant amount of write-offs. Centuri’s accounts receivable balances carry standard payment terms of up to 60 days. Centuri maintains an allowance that is estimated based on historical collection experience, current and estimated future economic and market conditions, and a review of the current status of each customer's accounts receivable balance. Account balances are monitored at least monthly, and are charged off against the allowance when management determines it is probable the balance will not be recovered.</w:t>
      </w:r>
    </w:p>
    <w:p>
      <w:pPr>
        <w:spacing w:after="0" w:line="7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table below contains information about Southwest Gas’ gas utility customer accounts receivable balance (net of allowance) at December 31, 2024 and 2023:</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4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860" w:type="dxa"/>
            <w:vAlign w:val="bottom"/>
            <w:tcBorders>
              <w:bottom w:val="single" w:sz="8" w:color="auto"/>
            </w:tcBorders>
          </w:tcPr>
          <w:p>
            <w:pPr>
              <w:spacing w:after="0"/>
              <w:rPr>
                <w:sz w:val="20"/>
                <w:szCs w:val="20"/>
                <w:color w:val="auto"/>
              </w:rPr>
            </w:pPr>
          </w:p>
        </w:tc>
      </w:tr>
      <w:tr>
        <w:trPr>
          <w:trHeight w:val="221"/>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21"/>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Gas utility customer accounts receivable balance</w:t>
            </w: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194,177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263,337</w:t>
            </w:r>
          </w:p>
        </w:tc>
      </w:tr>
    </w:tbl>
    <w:p>
      <w:pPr>
        <w:spacing w:after="0" w:line="8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following table represents the percentage of customers in each of Southwest Gas’ three states at December 31, 2024, which was consistent with the prior year:</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9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 of customers by state:</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7"/>
        </w:trPr>
        <w:tc>
          <w:tcPr>
            <w:tcW w:w="9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Arizona</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54 %</w:t>
            </w:r>
          </w:p>
        </w:tc>
      </w:tr>
      <w:tr>
        <w:trPr>
          <w:trHeight w:val="227"/>
        </w:trPr>
        <w:tc>
          <w:tcPr>
            <w:tcW w:w="9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Nevada</w:t>
            </w:r>
          </w:p>
        </w:tc>
        <w:tc>
          <w:tcPr>
            <w:tcW w:w="14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37 %</w:t>
            </w:r>
          </w:p>
        </w:tc>
      </w:tr>
      <w:tr>
        <w:trPr>
          <w:trHeight w:val="227"/>
        </w:trPr>
        <w:tc>
          <w:tcPr>
            <w:tcW w:w="9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California</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9 %</w:t>
            </w:r>
          </w:p>
        </w:tc>
      </w:tr>
      <w:tr>
        <w:trPr>
          <w:trHeight w:val="321"/>
        </w:trPr>
        <w:tc>
          <w:tcPr>
            <w:tcW w:w="9820" w:type="dxa"/>
            <w:vAlign w:val="bottom"/>
          </w:tcPr>
          <w:p>
            <w:pPr>
              <w:spacing w:after="0"/>
              <w:rPr>
                <w:sz w:val="20"/>
                <w:szCs w:val="20"/>
                <w:color w:val="auto"/>
              </w:rPr>
            </w:pPr>
            <w:r>
              <w:rPr>
                <w:rFonts w:ascii="Times New Roman" w:cs="Times New Roman" w:eastAsia="Times New Roman" w:hAnsi="Times New Roman"/>
                <w:sz w:val="18"/>
                <w:szCs w:val="18"/>
                <w:color w:val="auto"/>
              </w:rPr>
              <w:t>Southwest Gas activity in the allowance account for uncollectibles is summarized as follows:</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4"/>
        </w:trPr>
        <w:tc>
          <w:tcPr>
            <w:tcW w:w="9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Allowance for</w:t>
            </w:r>
          </w:p>
        </w:tc>
      </w:tr>
      <w:tr>
        <w:trPr>
          <w:trHeight w:val="241"/>
        </w:trPr>
        <w:tc>
          <w:tcPr>
            <w:tcW w:w="9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4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Uncollectibles</w:t>
            </w:r>
          </w:p>
        </w:tc>
      </w:tr>
      <w:tr>
        <w:trPr>
          <w:trHeight w:val="221"/>
        </w:trPr>
        <w:tc>
          <w:tcPr>
            <w:tcW w:w="9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20" w:type="dxa"/>
            <w:vAlign w:val="bottom"/>
          </w:tcPr>
          <w:p>
            <w:pPr>
              <w:spacing w:after="0"/>
              <w:rPr>
                <w:sz w:val="19"/>
                <w:szCs w:val="19"/>
                <w:color w:val="auto"/>
              </w:rPr>
            </w:pPr>
          </w:p>
        </w:tc>
      </w:tr>
      <w:tr>
        <w:trPr>
          <w:trHeight w:val="227"/>
        </w:trPr>
        <w:tc>
          <w:tcPr>
            <w:tcW w:w="9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charged to expense</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12,707</w:t>
            </w:r>
          </w:p>
        </w:tc>
        <w:tc>
          <w:tcPr>
            <w:tcW w:w="20" w:type="dxa"/>
            <w:vAlign w:val="bottom"/>
          </w:tcPr>
          <w:p>
            <w:pPr>
              <w:spacing w:after="0"/>
              <w:rPr>
                <w:sz w:val="19"/>
                <w:szCs w:val="19"/>
                <w:color w:val="auto"/>
              </w:rPr>
            </w:pPr>
          </w:p>
        </w:tc>
      </w:tr>
      <w:tr>
        <w:trPr>
          <w:trHeight w:val="227"/>
        </w:trPr>
        <w:tc>
          <w:tcPr>
            <w:tcW w:w="9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written off, less recoveries</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(11,136)</w:t>
            </w:r>
          </w:p>
        </w:tc>
        <w:tc>
          <w:tcPr>
            <w:tcW w:w="20" w:type="dxa"/>
            <w:vAlign w:val="bottom"/>
          </w:tcPr>
          <w:p>
            <w:pPr>
              <w:spacing w:after="0"/>
              <w:rPr>
                <w:sz w:val="19"/>
                <w:szCs w:val="19"/>
                <w:color w:val="auto"/>
              </w:rPr>
            </w:pPr>
          </w:p>
        </w:tc>
      </w:tr>
      <w:tr>
        <w:trPr>
          <w:trHeight w:val="221"/>
        </w:trPr>
        <w:tc>
          <w:tcPr>
            <w:tcW w:w="9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20" w:type="dxa"/>
            <w:vAlign w:val="bottom"/>
          </w:tcPr>
          <w:p>
            <w:pPr>
              <w:spacing w:after="0"/>
              <w:rPr>
                <w:sz w:val="19"/>
                <w:szCs w:val="19"/>
                <w:color w:val="auto"/>
              </w:rPr>
            </w:pPr>
          </w:p>
        </w:tc>
      </w:tr>
      <w:tr>
        <w:trPr>
          <w:trHeight w:val="227"/>
        </w:trPr>
        <w:tc>
          <w:tcPr>
            <w:tcW w:w="9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Additions charged to expense</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11,877</w:t>
            </w:r>
          </w:p>
        </w:tc>
        <w:tc>
          <w:tcPr>
            <w:tcW w:w="20" w:type="dxa"/>
            <w:vAlign w:val="bottom"/>
          </w:tcPr>
          <w:p>
            <w:pPr>
              <w:spacing w:after="0"/>
              <w:rPr>
                <w:sz w:val="19"/>
                <w:szCs w:val="19"/>
                <w:color w:val="auto"/>
              </w:rPr>
            </w:pPr>
          </w:p>
        </w:tc>
      </w:tr>
      <w:tr>
        <w:trPr>
          <w:trHeight w:val="227"/>
        </w:trPr>
        <w:tc>
          <w:tcPr>
            <w:tcW w:w="9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Accounts written off, less recoveries</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(10,612)</w:t>
            </w:r>
          </w:p>
        </w:tc>
        <w:tc>
          <w:tcPr>
            <w:tcW w:w="20" w:type="dxa"/>
            <w:vAlign w:val="bottom"/>
          </w:tcPr>
          <w:p>
            <w:pPr>
              <w:spacing w:after="0"/>
              <w:rPr>
                <w:sz w:val="19"/>
                <w:szCs w:val="19"/>
                <w:color w:val="auto"/>
              </w:rPr>
            </w:pPr>
          </w:p>
        </w:tc>
      </w:tr>
      <w:tr>
        <w:trPr>
          <w:trHeight w:val="221"/>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6,095</w:t>
            </w:r>
          </w:p>
        </w:tc>
        <w:tc>
          <w:tcPr>
            <w:tcW w:w="20" w:type="dxa"/>
            <w:vAlign w:val="bottom"/>
          </w:tcPr>
          <w:p>
            <w:pPr>
              <w:spacing w:after="0"/>
              <w:rPr>
                <w:sz w:val="19"/>
                <w:szCs w:val="19"/>
                <w:color w:val="auto"/>
              </w:rPr>
            </w:pPr>
          </w:p>
        </w:tc>
      </w:tr>
      <w:tr>
        <w:trPr>
          <w:trHeight w:val="227"/>
        </w:trPr>
        <w:tc>
          <w:tcPr>
            <w:tcW w:w="9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charged to expense</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12,400</w:t>
            </w:r>
          </w:p>
        </w:tc>
        <w:tc>
          <w:tcPr>
            <w:tcW w:w="20" w:type="dxa"/>
            <w:vAlign w:val="bottom"/>
          </w:tcPr>
          <w:p>
            <w:pPr>
              <w:spacing w:after="0"/>
              <w:rPr>
                <w:sz w:val="19"/>
                <w:szCs w:val="19"/>
                <w:color w:val="auto"/>
              </w:rPr>
            </w:pPr>
          </w:p>
        </w:tc>
      </w:tr>
      <w:tr>
        <w:trPr>
          <w:trHeight w:val="227"/>
        </w:trPr>
        <w:tc>
          <w:tcPr>
            <w:tcW w:w="9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written off, less recoveries</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(11,428)</w:t>
            </w:r>
          </w:p>
        </w:tc>
        <w:tc>
          <w:tcPr>
            <w:tcW w:w="20" w:type="dxa"/>
            <w:vAlign w:val="bottom"/>
          </w:tcPr>
          <w:p>
            <w:pPr>
              <w:spacing w:after="0"/>
              <w:rPr>
                <w:sz w:val="19"/>
                <w:szCs w:val="19"/>
                <w:color w:val="auto"/>
              </w:rPr>
            </w:pPr>
          </w:p>
        </w:tc>
      </w:tr>
      <w:tr>
        <w:trPr>
          <w:trHeight w:val="221"/>
        </w:trPr>
        <w:tc>
          <w:tcPr>
            <w:tcW w:w="9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7,067</w:t>
            </w:r>
          </w:p>
        </w:tc>
        <w:tc>
          <w:tcPr>
            <w:tcW w:w="20" w:type="dxa"/>
            <w:vAlign w:val="bottom"/>
          </w:tcPr>
          <w:p>
            <w:pPr>
              <w:spacing w:after="0"/>
              <w:rPr>
                <w:sz w:val="19"/>
                <w:szCs w:val="19"/>
                <w:color w:val="auto"/>
              </w:rPr>
            </w:pPr>
          </w:p>
        </w:tc>
      </w:tr>
      <w:tr>
        <w:trPr>
          <w:trHeight w:val="20"/>
        </w:trPr>
        <w:tc>
          <w:tcPr>
            <w:tcW w:w="9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table above does not give effect for amounts included in the regulatory tracking mechanisms noted earlier. At December 31, 2024, the utility infrastructure services segment (Centuri) had $519.6 million in combined customer accounts and contracts receivable. The allowance for doubtful accounts at Centuri was $2.7 million and $2.5 million as of December 31, 2024 and 2023,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Regulatory Assets and Liabilities</w:t>
      </w:r>
    </w:p>
    <w:p>
      <w:pPr>
        <w:spacing w:after="0" w:line="1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Southwest Gas is subject to the regulation of the ACC, the PUCN, the CPUC, and the FERC. Accounting policies for Southwest Gas conform to U.S. GAAP applicable to rate-regulated entities and reflect the effects of the ratemaking process. Accounting treatment for rate-regulated entities allows for deferral as regulatory assets, costs that otherwise would be expensed, if it is probable that future recovery from customers will occur. If rate recovery is no longer probable, due to competition or the actions of regulators, the related regulatory asset is required to be written off. Regulatory liabilities are recorded if it is probable that revenues will be reduced for amounts that will be refunded to customers through the ratemaking process. Management records regulatory assets and liabilities based on decisions of the commissions noted above, including the issuance of regulatory orders and precedents established by these commissions. Southwest Gas has generally been successful in seeking recovery of regulatory assets, and regularly files rate cases or other administrative filings in the various jurisdictions, in some cases, to establish the basis for recovering regulatory assets reflected in accounting records.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3"/>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represents existing regulatory assets and liabilities: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7"/>
        </w:trPr>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8280" w:type="dxa"/>
            <w:vAlign w:val="bottom"/>
            <w:tcBorders>
              <w:bottom w:val="single" w:sz="8" w:color="CCEEFF"/>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0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assets: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pension and other postretirement benefit costs (1)</w:t>
            </w: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299,961</w:t>
            </w:r>
          </w:p>
        </w:tc>
        <w:tc>
          <w:tcPr>
            <w:tcW w:w="100" w:type="dxa"/>
            <w:vAlign w:val="bottom"/>
          </w:tcPr>
          <w:p>
            <w:pPr>
              <w:spacing w:after="0"/>
              <w:rPr>
                <w:sz w:val="19"/>
                <w:szCs w:val="19"/>
                <w:color w:val="auto"/>
              </w:rPr>
            </w:pPr>
          </w:p>
        </w:tc>
        <w:tc>
          <w:tcPr>
            <w:tcW w:w="48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309,794</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purchased gas costs (2)</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552,885</w:t>
            </w:r>
          </w:p>
        </w:tc>
        <w:tc>
          <w:tcPr>
            <w:tcW w:w="0" w:type="dxa"/>
            <w:vAlign w:val="bottom"/>
          </w:tcPr>
          <w:p>
            <w:pPr>
              <w:spacing w:after="0"/>
              <w:rPr>
                <w:sz w:val="1"/>
                <w:szCs w:val="1"/>
                <w:color w:val="auto"/>
              </w:rPr>
            </w:pPr>
          </w:p>
        </w:tc>
      </w:tr>
      <w:tr>
        <w:trPr>
          <w:trHeight w:val="227"/>
        </w:trPr>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Unamortized premium on reacquired debt (3)</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13,080</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absence time (4)</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18,937</w:t>
            </w:r>
          </w:p>
        </w:tc>
        <w:tc>
          <w:tcPr>
            <w:tcW w:w="0" w:type="dxa"/>
            <w:vAlign w:val="bottom"/>
          </w:tcPr>
          <w:p>
            <w:pPr>
              <w:spacing w:after="0"/>
              <w:rPr>
                <w:sz w:val="1"/>
                <w:szCs w:val="1"/>
                <w:color w:val="auto"/>
              </w:rPr>
            </w:pPr>
          </w:p>
        </w:tc>
      </w:tr>
      <w:tr>
        <w:trPr>
          <w:trHeight w:val="227"/>
        </w:trPr>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Margin, interest- and property tax-tracking (5)</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57,842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14,717</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(10)</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89,718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78,138</w:t>
            </w:r>
          </w:p>
        </w:tc>
        <w:tc>
          <w:tcPr>
            <w:tcW w:w="0" w:type="dxa"/>
            <w:vAlign w:val="bottom"/>
          </w:tcPr>
          <w:p>
            <w:pPr>
              <w:spacing w:after="0"/>
              <w:rPr>
                <w:sz w:val="1"/>
                <w:szCs w:val="1"/>
                <w:color w:val="auto"/>
              </w:rPr>
            </w:pPr>
          </w:p>
        </w:tc>
      </w:tr>
      <w:tr>
        <w:trPr>
          <w:trHeight w:val="221"/>
        </w:trPr>
        <w:tc>
          <w:tcPr>
            <w:tcW w:w="828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494,218</w:t>
            </w:r>
          </w:p>
        </w:tc>
        <w:tc>
          <w:tcPr>
            <w:tcW w:w="100" w:type="dxa"/>
            <w:vAlign w:val="bottom"/>
          </w:tcPr>
          <w:p>
            <w:pPr>
              <w:spacing w:after="0"/>
              <w:rPr>
                <w:sz w:val="19"/>
                <w:szCs w:val="19"/>
                <w:color w:val="auto"/>
              </w:rPr>
            </w:pPr>
          </w:p>
        </w:tc>
        <w:tc>
          <w:tcPr>
            <w:tcW w:w="48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987,551</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purchased gas costs (2)</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(242,259)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purchased gas costs (6)</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(87,579)</w:t>
            </w:r>
          </w:p>
        </w:tc>
        <w:tc>
          <w:tcPr>
            <w:tcW w:w="0" w:type="dxa"/>
            <w:vAlign w:val="bottom"/>
          </w:tcPr>
          <w:p>
            <w:pPr>
              <w:spacing w:after="0"/>
              <w:rPr>
                <w:sz w:val="1"/>
                <w:szCs w:val="1"/>
                <w:color w:val="auto"/>
              </w:rPr>
            </w:pPr>
          </w:p>
        </w:tc>
      </w:tr>
      <w:tr>
        <w:trPr>
          <w:trHeight w:val="227"/>
        </w:trPr>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removal costs (7)</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(458,000)</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Unamortized gain on reacquired debt (8)</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(6,036)</w:t>
            </w:r>
          </w:p>
        </w:tc>
        <w:tc>
          <w:tcPr>
            <w:tcW w:w="0" w:type="dxa"/>
            <w:vAlign w:val="bottom"/>
          </w:tcPr>
          <w:p>
            <w:pPr>
              <w:spacing w:after="0"/>
              <w:rPr>
                <w:sz w:val="1"/>
                <w:szCs w:val="1"/>
                <w:color w:val="auto"/>
              </w:rPr>
            </w:pPr>
          </w:p>
        </w:tc>
      </w:tr>
      <w:tr>
        <w:trPr>
          <w:trHeight w:val="227"/>
        </w:trPr>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Regulatory excess deferred/other taxes and gross-up (9)</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(368,378)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(394,411)</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Margin, interest- and property tax-tracking (5)</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(57,344)</w:t>
            </w:r>
          </w:p>
        </w:tc>
        <w:tc>
          <w:tcPr>
            <w:tcW w:w="0" w:type="dxa"/>
            <w:vAlign w:val="bottom"/>
          </w:tcPr>
          <w:p>
            <w:pPr>
              <w:spacing w:after="0"/>
              <w:rPr>
                <w:sz w:val="1"/>
                <w:szCs w:val="1"/>
                <w:color w:val="auto"/>
              </w:rPr>
            </w:pPr>
          </w:p>
        </w:tc>
      </w:tr>
      <w:tr>
        <w:trPr>
          <w:trHeight w:val="227"/>
        </w:trPr>
        <w:tc>
          <w:tcPr>
            <w:tcW w:w="8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(10)</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0" w:type="dxa"/>
            <w:vAlign w:val="bottom"/>
          </w:tcPr>
          <w:p>
            <w:pPr>
              <w:spacing w:after="0"/>
              <w:rPr>
                <w:sz w:val="1"/>
                <w:szCs w:val="1"/>
                <w:color w:val="auto"/>
              </w:rPr>
            </w:pPr>
          </w:p>
        </w:tc>
      </w:tr>
      <w:tr>
        <w:trPr>
          <w:trHeight w:val="246"/>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regulatory assets (liabilities)</w:t>
            </w: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(637,735)</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(18,309)</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160" w:firstLine="7"/>
        <w:spacing w:after="0" w:line="257" w:lineRule="auto"/>
        <w:tabs>
          <w:tab w:leader="none" w:pos="641"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Included in Deferred charges and other assets on the Consolidated Balance Sheets. Recovery period is greater than five years. (See </w:t>
      </w:r>
      <w:r>
        <w:rPr>
          <w:rFonts w:ascii="Times New Roman" w:cs="Times New Roman" w:eastAsia="Times New Roman" w:hAnsi="Times New Roman"/>
          <w:sz w:val="16"/>
          <w:szCs w:val="16"/>
          <w:b w:val="1"/>
          <w:bCs w:val="1"/>
          <w:color w:val="auto"/>
        </w:rPr>
        <w:t>Note 11 - Pension and Other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Postretirement Benefits</w:t>
      </w:r>
      <w:r>
        <w:rPr>
          <w:rFonts w:ascii="Times New Roman" w:cs="Times New Roman" w:eastAsia="Times New Roman" w:hAnsi="Times New Roman"/>
          <w:sz w:val="16"/>
          <w:szCs w:val="16"/>
          <w:color w:val="auto"/>
        </w:rPr>
        <w:t>).</w:t>
      </w:r>
    </w:p>
    <w:p>
      <w:pPr>
        <w:ind w:left="640" w:hanging="473"/>
        <w:spacing w:after="0"/>
        <w:tabs>
          <w:tab w:leader="none" w:pos="6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Balance recovered or refunded on an ongoing basis with interest.</w:t>
      </w:r>
    </w:p>
    <w:p>
      <w:pPr>
        <w:spacing w:after="0" w:line="7" w:lineRule="exact"/>
        <w:rPr>
          <w:rFonts w:ascii="Times New Roman" w:cs="Times New Roman" w:eastAsia="Times New Roman" w:hAnsi="Times New Roman"/>
          <w:sz w:val="16"/>
          <w:szCs w:val="16"/>
          <w:color w:val="auto"/>
        </w:rPr>
      </w:pPr>
    </w:p>
    <w:p>
      <w:pPr>
        <w:ind w:left="640" w:hanging="473"/>
        <w:spacing w:after="0"/>
        <w:tabs>
          <w:tab w:leader="none" w:pos="6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Deferred charges and other assets on the Consolidated Balance Sheets. Recovered over life of debt instruments.</w:t>
      </w:r>
    </w:p>
    <w:p>
      <w:pPr>
        <w:spacing w:after="0" w:line="12" w:lineRule="exact"/>
        <w:rPr>
          <w:rFonts w:ascii="Times New Roman" w:cs="Times New Roman" w:eastAsia="Times New Roman" w:hAnsi="Times New Roman"/>
          <w:sz w:val="16"/>
          <w:szCs w:val="16"/>
          <w:color w:val="auto"/>
        </w:rPr>
      </w:pPr>
    </w:p>
    <w:p>
      <w:pPr>
        <w:ind w:left="160" w:firstLine="7"/>
        <w:spacing w:after="0" w:line="252" w:lineRule="auto"/>
        <w:tabs>
          <w:tab w:leader="none" w:pos="641"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Recovery through cost of service generally on a one-year lag basis and part of overhead loading processes. Included in Prepaid and other current assets on the Consolidated Balance Sheets.</w:t>
      </w:r>
    </w:p>
    <w:p>
      <w:pPr>
        <w:spacing w:after="0" w:line="1" w:lineRule="exact"/>
        <w:rPr>
          <w:rFonts w:ascii="Times New Roman" w:cs="Times New Roman" w:eastAsia="Times New Roman" w:hAnsi="Times New Roman"/>
          <w:sz w:val="16"/>
          <w:szCs w:val="16"/>
          <w:color w:val="auto"/>
        </w:rPr>
      </w:pPr>
    </w:p>
    <w:p>
      <w:pPr>
        <w:jc w:val="both"/>
        <w:ind w:left="160" w:firstLine="7"/>
        <w:spacing w:after="0" w:line="249" w:lineRule="auto"/>
        <w:tabs>
          <w:tab w:leader="none" w:pos="641"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Margin tracking/decoupling mechanisms are alternative revenue programs; revenue associated with under-collections (for the difference between authorized margin levels and amounts billed to customers through rates currently) is recognized as revenue so long as recovery is expected to take place within 24 months. Total category asset balances are included in Prepaid and other current assets and Deferred charges and other assets on the Consolidated Balance Sheets. Total category liability balances are included in Other current liabilities and Other deferred credits and other long-term liabilities.</w:t>
      </w:r>
    </w:p>
    <w:p>
      <w:pPr>
        <w:spacing w:after="0" w:line="2" w:lineRule="exact"/>
        <w:rPr>
          <w:rFonts w:ascii="Times New Roman" w:cs="Times New Roman" w:eastAsia="Times New Roman" w:hAnsi="Times New Roman"/>
          <w:sz w:val="16"/>
          <w:szCs w:val="16"/>
          <w:color w:val="auto"/>
        </w:rPr>
      </w:pPr>
    </w:p>
    <w:p>
      <w:pPr>
        <w:ind w:left="160" w:firstLine="7"/>
        <w:spacing w:after="0" w:line="250" w:lineRule="auto"/>
        <w:tabs>
          <w:tab w:leader="none" w:pos="641"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Balance recovered or refunded on an ongoing basis. Asset balance is included in Prepaid and other current assets and the liability balance is included in Other current liabilities on the Consolidated Balance Sheets.</w:t>
      </w:r>
    </w:p>
    <w:p>
      <w:pPr>
        <w:ind w:left="160" w:firstLine="7"/>
        <w:spacing w:after="0" w:line="252" w:lineRule="auto"/>
        <w:tabs>
          <w:tab w:leader="none" w:pos="641"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Accumulated removal costs on the Consolidated Balance Sheets; a component of ongoing depreciation rates as part of margin rates overall and of benchmarks under trackers as part of general rate cases.</w:t>
      </w:r>
    </w:p>
    <w:p>
      <w:pPr>
        <w:spacing w:after="0" w:line="1" w:lineRule="exact"/>
        <w:rPr>
          <w:rFonts w:ascii="Times New Roman" w:cs="Times New Roman" w:eastAsia="Times New Roman" w:hAnsi="Times New Roman"/>
          <w:sz w:val="16"/>
          <w:szCs w:val="16"/>
          <w:color w:val="auto"/>
        </w:rPr>
      </w:pPr>
    </w:p>
    <w:p>
      <w:pPr>
        <w:ind w:left="640" w:hanging="473"/>
        <w:spacing w:after="0"/>
        <w:tabs>
          <w:tab w:leader="none" w:pos="6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Other deferred credits and other long-term liabilities on the Consolidated Balance Sheets. Amortized over life of debt instruments.</w:t>
      </w:r>
    </w:p>
    <w:p>
      <w:pPr>
        <w:spacing w:after="0" w:line="7" w:lineRule="exact"/>
        <w:rPr>
          <w:rFonts w:ascii="Times New Roman" w:cs="Times New Roman" w:eastAsia="Times New Roman" w:hAnsi="Times New Roman"/>
          <w:sz w:val="16"/>
          <w:szCs w:val="16"/>
          <w:color w:val="auto"/>
        </w:rPr>
      </w:pPr>
    </w:p>
    <w:p>
      <w:pPr>
        <w:jc w:val="both"/>
        <w:ind w:left="160" w:firstLine="7"/>
        <w:spacing w:after="0" w:line="251" w:lineRule="auto"/>
        <w:tabs>
          <w:tab w:leader="none" w:pos="641"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remeasurement/reduction of the net accumulated deferred income tax liability from U.S. tax reform. The reduction (EADIT) became a regulatory liability with tax gross-up. EADIT reduces rate base, and is expected to be returned to utility customers in accordance with IRS and regulatory requirements. Included generally in Other deferred credits and other long-term liabilities on the Consolidated Balance Sheets, except for $19 million in 2024 which is in Other current liabilities. Amount includes a separate $7 million gross-up related to contributions in aid of construction.</w:t>
      </w:r>
    </w:p>
    <w:p>
      <w:pPr>
        <w:spacing w:after="0" w:line="2" w:lineRule="exact"/>
        <w:rPr>
          <w:rFonts w:ascii="Times New Roman" w:cs="Times New Roman" w:eastAsia="Times New Roman" w:hAnsi="Times New Roman"/>
          <w:sz w:val="16"/>
          <w:szCs w:val="16"/>
          <w:color w:val="auto"/>
        </w:rPr>
      </w:pPr>
    </w:p>
    <w:p>
      <w:pPr>
        <w:jc w:val="both"/>
        <w:ind w:left="160" w:right="20" w:firstLine="7"/>
        <w:spacing w:after="0" w:line="257" w:lineRule="auto"/>
        <w:tabs>
          <w:tab w:leader="none" w:pos="641"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tables detail the components of Other regulatory assets and liabilities. Other regulatory assets are included in either Prepaid and other current assets or Deferred charges and other assets on the Consolidated Balance Sheets (as indicated). Recovery periods vary. Other regulatory liabilities are included in either Other current liabilities or Other deferred credits and other long-term liabilities on the Consolidated Balance Sheets (as indicated).</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sectPr>
      </w:pPr>
    </w:p>
    <w:bookmarkStart w:id="79" w:name="page80"/>
    <w:bookmarkEnd w:id="79"/>
    <w:tbl>
      <w:tblPr>
        <w:tblLayout w:type="fixed"/>
        <w:tblInd w:w="320" w:type="dxa"/>
        <w:tblCellMar>
          <w:top w:w="0" w:type="dxa"/>
          <w:left w:w="0" w:type="dxa"/>
          <w:bottom w:w="0" w:type="dxa"/>
          <w:right w:w="0" w:type="dxa"/>
        </w:tblCellMar>
      </w:tblPr>
      <w:tr>
        <w:trPr>
          <w:trHeight w:val="232"/>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8180" w:type="dxa"/>
            <w:vAlign w:val="bottom"/>
            <w:tcBorders>
              <w:bottom w:val="single" w:sz="8" w:color="CCEEFF"/>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0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Regulatory Assets: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 mandated public purpose programs (including low income and conservation programs) (a) (f)</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24,229</w:t>
            </w:r>
          </w:p>
        </w:tc>
        <w:tc>
          <w:tcPr>
            <w:tcW w:w="80" w:type="dxa"/>
            <w:vAlign w:val="bottom"/>
          </w:tcPr>
          <w:p>
            <w:pPr>
              <w:spacing w:after="0"/>
              <w:rPr>
                <w:sz w:val="19"/>
                <w:szCs w:val="19"/>
                <w:color w:val="auto"/>
              </w:rPr>
            </w:pPr>
          </w:p>
        </w:tc>
        <w:tc>
          <w:tcPr>
            <w:tcW w:w="50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21,290</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Infrastructure replacement programs and similar (b) (f)</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16,491</w:t>
            </w:r>
          </w:p>
        </w:tc>
        <w:tc>
          <w:tcPr>
            <w:tcW w:w="0" w:type="dxa"/>
            <w:vAlign w:val="bottom"/>
          </w:tcPr>
          <w:p>
            <w:pPr>
              <w:spacing w:after="0"/>
              <w:rPr>
                <w:sz w:val="1"/>
                <w:szCs w:val="1"/>
                <w:color w:val="auto"/>
              </w:rPr>
            </w:pPr>
          </w:p>
        </w:tc>
      </w:tr>
      <w:tr>
        <w:trPr>
          <w:trHeight w:val="227"/>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Environmental compliance programs (c) (f)</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4,005</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Pension tracking mechanism (d)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16,167</w:t>
            </w:r>
          </w:p>
        </w:tc>
        <w:tc>
          <w:tcPr>
            <w:tcW w:w="0" w:type="dxa"/>
            <w:vAlign w:val="bottom"/>
          </w:tcPr>
          <w:p>
            <w:pPr>
              <w:spacing w:after="0"/>
              <w:rPr>
                <w:sz w:val="1"/>
                <w:szCs w:val="1"/>
                <w:color w:val="auto"/>
              </w:rPr>
            </w:pPr>
          </w:p>
        </w:tc>
      </w:tr>
      <w:tr>
        <w:trPr>
          <w:trHeight w:val="227"/>
        </w:trPr>
        <w:tc>
          <w:tcPr>
            <w:tcW w:w="8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23,115</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20,185</w:t>
            </w:r>
          </w:p>
        </w:tc>
        <w:tc>
          <w:tcPr>
            <w:tcW w:w="0" w:type="dxa"/>
            <w:vAlign w:val="bottom"/>
          </w:tcPr>
          <w:p>
            <w:pPr>
              <w:spacing w:after="0"/>
              <w:rPr>
                <w:sz w:val="1"/>
                <w:szCs w:val="1"/>
                <w:color w:val="auto"/>
              </w:rPr>
            </w:pPr>
          </w:p>
        </w:tc>
      </w:tr>
      <w:tr>
        <w:trPr>
          <w:trHeight w:val="246"/>
        </w:trPr>
        <w:tc>
          <w:tcPr>
            <w:tcW w:w="81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89,718</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78,138</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ind w:left="640" w:hanging="473"/>
        <w:spacing w:after="0"/>
        <w:tabs>
          <w:tab w:leader="none" w:pos="6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Prepaid and other current assets on the Consolidated Balance Sheets.</w:t>
      </w:r>
    </w:p>
    <w:p>
      <w:pPr>
        <w:spacing w:after="0" w:line="21" w:lineRule="exact"/>
        <w:rPr>
          <w:rFonts w:ascii="Times New Roman" w:cs="Times New Roman" w:eastAsia="Times New Roman" w:hAnsi="Times New Roman"/>
          <w:sz w:val="16"/>
          <w:szCs w:val="16"/>
          <w:color w:val="auto"/>
        </w:rPr>
      </w:pPr>
    </w:p>
    <w:p>
      <w:pPr>
        <w:ind w:left="160" w:right="100" w:firstLine="7"/>
        <w:spacing w:after="0" w:line="246" w:lineRule="auto"/>
        <w:tabs>
          <w:tab w:leader="none" w:pos="641"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2024, the balances are included in Deferred charges and other assets on the Consolidated Balance Sheets. In 2023, approximately $171,000 included in Prepaid and other current assets and $16.3 million included in Deferred charges and other assets on the Consolidated Balance Sheets.</w:t>
      </w:r>
    </w:p>
    <w:p>
      <w:pPr>
        <w:spacing w:after="0" w:line="1" w:lineRule="exact"/>
        <w:rPr>
          <w:rFonts w:ascii="Times New Roman" w:cs="Times New Roman" w:eastAsia="Times New Roman" w:hAnsi="Times New Roman"/>
          <w:sz w:val="16"/>
          <w:szCs w:val="16"/>
          <w:color w:val="auto"/>
        </w:rPr>
      </w:pPr>
    </w:p>
    <w:p>
      <w:pPr>
        <w:jc w:val="both"/>
        <w:ind w:left="160" w:right="100" w:firstLine="7"/>
        <w:spacing w:after="0" w:line="254" w:lineRule="auto"/>
        <w:tabs>
          <w:tab w:leader="none" w:pos="632"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2024, approximately $3.4 million of these balances included in Prepaid and other current assets and $1.1 million in Deferred charges and other assets on the Consolidated Balance Sheets. In 2023, approximately $3 million included in Prepaid and other current assets and $967,000 included in Deferred charges and other assets on the Consolidated Balance Sheets.</w:t>
      </w:r>
    </w:p>
    <w:p>
      <w:pPr>
        <w:ind w:left="640" w:hanging="473"/>
        <w:spacing w:after="0"/>
        <w:tabs>
          <w:tab w:leader="none" w:pos="6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Deferred charges and other assets on the Consolidated Balance Sheets.</w:t>
      </w:r>
    </w:p>
    <w:p>
      <w:pPr>
        <w:spacing w:after="0" w:line="3" w:lineRule="exact"/>
        <w:rPr>
          <w:rFonts w:ascii="Times New Roman" w:cs="Times New Roman" w:eastAsia="Times New Roman" w:hAnsi="Times New Roman"/>
          <w:sz w:val="16"/>
          <w:szCs w:val="16"/>
          <w:color w:val="auto"/>
        </w:rPr>
      </w:pPr>
    </w:p>
    <w:p>
      <w:pPr>
        <w:jc w:val="both"/>
        <w:ind w:left="160" w:right="100" w:firstLine="7"/>
        <w:spacing w:after="0" w:line="251" w:lineRule="auto"/>
        <w:tabs>
          <w:tab w:leader="none" w:pos="632"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2024, approximately $10.7 million included in Prepaid and other current assets and $12.4 million included in Deferred charges and other assets on the Consolidated Balance Sheets. In 2023, $9 million included in Prepaid and other current assets and $11.2 million included in Deferred charges and other assets on the Consolidated Balance Sheets.</w:t>
      </w:r>
    </w:p>
    <w:p>
      <w:pPr>
        <w:spacing w:after="0" w:line="1" w:lineRule="exact"/>
        <w:rPr>
          <w:rFonts w:ascii="Times New Roman" w:cs="Times New Roman" w:eastAsia="Times New Roman" w:hAnsi="Times New Roman"/>
          <w:sz w:val="16"/>
          <w:szCs w:val="16"/>
          <w:color w:val="auto"/>
        </w:rPr>
      </w:pPr>
    </w:p>
    <w:p>
      <w:pPr>
        <w:ind w:left="640" w:hanging="473"/>
        <w:spacing w:after="0"/>
        <w:tabs>
          <w:tab w:leader="none" w:pos="6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Balance recovered or refunded on an ongoing basis, generally with interest.</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232"/>
        </w:trPr>
        <w:tc>
          <w:tcPr>
            <w:tcW w:w="8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940" w:type="dxa"/>
            <w:vAlign w:val="bottom"/>
            <w:tcBorders>
              <w:bottom w:val="single" w:sz="8" w:color="auto"/>
            </w:tcBorders>
          </w:tcPr>
          <w:p>
            <w:pPr>
              <w:spacing w:after="0"/>
              <w:rPr>
                <w:sz w:val="20"/>
                <w:szCs w:val="20"/>
                <w:color w:val="auto"/>
              </w:rPr>
            </w:pPr>
          </w:p>
        </w:tc>
      </w:tr>
      <w:tr>
        <w:trPr>
          <w:trHeight w:val="221"/>
        </w:trPr>
        <w:tc>
          <w:tcPr>
            <w:tcW w:w="8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(Thousands of dollars)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2023</w:t>
            </w:r>
          </w:p>
        </w:tc>
      </w:tr>
      <w:tr>
        <w:trPr>
          <w:trHeight w:val="207"/>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Regulatory Liabilities: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7"/>
        </w:trPr>
        <w:tc>
          <w:tcPr>
            <w:tcW w:w="8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State mandated public purpose programs (including low income and conservation programs) (g) (i)</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27"/>
        </w:trPr>
        <w:tc>
          <w:tcPr>
            <w:tcW w:w="8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(h) (i)</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w:t>
            </w:r>
          </w:p>
        </w:tc>
      </w:tr>
      <w:tr>
        <w:trPr>
          <w:trHeight w:val="221"/>
        </w:trPr>
        <w:tc>
          <w:tcPr>
            <w:tcW w:w="82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(2,490)</w:t>
            </w:r>
          </w:p>
        </w:tc>
      </w:tr>
      <w:tr>
        <w:trPr>
          <w:trHeight w:val="20"/>
        </w:trPr>
        <w:tc>
          <w:tcPr>
            <w:tcW w:w="8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93" w:lineRule="exact"/>
        <w:rPr>
          <w:sz w:val="20"/>
          <w:szCs w:val="20"/>
          <w:color w:val="auto"/>
        </w:rPr>
      </w:pPr>
    </w:p>
    <w:p>
      <w:pPr>
        <w:ind w:left="640" w:hanging="473"/>
        <w:spacing w:after="0"/>
        <w:tabs>
          <w:tab w:leader="none" w:pos="6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2023, included in Other current liabilities on the Consolidated Balance Sheets.</w:t>
      </w:r>
    </w:p>
    <w:p>
      <w:pPr>
        <w:spacing w:after="0" w:line="21" w:lineRule="exact"/>
        <w:rPr>
          <w:rFonts w:ascii="Times New Roman" w:cs="Times New Roman" w:eastAsia="Times New Roman" w:hAnsi="Times New Roman"/>
          <w:sz w:val="16"/>
          <w:szCs w:val="16"/>
          <w:color w:val="auto"/>
        </w:rPr>
      </w:pPr>
    </w:p>
    <w:p>
      <w:pPr>
        <w:ind w:left="160" w:right="100" w:firstLine="7"/>
        <w:spacing w:after="0" w:line="246" w:lineRule="auto"/>
        <w:tabs>
          <w:tab w:leader="none" w:pos="641"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2024, included in Other current liabilities on the Consolidated Balance Sheets. In 2023, included in Other current liabilities, except $146,000 which was included in Other deferred credits and other long-term liabilities on the Consolidated Balance Sheets.</w:t>
      </w:r>
    </w:p>
    <w:p>
      <w:pPr>
        <w:spacing w:after="0" w:line="1" w:lineRule="exact"/>
        <w:rPr>
          <w:rFonts w:ascii="Times New Roman" w:cs="Times New Roman" w:eastAsia="Times New Roman" w:hAnsi="Times New Roman"/>
          <w:sz w:val="16"/>
          <w:szCs w:val="16"/>
          <w:color w:val="auto"/>
        </w:rPr>
      </w:pPr>
    </w:p>
    <w:p>
      <w:pPr>
        <w:ind w:left="640" w:hanging="473"/>
        <w:spacing w:after="0"/>
        <w:tabs>
          <w:tab w:leader="none" w:pos="6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Balance typically recovered or refunded on an ongoing basis, generally with interest.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Other Comprehensive Income and AOCI</w:t>
      </w:r>
    </w:p>
    <w:p>
      <w:pPr>
        <w:spacing w:after="0" w:line="118" w:lineRule="exact"/>
        <w:rPr>
          <w:sz w:val="20"/>
          <w:szCs w:val="20"/>
          <w:color w:val="auto"/>
        </w:rPr>
      </w:pPr>
    </w:p>
    <w:p>
      <w:pPr>
        <w:jc w:val="both"/>
        <w:ind w:right="100"/>
        <w:spacing w:after="0" w:line="263" w:lineRule="auto"/>
        <w:rPr>
          <w:sz w:val="20"/>
          <w:szCs w:val="20"/>
          <w:color w:val="auto"/>
        </w:rPr>
      </w:pPr>
      <w:r>
        <w:rPr>
          <w:rFonts w:ascii="Times New Roman" w:cs="Times New Roman" w:eastAsia="Times New Roman" w:hAnsi="Times New Roman"/>
          <w:sz w:val="18"/>
          <w:szCs w:val="18"/>
          <w:color w:val="auto"/>
        </w:rPr>
        <w:t>The following information provides insight into amounts impacting the Company’s and Southwest Gas’ Other comprehensive income (loss), both before and after-tax impacts, within the Consolidated Statements of Comprehensive Income, which also impact AOCI in the Consolidated Balance Sheets and the Consolidated Statements of Equity.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Tax Effects Allocated to Each Component of Other Comprehensive Income (Loss):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December 31,</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color w:val="auto"/>
                <w:w w:val="99"/>
              </w:rPr>
              <w:t>2024</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color w:val="auto"/>
                <w:w w:val="99"/>
              </w:rPr>
              <w:t>2023</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Before-</w:t>
            </w:r>
          </w:p>
        </w:tc>
        <w:tc>
          <w:tcPr>
            <w:tcW w:w="10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Tax (Expense)</w:t>
            </w:r>
          </w:p>
        </w:tc>
        <w:tc>
          <w:tcPr>
            <w:tcW w:w="100" w:type="dxa"/>
            <w:vAlign w:val="bottom"/>
          </w:tcPr>
          <w:p>
            <w:pPr>
              <w:spacing w:after="0"/>
              <w:rPr>
                <w:sz w:val="11"/>
                <w:szCs w:val="11"/>
                <w:color w:val="auto"/>
              </w:rPr>
            </w:pPr>
          </w:p>
        </w:tc>
        <w:tc>
          <w:tcPr>
            <w:tcW w:w="7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Net-of-</w:t>
            </w:r>
          </w:p>
        </w:tc>
        <w:tc>
          <w:tcPr>
            <w:tcW w:w="120" w:type="dxa"/>
            <w:vAlign w:val="bottom"/>
          </w:tcPr>
          <w:p>
            <w:pPr>
              <w:spacing w:after="0"/>
              <w:rPr>
                <w:sz w:val="11"/>
                <w:szCs w:val="11"/>
                <w:color w:val="auto"/>
              </w:rPr>
            </w:pPr>
          </w:p>
        </w:tc>
        <w:tc>
          <w:tcPr>
            <w:tcW w:w="7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Before-</w:t>
            </w:r>
          </w:p>
        </w:tc>
        <w:tc>
          <w:tcPr>
            <w:tcW w:w="120" w:type="dxa"/>
            <w:vAlign w:val="bottom"/>
          </w:tcPr>
          <w:p>
            <w:pPr>
              <w:spacing w:after="0"/>
              <w:rPr>
                <w:sz w:val="11"/>
                <w:szCs w:val="11"/>
                <w:color w:val="auto"/>
              </w:rPr>
            </w:pPr>
          </w:p>
        </w:tc>
        <w:tc>
          <w:tcPr>
            <w:tcW w:w="90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4"/>
                <w:szCs w:val="14"/>
                <w:color w:val="auto"/>
              </w:rPr>
              <w:t>Tax</w:t>
            </w:r>
          </w:p>
        </w:tc>
        <w:tc>
          <w:tcPr>
            <w:tcW w:w="100" w:type="dxa"/>
            <w:vAlign w:val="bottom"/>
          </w:tcPr>
          <w:p>
            <w:pPr>
              <w:spacing w:after="0"/>
              <w:rPr>
                <w:sz w:val="11"/>
                <w:szCs w:val="11"/>
                <w:color w:val="auto"/>
              </w:rPr>
            </w:pPr>
          </w:p>
        </w:tc>
        <w:tc>
          <w:tcPr>
            <w:tcW w:w="7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Net-of-</w:t>
            </w:r>
          </w:p>
        </w:tc>
        <w:tc>
          <w:tcPr>
            <w:tcW w:w="120" w:type="dxa"/>
            <w:vAlign w:val="bottom"/>
          </w:tcPr>
          <w:p>
            <w:pPr>
              <w:spacing w:after="0"/>
              <w:rPr>
                <w:sz w:val="11"/>
                <w:szCs w:val="11"/>
                <w:color w:val="auto"/>
              </w:rPr>
            </w:pPr>
          </w:p>
        </w:tc>
        <w:tc>
          <w:tcPr>
            <w:tcW w:w="7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w w:val="98"/>
              </w:rPr>
              <w:t>Before-</w:t>
            </w:r>
          </w:p>
        </w:tc>
        <w:tc>
          <w:tcPr>
            <w:tcW w:w="120" w:type="dxa"/>
            <w:vAlign w:val="bottom"/>
          </w:tcPr>
          <w:p>
            <w:pPr>
              <w:spacing w:after="0"/>
              <w:rPr>
                <w:sz w:val="11"/>
                <w:szCs w:val="11"/>
                <w:color w:val="auto"/>
              </w:rPr>
            </w:pPr>
          </w:p>
        </w:tc>
        <w:tc>
          <w:tcPr>
            <w:tcW w:w="900" w:type="dxa"/>
            <w:vAlign w:val="bottom"/>
            <w:gridSpan w:val="2"/>
          </w:tcPr>
          <w:p>
            <w:pPr>
              <w:jc w:val="center"/>
              <w:ind w:right="220"/>
              <w:spacing w:after="0" w:line="134" w:lineRule="exact"/>
              <w:rPr>
                <w:sz w:val="20"/>
                <w:szCs w:val="20"/>
                <w:color w:val="auto"/>
              </w:rPr>
            </w:pPr>
            <w:r>
              <w:rPr>
                <w:rFonts w:ascii="Times New Roman" w:cs="Times New Roman" w:eastAsia="Times New Roman" w:hAnsi="Times New Roman"/>
                <w:sz w:val="14"/>
                <w:szCs w:val="14"/>
                <w:color w:val="auto"/>
                <w:w w:val="91"/>
              </w:rPr>
              <w:t>Tax</w:t>
            </w:r>
          </w:p>
        </w:tc>
        <w:tc>
          <w:tcPr>
            <w:tcW w:w="120" w:type="dxa"/>
            <w:vAlign w:val="bottom"/>
          </w:tcPr>
          <w:p>
            <w:pPr>
              <w:spacing w:after="0"/>
              <w:rPr>
                <w:sz w:val="11"/>
                <w:szCs w:val="11"/>
                <w:color w:val="auto"/>
              </w:rPr>
            </w:pPr>
          </w:p>
        </w:tc>
        <w:tc>
          <w:tcPr>
            <w:tcW w:w="640" w:type="dxa"/>
            <w:vAlign w:val="bottom"/>
            <w:vMerge w:val="restart"/>
          </w:tcPr>
          <w:p>
            <w:pPr>
              <w:jc w:val="center"/>
              <w:ind w:right="49"/>
              <w:spacing w:after="0"/>
              <w:rPr>
                <w:sz w:val="20"/>
                <w:szCs w:val="20"/>
                <w:color w:val="auto"/>
              </w:rPr>
            </w:pPr>
            <w:r>
              <w:rPr>
                <w:rFonts w:ascii="Times New Roman" w:cs="Times New Roman" w:eastAsia="Times New Roman" w:hAnsi="Times New Roman"/>
                <w:sz w:val="14"/>
                <w:szCs w:val="14"/>
                <w:color w:val="auto"/>
                <w:w w:val="96"/>
              </w:rPr>
              <w:t>Net-of-</w:t>
            </w:r>
          </w:p>
        </w:tc>
        <w:tc>
          <w:tcPr>
            <w:tcW w:w="0" w:type="dxa"/>
            <w:vAlign w:val="bottom"/>
          </w:tcPr>
          <w:p>
            <w:pPr>
              <w:spacing w:after="0"/>
              <w:rPr>
                <w:sz w:val="1"/>
                <w:szCs w:val="1"/>
                <w:color w:val="auto"/>
              </w:rPr>
            </w:pPr>
          </w:p>
        </w:tc>
      </w:tr>
      <w:tr>
        <w:trPr>
          <w:trHeight w:val="147"/>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color w:val="auto"/>
              </w:rPr>
              <w:t>(Expense)</w:t>
            </w: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color w:val="auto"/>
              </w:rPr>
              <w:t>(Expense)</w:t>
            </w: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 of dollars)</w:t>
            </w:r>
          </w:p>
        </w:tc>
        <w:tc>
          <w:tcPr>
            <w:tcW w:w="120" w:type="dxa"/>
            <w:vAlign w:val="bottom"/>
          </w:tcPr>
          <w:p>
            <w:pPr>
              <w:spacing w:after="0"/>
              <w:rPr>
                <w:sz w:val="11"/>
                <w:szCs w:val="11"/>
                <w:color w:val="auto"/>
              </w:rPr>
            </w:pPr>
          </w:p>
        </w:tc>
        <w:tc>
          <w:tcPr>
            <w:tcW w:w="760" w:type="dxa"/>
            <w:vAlign w:val="bottom"/>
            <w:gridSpan w:val="2"/>
          </w:tcPr>
          <w:p>
            <w:pPr>
              <w:jc w:val="center"/>
              <w:ind w:right="220"/>
              <w:spacing w:after="0" w:line="138" w:lineRule="exact"/>
              <w:rPr>
                <w:sz w:val="20"/>
                <w:szCs w:val="20"/>
                <w:color w:val="auto"/>
              </w:rPr>
            </w:pPr>
            <w:r>
              <w:rPr>
                <w:rFonts w:ascii="Times New Roman" w:cs="Times New Roman" w:eastAsia="Times New Roman" w:hAnsi="Times New Roman"/>
                <w:sz w:val="14"/>
                <w:szCs w:val="14"/>
                <w:color w:val="auto"/>
              </w:rPr>
              <w:t>Tax</w:t>
            </w:r>
          </w:p>
        </w:tc>
        <w:tc>
          <w:tcPr>
            <w:tcW w:w="100" w:type="dxa"/>
            <w:vAlign w:val="bottom"/>
          </w:tcPr>
          <w:p>
            <w:pPr>
              <w:spacing w:after="0"/>
              <w:rPr>
                <w:sz w:val="11"/>
                <w:szCs w:val="11"/>
                <w:color w:val="auto"/>
              </w:rPr>
            </w:pPr>
          </w:p>
        </w:tc>
        <w:tc>
          <w:tcPr>
            <w:tcW w:w="900" w:type="dxa"/>
            <w:vAlign w:val="bottom"/>
            <w:gridSpan w:val="2"/>
          </w:tcPr>
          <w:p>
            <w:pPr>
              <w:jc w:val="center"/>
              <w:ind w:right="220"/>
              <w:spacing w:after="0" w:line="138" w:lineRule="exact"/>
              <w:rPr>
                <w:sz w:val="20"/>
                <w:szCs w:val="20"/>
                <w:color w:val="auto"/>
              </w:rPr>
            </w:pPr>
            <w:r>
              <w:rPr>
                <w:rFonts w:ascii="Times New Roman" w:cs="Times New Roman" w:eastAsia="Times New Roman" w:hAnsi="Times New Roman"/>
                <w:sz w:val="14"/>
                <w:szCs w:val="14"/>
                <w:color w:val="auto"/>
              </w:rPr>
              <w:t>or</w:t>
            </w:r>
          </w:p>
        </w:tc>
        <w:tc>
          <w:tcPr>
            <w:tcW w:w="100" w:type="dxa"/>
            <w:vAlign w:val="bottom"/>
          </w:tcPr>
          <w:p>
            <w:pPr>
              <w:spacing w:after="0"/>
              <w:rPr>
                <w:sz w:val="11"/>
                <w:szCs w:val="11"/>
                <w:color w:val="auto"/>
              </w:rPr>
            </w:pPr>
          </w:p>
        </w:tc>
        <w:tc>
          <w:tcPr>
            <w:tcW w:w="740" w:type="dxa"/>
            <w:vAlign w:val="bottom"/>
            <w:gridSpan w:val="2"/>
          </w:tcPr>
          <w:p>
            <w:pPr>
              <w:jc w:val="center"/>
              <w:ind w:right="220"/>
              <w:spacing w:after="0" w:line="138" w:lineRule="exact"/>
              <w:rPr>
                <w:sz w:val="20"/>
                <w:szCs w:val="20"/>
                <w:color w:val="auto"/>
              </w:rPr>
            </w:pPr>
            <w:r>
              <w:rPr>
                <w:rFonts w:ascii="Times New Roman" w:cs="Times New Roman" w:eastAsia="Times New Roman" w:hAnsi="Times New Roman"/>
                <w:sz w:val="14"/>
                <w:szCs w:val="14"/>
                <w:color w:val="auto"/>
                <w:w w:val="91"/>
              </w:rPr>
              <w:t>Tax</w:t>
            </w:r>
          </w:p>
        </w:tc>
        <w:tc>
          <w:tcPr>
            <w:tcW w:w="120" w:type="dxa"/>
            <w:vAlign w:val="bottom"/>
          </w:tcPr>
          <w:p>
            <w:pPr>
              <w:spacing w:after="0"/>
              <w:rPr>
                <w:sz w:val="11"/>
                <w:szCs w:val="11"/>
                <w:color w:val="auto"/>
              </w:rPr>
            </w:pPr>
          </w:p>
        </w:tc>
        <w:tc>
          <w:tcPr>
            <w:tcW w:w="740" w:type="dxa"/>
            <w:vAlign w:val="bottom"/>
            <w:gridSpan w:val="2"/>
          </w:tcPr>
          <w:p>
            <w:pPr>
              <w:jc w:val="center"/>
              <w:ind w:right="220"/>
              <w:spacing w:after="0" w:line="138" w:lineRule="exact"/>
              <w:rPr>
                <w:sz w:val="20"/>
                <w:szCs w:val="20"/>
                <w:color w:val="auto"/>
              </w:rPr>
            </w:pPr>
            <w:r>
              <w:rPr>
                <w:rFonts w:ascii="Times New Roman" w:cs="Times New Roman" w:eastAsia="Times New Roman" w:hAnsi="Times New Roman"/>
                <w:sz w:val="14"/>
                <w:szCs w:val="14"/>
                <w:color w:val="auto"/>
                <w:w w:val="91"/>
              </w:rPr>
              <w:t>Tax</w:t>
            </w:r>
          </w:p>
        </w:tc>
        <w:tc>
          <w:tcPr>
            <w:tcW w:w="120" w:type="dxa"/>
            <w:vAlign w:val="bottom"/>
          </w:tcPr>
          <w:p>
            <w:pPr>
              <w:spacing w:after="0"/>
              <w:rPr>
                <w:sz w:val="11"/>
                <w:szCs w:val="11"/>
                <w:color w:val="auto"/>
              </w:rPr>
            </w:pPr>
          </w:p>
        </w:tc>
        <w:tc>
          <w:tcPr>
            <w:tcW w:w="900" w:type="dxa"/>
            <w:vAlign w:val="bottom"/>
            <w:gridSpan w:val="2"/>
          </w:tcPr>
          <w:p>
            <w:pPr>
              <w:jc w:val="center"/>
              <w:ind w:right="220"/>
              <w:spacing w:after="0" w:line="138" w:lineRule="exact"/>
              <w:rPr>
                <w:sz w:val="20"/>
                <w:szCs w:val="20"/>
                <w:color w:val="auto"/>
              </w:rPr>
            </w:pPr>
            <w:r>
              <w:rPr>
                <w:rFonts w:ascii="Times New Roman" w:cs="Times New Roman" w:eastAsia="Times New Roman" w:hAnsi="Times New Roman"/>
                <w:sz w:val="14"/>
                <w:szCs w:val="14"/>
                <w:color w:val="auto"/>
              </w:rPr>
              <w:t>or</w:t>
            </w:r>
          </w:p>
        </w:tc>
        <w:tc>
          <w:tcPr>
            <w:tcW w:w="100" w:type="dxa"/>
            <w:vAlign w:val="bottom"/>
          </w:tcPr>
          <w:p>
            <w:pPr>
              <w:spacing w:after="0"/>
              <w:rPr>
                <w:sz w:val="11"/>
                <w:szCs w:val="11"/>
                <w:color w:val="auto"/>
              </w:rPr>
            </w:pPr>
          </w:p>
        </w:tc>
        <w:tc>
          <w:tcPr>
            <w:tcW w:w="760" w:type="dxa"/>
            <w:vAlign w:val="bottom"/>
            <w:gridSpan w:val="2"/>
          </w:tcPr>
          <w:p>
            <w:pPr>
              <w:jc w:val="center"/>
              <w:ind w:right="220"/>
              <w:spacing w:after="0" w:line="138" w:lineRule="exact"/>
              <w:rPr>
                <w:sz w:val="20"/>
                <w:szCs w:val="20"/>
                <w:color w:val="auto"/>
              </w:rPr>
            </w:pPr>
            <w:r>
              <w:rPr>
                <w:rFonts w:ascii="Times New Roman" w:cs="Times New Roman" w:eastAsia="Times New Roman" w:hAnsi="Times New Roman"/>
                <w:sz w:val="14"/>
                <w:szCs w:val="14"/>
                <w:color w:val="auto"/>
              </w:rPr>
              <w:t>Tax</w:t>
            </w:r>
          </w:p>
        </w:tc>
        <w:tc>
          <w:tcPr>
            <w:tcW w:w="120" w:type="dxa"/>
            <w:vAlign w:val="bottom"/>
          </w:tcPr>
          <w:p>
            <w:pPr>
              <w:spacing w:after="0"/>
              <w:rPr>
                <w:sz w:val="11"/>
                <w:szCs w:val="11"/>
                <w:color w:val="auto"/>
              </w:rPr>
            </w:pPr>
          </w:p>
        </w:tc>
        <w:tc>
          <w:tcPr>
            <w:tcW w:w="760" w:type="dxa"/>
            <w:vAlign w:val="bottom"/>
            <w:gridSpan w:val="2"/>
          </w:tcPr>
          <w:p>
            <w:pPr>
              <w:jc w:val="center"/>
              <w:ind w:right="220"/>
              <w:spacing w:after="0" w:line="138" w:lineRule="exact"/>
              <w:rPr>
                <w:sz w:val="20"/>
                <w:szCs w:val="20"/>
                <w:color w:val="auto"/>
              </w:rPr>
            </w:pPr>
            <w:r>
              <w:rPr>
                <w:rFonts w:ascii="Times New Roman" w:cs="Times New Roman" w:eastAsia="Times New Roman" w:hAnsi="Times New Roman"/>
                <w:sz w:val="14"/>
                <w:szCs w:val="14"/>
                <w:color w:val="auto"/>
              </w:rPr>
              <w:t>Tax</w:t>
            </w:r>
          </w:p>
        </w:tc>
        <w:tc>
          <w:tcPr>
            <w:tcW w:w="120" w:type="dxa"/>
            <w:vAlign w:val="bottom"/>
          </w:tcPr>
          <w:p>
            <w:pPr>
              <w:spacing w:after="0"/>
              <w:rPr>
                <w:sz w:val="11"/>
                <w:szCs w:val="11"/>
                <w:color w:val="auto"/>
              </w:rPr>
            </w:pPr>
          </w:p>
        </w:tc>
        <w:tc>
          <w:tcPr>
            <w:tcW w:w="900" w:type="dxa"/>
            <w:vAlign w:val="bottom"/>
            <w:gridSpan w:val="2"/>
          </w:tcPr>
          <w:p>
            <w:pPr>
              <w:jc w:val="center"/>
              <w:ind w:right="220"/>
              <w:spacing w:after="0" w:line="138" w:lineRule="exact"/>
              <w:rPr>
                <w:sz w:val="20"/>
                <w:szCs w:val="20"/>
                <w:color w:val="auto"/>
              </w:rPr>
            </w:pPr>
            <w:r>
              <w:rPr>
                <w:rFonts w:ascii="Times New Roman" w:cs="Times New Roman" w:eastAsia="Times New Roman" w:hAnsi="Times New Roman"/>
                <w:sz w:val="14"/>
                <w:szCs w:val="14"/>
                <w:color w:val="auto"/>
              </w:rPr>
              <w:t>or</w:t>
            </w:r>
          </w:p>
        </w:tc>
        <w:tc>
          <w:tcPr>
            <w:tcW w:w="120" w:type="dxa"/>
            <w:vAlign w:val="bottom"/>
          </w:tcPr>
          <w:p>
            <w:pPr>
              <w:spacing w:after="0"/>
              <w:rPr>
                <w:sz w:val="11"/>
                <w:szCs w:val="11"/>
                <w:color w:val="auto"/>
              </w:rPr>
            </w:pPr>
          </w:p>
        </w:tc>
        <w:tc>
          <w:tcPr>
            <w:tcW w:w="640" w:type="dxa"/>
            <w:vAlign w:val="bottom"/>
          </w:tcPr>
          <w:p>
            <w:pPr>
              <w:jc w:val="center"/>
              <w:ind w:right="49"/>
              <w:spacing w:after="0" w:line="138" w:lineRule="exact"/>
              <w:rPr>
                <w:sz w:val="20"/>
                <w:szCs w:val="20"/>
                <w:color w:val="auto"/>
              </w:rPr>
            </w:pPr>
            <w:r>
              <w:rPr>
                <w:rFonts w:ascii="Times New Roman" w:cs="Times New Roman" w:eastAsia="Times New Roman" w:hAnsi="Times New Roman"/>
                <w:sz w:val="14"/>
                <w:szCs w:val="14"/>
                <w:color w:val="auto"/>
                <w:w w:val="91"/>
              </w:rPr>
              <w:t>Tax</w:t>
            </w:r>
          </w:p>
        </w:tc>
        <w:tc>
          <w:tcPr>
            <w:tcW w:w="0" w:type="dxa"/>
            <w:vAlign w:val="bottom"/>
          </w:tcPr>
          <w:p>
            <w:pPr>
              <w:spacing w:after="0"/>
              <w:rPr>
                <w:sz w:val="1"/>
                <w:szCs w:val="1"/>
                <w:color w:val="auto"/>
              </w:rPr>
            </w:pPr>
          </w:p>
        </w:tc>
      </w:tr>
      <w:tr>
        <w:trPr>
          <w:trHeight w:val="185"/>
        </w:trPr>
        <w:tc>
          <w:tcPr>
            <w:tcW w:w="3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Benefit (1)</w:t>
            </w:r>
          </w:p>
        </w:tc>
        <w:tc>
          <w:tcPr>
            <w:tcW w:w="100" w:type="dxa"/>
            <w:vAlign w:val="bottom"/>
          </w:tcPr>
          <w:p>
            <w:pPr>
              <w:spacing w:after="0"/>
              <w:rPr>
                <w:sz w:val="16"/>
                <w:szCs w:val="16"/>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6"/>
                <w:szCs w:val="16"/>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Benefit (1)</w:t>
            </w:r>
          </w:p>
        </w:tc>
        <w:tc>
          <w:tcPr>
            <w:tcW w:w="10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Benefit (1)</w:t>
            </w:r>
          </w:p>
        </w:tc>
        <w:tc>
          <w:tcPr>
            <w:tcW w:w="120" w:type="dxa"/>
            <w:vAlign w:val="bottom"/>
          </w:tcPr>
          <w:p>
            <w:pPr>
              <w:spacing w:after="0"/>
              <w:rPr>
                <w:sz w:val="16"/>
                <w:szCs w:val="16"/>
                <w:color w:val="auto"/>
              </w:rPr>
            </w:pPr>
          </w:p>
        </w:tc>
        <w:tc>
          <w:tcPr>
            <w:tcW w:w="64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rPr>
              <w:t>Amount</w:t>
            </w:r>
          </w:p>
        </w:tc>
        <w:tc>
          <w:tcPr>
            <w:tcW w:w="0" w:type="dxa"/>
            <w:vAlign w:val="bottom"/>
          </w:tcPr>
          <w:p>
            <w:pPr>
              <w:spacing w:after="0"/>
              <w:rPr>
                <w:sz w:val="1"/>
                <w:szCs w:val="1"/>
                <w:color w:val="auto"/>
              </w:rPr>
            </w:pPr>
          </w:p>
        </w:tc>
      </w:tr>
      <w:tr>
        <w:trPr>
          <w:trHeight w:val="25"/>
        </w:trPr>
        <w:tc>
          <w:tcPr>
            <w:tcW w:w="3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Defined benefit pension plans:</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actuarial gain/(loss)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4,842</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3,680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3,099</w:t>
            </w:r>
          </w:p>
        </w:tc>
        <w:tc>
          <w:tcPr>
            <w:tcW w:w="0" w:type="dxa"/>
            <w:vAlign w:val="bottom"/>
          </w:tcPr>
          <w:p>
            <w:pPr>
              <w:spacing w:after="0"/>
              <w:rPr>
                <w:sz w:val="1"/>
                <w:szCs w:val="1"/>
                <w:color w:val="auto"/>
              </w:rPr>
            </w:pPr>
          </w:p>
        </w:tc>
      </w:tr>
      <w:tr>
        <w:trPr>
          <w:trHeight w:val="208"/>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Amortization of prior service cost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193"/>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Amortization of net actuarial (gain)/loss</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5,807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26,461</w:t>
            </w:r>
          </w:p>
        </w:tc>
        <w:tc>
          <w:tcPr>
            <w:tcW w:w="0" w:type="dxa"/>
            <w:vAlign w:val="bottom"/>
          </w:tcPr>
          <w:p>
            <w:pPr>
              <w:spacing w:after="0"/>
              <w:rPr>
                <w:sz w:val="1"/>
                <w:szCs w:val="1"/>
                <w:color w:val="auto"/>
              </w:rPr>
            </w:pPr>
          </w:p>
        </w:tc>
      </w:tr>
      <w:tr>
        <w:trPr>
          <w:trHeight w:val="208"/>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Regulatory adjustment</w:t>
            </w: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(9,833)</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2,360</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(28,232)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6,775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(21,457)</w:t>
            </w:r>
          </w:p>
        </w:tc>
        <w:tc>
          <w:tcPr>
            <w:tcW w:w="0" w:type="dxa"/>
            <w:vAlign w:val="bottom"/>
          </w:tcPr>
          <w:p>
            <w:pPr>
              <w:spacing w:after="0"/>
              <w:rPr>
                <w:sz w:val="1"/>
                <w:szCs w:val="1"/>
                <w:color w:val="auto"/>
              </w:rPr>
            </w:pPr>
          </w:p>
        </w:tc>
      </w:tr>
      <w:tr>
        <w:trPr>
          <w:trHeight w:val="114"/>
        </w:trPr>
        <w:tc>
          <w:tcPr>
            <w:tcW w:w="3120" w:type="dxa"/>
            <w:vAlign w:val="bottom"/>
          </w:tcPr>
          <w:p>
            <w:pPr>
              <w:ind w:left="340"/>
              <w:spacing w:after="0" w:line="114" w:lineRule="exact"/>
              <w:rPr>
                <w:sz w:val="20"/>
                <w:szCs w:val="20"/>
                <w:color w:val="auto"/>
              </w:rPr>
            </w:pPr>
            <w:r>
              <w:rPr>
                <w:rFonts w:ascii="Times New Roman" w:cs="Times New Roman" w:eastAsia="Times New Roman" w:hAnsi="Times New Roman"/>
                <w:sz w:val="13"/>
                <w:szCs w:val="13"/>
                <w:color w:val="auto"/>
              </w:rPr>
              <w:t>Pension plans other comprehensive income</w:t>
            </w:r>
          </w:p>
        </w:tc>
        <w:tc>
          <w:tcPr>
            <w:tcW w:w="12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2,825</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2,147</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(3,010)</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(2,287)</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10,840</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(2,604)</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8,236</w:t>
            </w:r>
          </w:p>
        </w:tc>
        <w:tc>
          <w:tcPr>
            <w:tcW w:w="0" w:type="dxa"/>
            <w:vAlign w:val="bottom"/>
          </w:tcPr>
          <w:p>
            <w:pPr>
              <w:spacing w:after="0"/>
              <w:rPr>
                <w:sz w:val="1"/>
                <w:szCs w:val="1"/>
                <w:color w:val="auto"/>
              </w:rPr>
            </w:pPr>
          </w:p>
        </w:tc>
      </w:tr>
      <w:tr>
        <w:trPr>
          <w:trHeight w:val="193"/>
        </w:trPr>
        <w:tc>
          <w:tcPr>
            <w:tcW w:w="31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(loss)</w:t>
            </w: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FSIRS (designated hedging activities):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Amounts reclassified into net income</w:t>
            </w: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1164" w:right="2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14"/>
        </w:trPr>
        <w:tc>
          <w:tcPr>
            <w:tcW w:w="31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FSIRS other comprehensive income (loss)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0" w:type="dxa"/>
            <w:vAlign w:val="bottom"/>
          </w:tcPr>
          <w:p>
            <w:pPr>
              <w:spacing w:after="0"/>
              <w:rPr>
                <w:sz w:val="1"/>
                <w:szCs w:val="1"/>
                <w:color w:val="auto"/>
              </w:rPr>
            </w:pPr>
          </w:p>
        </w:tc>
      </w:tr>
      <w:tr>
        <w:trPr>
          <w:trHeight w:val="114"/>
        </w:trPr>
        <w:tc>
          <w:tcPr>
            <w:tcW w:w="3140" w:type="dxa"/>
            <w:vAlign w:val="bottom"/>
          </w:tcPr>
          <w:p>
            <w:pPr>
              <w:ind w:left="20"/>
              <w:spacing w:after="0" w:line="114" w:lineRule="exact"/>
              <w:rPr>
                <w:sz w:val="20"/>
                <w:szCs w:val="20"/>
                <w:color w:val="auto"/>
              </w:rPr>
            </w:pPr>
            <w:r>
              <w:rPr>
                <w:rFonts w:ascii="Times New Roman" w:cs="Times New Roman" w:eastAsia="Times New Roman" w:hAnsi="Times New Roman"/>
                <w:sz w:val="13"/>
                <w:szCs w:val="13"/>
                <w:color w:val="auto"/>
              </w:rPr>
              <w:t>Total other comprehensive income (loss) –</w:t>
            </w:r>
          </w:p>
        </w:tc>
        <w:tc>
          <w:tcPr>
            <w:tcW w:w="180" w:type="dxa"/>
            <w:vAlign w:val="bottom"/>
          </w:tcPr>
          <w:p>
            <w:pPr>
              <w:spacing w:after="0"/>
              <w:rPr>
                <w:sz w:val="9"/>
                <w:szCs w:val="9"/>
                <w:color w:val="auto"/>
              </w:rPr>
            </w:pPr>
          </w:p>
        </w:tc>
        <w:tc>
          <w:tcPr>
            <w:tcW w:w="6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2,825</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2,147</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(3,010)</w:t>
            </w: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(2,287)</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11,385</w:t>
            </w: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(2,733)</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8,652</w:t>
            </w:r>
          </w:p>
        </w:tc>
        <w:tc>
          <w:tcPr>
            <w:tcW w:w="0" w:type="dxa"/>
            <w:vAlign w:val="bottom"/>
          </w:tcPr>
          <w:p>
            <w:pPr>
              <w:spacing w:after="0"/>
              <w:rPr>
                <w:sz w:val="1"/>
                <w:szCs w:val="1"/>
                <w:color w:val="auto"/>
              </w:rPr>
            </w:pPr>
          </w:p>
        </w:tc>
      </w:tr>
      <w:tr>
        <w:trPr>
          <w:trHeight w:val="194"/>
        </w:trPr>
        <w:tc>
          <w:tcPr>
            <w:tcW w:w="31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Southwest Gas Corporation</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(10,123)</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2,742</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2,742</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(6,133)</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(6,133)</w:t>
            </w:r>
          </w:p>
        </w:tc>
        <w:tc>
          <w:tcPr>
            <w:tcW w:w="0" w:type="dxa"/>
            <w:vAlign w:val="bottom"/>
          </w:tcPr>
          <w:p>
            <w:pPr>
              <w:spacing w:after="0"/>
              <w:rPr>
                <w:sz w:val="1"/>
                <w:szCs w:val="1"/>
                <w:color w:val="auto"/>
              </w:rPr>
            </w:pPr>
          </w:p>
        </w:tc>
      </w:tr>
      <w:tr>
        <w:trPr>
          <w:trHeight w:val="186"/>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other comprehensive income (loss)</w:t>
            </w: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2,519</w:t>
            </w:r>
          </w:p>
        </w:tc>
        <w:tc>
          <w:tcPr>
            <w:tcW w:w="0" w:type="dxa"/>
            <w:vAlign w:val="bottom"/>
          </w:tcPr>
          <w:p>
            <w:pPr>
              <w:spacing w:after="0"/>
              <w:rPr>
                <w:sz w:val="1"/>
                <w:szCs w:val="1"/>
                <w:color w:val="auto"/>
              </w:rPr>
            </w:pPr>
          </w:p>
        </w:tc>
      </w:tr>
      <w:tr>
        <w:trPr>
          <w:trHeight w:val="142"/>
        </w:trPr>
        <w:tc>
          <w:tcPr>
            <w:tcW w:w="3140" w:type="dxa"/>
            <w:vAlign w:val="bottom"/>
            <w:shd w:val="clear" w:color="auto" w:fill="CCEEFF"/>
          </w:tcPr>
          <w:p>
            <w:pPr>
              <w:ind w:left="140"/>
              <w:spacing w:after="0" w:line="141" w:lineRule="exact"/>
              <w:rPr>
                <w:sz w:val="20"/>
                <w:szCs w:val="20"/>
                <w:color w:val="auto"/>
              </w:rPr>
            </w:pPr>
            <w:r>
              <w:rPr>
                <w:rFonts w:ascii="Times New Roman" w:cs="Times New Roman" w:eastAsia="Times New Roman" w:hAnsi="Times New Roman"/>
                <w:sz w:val="14"/>
                <w:szCs w:val="14"/>
                <w:color w:val="auto"/>
              </w:rPr>
              <w:t>Total other comprehensive income (loss) -</w:t>
            </w:r>
          </w:p>
        </w:tc>
        <w:tc>
          <w:tcPr>
            <w:tcW w:w="1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1,341</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noncontrolling interest (2)</w:t>
            </w:r>
          </w:p>
        </w:tc>
        <w:tc>
          <w:tcPr>
            <w:tcW w:w="18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3140" w:type="dxa"/>
            <w:vAlign w:val="bottom"/>
          </w:tcPr>
          <w:p>
            <w:pPr>
              <w:ind w:left="20"/>
              <w:spacing w:after="0" w:line="114" w:lineRule="exact"/>
              <w:rPr>
                <w:sz w:val="20"/>
                <w:szCs w:val="20"/>
                <w:color w:val="auto"/>
              </w:rPr>
            </w:pPr>
            <w:r>
              <w:rPr>
                <w:rFonts w:ascii="Times New Roman" w:cs="Times New Roman" w:eastAsia="Times New Roman" w:hAnsi="Times New Roman"/>
                <w:sz w:val="13"/>
                <w:szCs w:val="13"/>
                <w:color w:val="auto"/>
              </w:rPr>
              <w:t>Total other comprehensive income (loss) –</w:t>
            </w:r>
          </w:p>
        </w:tc>
        <w:tc>
          <w:tcPr>
            <w:tcW w:w="180" w:type="dxa"/>
            <w:vAlign w:val="bottom"/>
            <w:tcBorders>
              <w:top w:val="single" w:sz="8" w:color="auto"/>
            </w:tcBorders>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(5,957)</w:t>
            </w:r>
          </w:p>
        </w:tc>
        <w:tc>
          <w:tcPr>
            <w:tcW w:w="100" w:type="dxa"/>
            <w:vAlign w:val="bottom"/>
          </w:tcPr>
          <w:p>
            <w:pPr>
              <w:spacing w:after="0"/>
              <w:rPr>
                <w:sz w:val="9"/>
                <w:szCs w:val="9"/>
                <w:color w:val="auto"/>
              </w:rPr>
            </w:pPr>
          </w:p>
        </w:tc>
        <w:tc>
          <w:tcPr>
            <w:tcW w:w="320" w:type="dxa"/>
            <w:vAlign w:val="bottom"/>
            <w:tcBorders>
              <w:top w:val="single" w:sz="8" w:color="auto"/>
            </w:tcBorders>
            <w:vMerge w:val="restart"/>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100" w:type="dxa"/>
            <w:vAlign w:val="bottom"/>
          </w:tcPr>
          <w:p>
            <w:pPr>
              <w:spacing w:after="0"/>
              <w:rPr>
                <w:sz w:val="9"/>
                <w:szCs w:val="9"/>
                <w:color w:val="auto"/>
              </w:rPr>
            </w:pPr>
          </w:p>
        </w:tc>
        <w:tc>
          <w:tcPr>
            <w:tcW w:w="180" w:type="dxa"/>
            <w:vAlign w:val="bottom"/>
            <w:tcBorders>
              <w:top w:val="single" w:sz="8" w:color="auto"/>
            </w:tcBorders>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(6,635)</w:t>
            </w:r>
          </w:p>
        </w:tc>
        <w:tc>
          <w:tcPr>
            <w:tcW w:w="100" w:type="dxa"/>
            <w:vAlign w:val="bottom"/>
          </w:tcPr>
          <w:p>
            <w:pPr>
              <w:spacing w:after="0"/>
              <w:rPr>
                <w:sz w:val="9"/>
                <w:szCs w:val="9"/>
                <w:color w:val="auto"/>
              </w:rPr>
            </w:pPr>
          </w:p>
        </w:tc>
        <w:tc>
          <w:tcPr>
            <w:tcW w:w="200" w:type="dxa"/>
            <w:vAlign w:val="bottom"/>
            <w:tcBorders>
              <w:top w:val="single" w:sz="8" w:color="auto"/>
            </w:tcBorders>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20" w:type="dxa"/>
            <w:vAlign w:val="bottom"/>
          </w:tcPr>
          <w:p>
            <w:pPr>
              <w:spacing w:after="0"/>
              <w:rPr>
                <w:sz w:val="9"/>
                <w:szCs w:val="9"/>
                <w:color w:val="auto"/>
              </w:rPr>
            </w:pPr>
          </w:p>
        </w:tc>
        <w:tc>
          <w:tcPr>
            <w:tcW w:w="340" w:type="dxa"/>
            <w:vAlign w:val="bottom"/>
            <w:tcBorders>
              <w:top w:val="single" w:sz="8" w:color="auto"/>
            </w:tcBorders>
            <w:vMerge w:val="restart"/>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00" w:type="dxa"/>
            <w:vAlign w:val="bottom"/>
          </w:tcPr>
          <w:p>
            <w:pPr>
              <w:spacing w:after="0"/>
              <w:rPr>
                <w:sz w:val="9"/>
                <w:szCs w:val="9"/>
                <w:color w:val="auto"/>
              </w:rPr>
            </w:pPr>
          </w:p>
        </w:tc>
        <w:tc>
          <w:tcPr>
            <w:tcW w:w="200" w:type="dxa"/>
            <w:vAlign w:val="bottom"/>
            <w:tcBorders>
              <w:top w:val="single" w:sz="8" w:color="auto"/>
            </w:tcBorders>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120" w:type="dxa"/>
            <w:vAlign w:val="bottom"/>
          </w:tcPr>
          <w:p>
            <w:pPr>
              <w:spacing w:after="0"/>
              <w:rPr>
                <w:sz w:val="9"/>
                <w:szCs w:val="9"/>
                <w:color w:val="auto"/>
              </w:rPr>
            </w:pPr>
          </w:p>
        </w:tc>
        <w:tc>
          <w:tcPr>
            <w:tcW w:w="200" w:type="dxa"/>
            <w:vAlign w:val="bottom"/>
            <w:tcBorders>
              <w:top w:val="single" w:sz="8" w:color="auto"/>
            </w:tcBorders>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5,252</w:t>
            </w:r>
          </w:p>
        </w:tc>
        <w:tc>
          <w:tcPr>
            <w:tcW w:w="120" w:type="dxa"/>
            <w:vAlign w:val="bottom"/>
          </w:tcPr>
          <w:p>
            <w:pPr>
              <w:spacing w:after="0"/>
              <w:rPr>
                <w:sz w:val="9"/>
                <w:szCs w:val="9"/>
                <w:color w:val="auto"/>
              </w:rPr>
            </w:pPr>
          </w:p>
        </w:tc>
        <w:tc>
          <w:tcPr>
            <w:tcW w:w="260" w:type="dxa"/>
            <w:vAlign w:val="bottom"/>
            <w:tcBorders>
              <w:top w:val="single" w:sz="8" w:color="auto"/>
            </w:tcBorders>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(2,733)</w:t>
            </w:r>
          </w:p>
        </w:tc>
        <w:tc>
          <w:tcPr>
            <w:tcW w:w="100" w:type="dxa"/>
            <w:vAlign w:val="bottom"/>
          </w:tcPr>
          <w:p>
            <w:pPr>
              <w:spacing w:after="0"/>
              <w:rPr>
                <w:sz w:val="9"/>
                <w:szCs w:val="9"/>
                <w:color w:val="auto"/>
              </w:rPr>
            </w:pPr>
          </w:p>
        </w:tc>
        <w:tc>
          <w:tcPr>
            <w:tcW w:w="200" w:type="dxa"/>
            <w:vAlign w:val="bottom"/>
            <w:tcBorders>
              <w:top w:val="single" w:sz="8" w:color="auto"/>
            </w:tcBorders>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2,519</w:t>
            </w:r>
          </w:p>
        </w:tc>
        <w:tc>
          <w:tcPr>
            <w:tcW w:w="0" w:type="dxa"/>
            <w:vAlign w:val="bottom"/>
          </w:tcPr>
          <w:p>
            <w:pPr>
              <w:spacing w:after="0"/>
              <w:rPr>
                <w:sz w:val="1"/>
                <w:szCs w:val="1"/>
                <w:color w:val="auto"/>
              </w:rPr>
            </w:pPr>
          </w:p>
        </w:tc>
      </w:tr>
      <w:tr>
        <w:trPr>
          <w:trHeight w:val="179"/>
        </w:trPr>
        <w:tc>
          <w:tcPr>
            <w:tcW w:w="3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Southwest Gas Holdings, Inc.</w:t>
            </w:r>
          </w:p>
        </w:tc>
        <w:tc>
          <w:tcPr>
            <w:tcW w:w="18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vMerge w:val="continue"/>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vMerge w:val="continue"/>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jc w:val="both"/>
        <w:ind w:left="160" w:firstLine="7"/>
        <w:spacing w:after="0" w:line="257" w:lineRule="auto"/>
        <w:tabs>
          <w:tab w:leader="none" w:pos="408"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amounts are calculated using a 24% rate. The Company has elected to indefinitely reinvest, in Canada, the earnings of Centuri’s Canadian subsidiaries, thus precluding deferred taxes on such earnings. As a result of this assertion, and no repatriation of earnings anticipated, the Company is not recognizing a tax effect or presenting a tax expense or benefit for currency translation adjustments in Other comprehensive income (loss).</w:t>
      </w:r>
    </w:p>
    <w:p>
      <w:pPr>
        <w:spacing w:after="0" w:line="2" w:lineRule="exact"/>
        <w:rPr>
          <w:rFonts w:ascii="Times New Roman" w:cs="Times New Roman" w:eastAsia="Times New Roman" w:hAnsi="Times New Roman"/>
          <w:sz w:val="16"/>
          <w:szCs w:val="16"/>
          <w:color w:val="auto"/>
        </w:rPr>
      </w:pPr>
    </w:p>
    <w:p>
      <w:pPr>
        <w:ind w:left="380" w:hanging="213"/>
        <w:spacing w:after="0"/>
        <w:tabs>
          <w:tab w:leader="none" w:pos="3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reflects the portion of the foreign currency translation adjustment attributable to the noncontrolling interest in Centuri following the Centuri IPO.</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represents a rollforward of AOCI, presented on the Company’s Consolidated Balance Sheets and its Consolidated Statements of Equity: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6"/>
          </w:tcPr>
          <w:p>
            <w:pPr>
              <w:jc w:val="center"/>
              <w:ind w:left="406"/>
              <w:spacing w:after="0"/>
              <w:rPr>
                <w:sz w:val="20"/>
                <w:szCs w:val="20"/>
                <w:color w:val="auto"/>
              </w:rPr>
            </w:pPr>
            <w:r>
              <w:rPr>
                <w:rFonts w:ascii="Times New Roman" w:cs="Times New Roman" w:eastAsia="Times New Roman" w:hAnsi="Times New Roman"/>
                <w:sz w:val="14"/>
                <w:szCs w:val="14"/>
                <w:color w:val="auto"/>
              </w:rPr>
              <w:t>Defined Benefit Plans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gridSpan w:val="8"/>
          </w:tcPr>
          <w:p>
            <w:pPr>
              <w:ind w:left="200"/>
              <w:spacing w:after="0"/>
              <w:rPr>
                <w:sz w:val="20"/>
                <w:szCs w:val="20"/>
                <w:color w:val="auto"/>
              </w:rPr>
            </w:pPr>
            <w:r>
              <w:rPr>
                <w:rFonts w:ascii="Times New Roman" w:cs="Times New Roman" w:eastAsia="Times New Roman" w:hAnsi="Times New Roman"/>
                <w:sz w:val="14"/>
                <w:szCs w:val="14"/>
                <w:color w:val="auto"/>
              </w:rPr>
              <w:t>Foreign Currency and Centuri IPO</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4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color w:val="auto"/>
              </w:rPr>
              <w:t>Tax</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w w:val="98"/>
              </w:rPr>
              <w:t>Before-</w:t>
            </w:r>
          </w:p>
        </w:tc>
        <w:tc>
          <w:tcPr>
            <w:tcW w:w="120" w:type="dxa"/>
            <w:vAlign w:val="bottom"/>
          </w:tcPr>
          <w:p>
            <w:pPr>
              <w:spacing w:after="0"/>
              <w:rPr>
                <w:sz w:val="11"/>
                <w:szCs w:val="11"/>
                <w:color w:val="auto"/>
              </w:rPr>
            </w:pPr>
          </w:p>
        </w:tc>
        <w:tc>
          <w:tcPr>
            <w:tcW w:w="820" w:type="dxa"/>
            <w:vAlign w:val="bottom"/>
            <w:gridSpan w:val="2"/>
          </w:tcPr>
          <w:p>
            <w:pPr>
              <w:jc w:val="center"/>
              <w:ind w:right="200"/>
              <w:spacing w:after="0" w:line="127" w:lineRule="exact"/>
              <w:rPr>
                <w:sz w:val="20"/>
                <w:szCs w:val="20"/>
                <w:color w:val="auto"/>
              </w:rPr>
            </w:pPr>
            <w:r>
              <w:rPr>
                <w:rFonts w:ascii="Times New Roman" w:cs="Times New Roman" w:eastAsia="Times New Roman" w:hAnsi="Times New Roman"/>
                <w:sz w:val="14"/>
                <w:szCs w:val="14"/>
                <w:color w:val="auto"/>
              </w:rPr>
              <w:t>Tax</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 of dollars)</w:t>
            </w:r>
          </w:p>
        </w:tc>
        <w:tc>
          <w:tcPr>
            <w:tcW w:w="9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color w:val="auto"/>
              </w:rPr>
              <w:t>Before-Tax</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color w:val="auto"/>
              </w:rPr>
              <w:t>(Expense)</w:t>
            </w:r>
          </w:p>
        </w:tc>
        <w:tc>
          <w:tcPr>
            <w:tcW w:w="120" w:type="dxa"/>
            <w:vAlign w:val="bottom"/>
          </w:tcPr>
          <w:p>
            <w:pPr>
              <w:spacing w:after="0"/>
              <w:rPr>
                <w:sz w:val="12"/>
                <w:szCs w:val="12"/>
                <w:color w:val="auto"/>
              </w:rPr>
            </w:pPr>
          </w:p>
        </w:tc>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After-Tax</w:t>
            </w: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00"/>
              <w:spacing w:after="0" w:line="147" w:lineRule="exact"/>
              <w:rPr>
                <w:sz w:val="20"/>
                <w:szCs w:val="20"/>
                <w:color w:val="auto"/>
              </w:rPr>
            </w:pPr>
            <w:r>
              <w:rPr>
                <w:rFonts w:ascii="Times New Roman" w:cs="Times New Roman" w:eastAsia="Times New Roman" w:hAnsi="Times New Roman"/>
                <w:sz w:val="14"/>
                <w:szCs w:val="14"/>
                <w:color w:val="auto"/>
              </w:rPr>
              <w:t>(Expense)</w:t>
            </w:r>
          </w:p>
        </w:tc>
        <w:tc>
          <w:tcPr>
            <w:tcW w:w="100" w:type="dxa"/>
            <w:vAlign w:val="bottom"/>
          </w:tcPr>
          <w:p>
            <w:pPr>
              <w:spacing w:after="0"/>
              <w:rPr>
                <w:sz w:val="12"/>
                <w:szCs w:val="12"/>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After-Tax</w:t>
            </w:r>
          </w:p>
        </w:tc>
        <w:tc>
          <w:tcPr>
            <w:tcW w:w="160" w:type="dxa"/>
            <w:vAlign w:val="bottom"/>
          </w:tcPr>
          <w:p>
            <w:pPr>
              <w:spacing w:after="0"/>
              <w:rPr>
                <w:sz w:val="12"/>
                <w:szCs w:val="12"/>
                <w:color w:val="auto"/>
              </w:rPr>
            </w:pPr>
          </w:p>
        </w:tc>
        <w:tc>
          <w:tcPr>
            <w:tcW w:w="620" w:type="dxa"/>
            <w:vAlign w:val="bottom"/>
            <w:vMerge w:val="restart"/>
          </w:tcPr>
          <w:p>
            <w:pPr>
              <w:jc w:val="right"/>
              <w:ind w:right="149"/>
              <w:spacing w:after="0"/>
              <w:rPr>
                <w:sz w:val="20"/>
                <w:szCs w:val="20"/>
                <w:color w:val="auto"/>
              </w:rPr>
            </w:pPr>
            <w:r>
              <w:rPr>
                <w:rFonts w:ascii="Times New Roman" w:cs="Times New Roman" w:eastAsia="Times New Roman" w:hAnsi="Times New Roman"/>
                <w:sz w:val="14"/>
                <w:szCs w:val="14"/>
                <w:color w:val="auto"/>
              </w:rPr>
              <w:t>AOCI</w:t>
            </w:r>
          </w:p>
        </w:tc>
        <w:tc>
          <w:tcPr>
            <w:tcW w:w="0" w:type="dxa"/>
            <w:vAlign w:val="bottom"/>
          </w:tcPr>
          <w:p>
            <w:pPr>
              <w:spacing w:after="0"/>
              <w:rPr>
                <w:sz w:val="1"/>
                <w:szCs w:val="1"/>
                <w:color w:val="auto"/>
              </w:rPr>
            </w:pPr>
          </w:p>
        </w:tc>
      </w:tr>
      <w:tr>
        <w:trPr>
          <w:trHeight w:val="194"/>
        </w:trPr>
        <w:tc>
          <w:tcPr>
            <w:tcW w:w="4920" w:type="dxa"/>
            <w:vAlign w:val="bottom"/>
            <w:vMerge w:val="continue"/>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Benefit (3)</w:t>
            </w: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Tax</w:t>
            </w:r>
          </w:p>
        </w:tc>
        <w:tc>
          <w:tcPr>
            <w:tcW w:w="120" w:type="dxa"/>
            <w:vAlign w:val="bottom"/>
          </w:tcPr>
          <w:p>
            <w:pPr>
              <w:spacing w:after="0"/>
              <w:rPr>
                <w:sz w:val="16"/>
                <w:szCs w:val="16"/>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Benefit</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 AOCI December 31, 2023</w:t>
            </w: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(53,352)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(40,548)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(3,239)</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(43,787)</w:t>
            </w:r>
          </w:p>
        </w:tc>
        <w:tc>
          <w:tcPr>
            <w:tcW w:w="0" w:type="dxa"/>
            <w:vAlign w:val="bottom"/>
          </w:tcPr>
          <w:p>
            <w:pPr>
              <w:spacing w:after="0"/>
              <w:rPr>
                <w:sz w:val="1"/>
                <w:szCs w:val="1"/>
                <w:color w:val="auto"/>
              </w:rPr>
            </w:pPr>
          </w:p>
        </w:tc>
      </w:tr>
      <w:tr>
        <w:trPr>
          <w:trHeight w:val="186"/>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actuarial gain/(loss)</w:t>
            </w:r>
          </w:p>
        </w:tc>
        <w:tc>
          <w:tcPr>
            <w:tcW w:w="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3,680</w:t>
            </w:r>
          </w:p>
        </w:tc>
        <w:tc>
          <w:tcPr>
            <w:tcW w:w="0" w:type="dxa"/>
            <w:vAlign w:val="bottom"/>
          </w:tcPr>
          <w:p>
            <w:pPr>
              <w:spacing w:after="0"/>
              <w:rPr>
                <w:sz w:val="1"/>
                <w:szCs w:val="1"/>
                <w:color w:val="auto"/>
              </w:rPr>
            </w:pPr>
          </w:p>
        </w:tc>
      </w:tr>
      <w:tr>
        <w:trPr>
          <w:trHeight w:val="208"/>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(10,123)</w:t>
            </w:r>
          </w:p>
        </w:tc>
        <w:tc>
          <w:tcPr>
            <w:tcW w:w="0" w:type="dxa"/>
            <w:vAlign w:val="bottom"/>
          </w:tcPr>
          <w:p>
            <w:pPr>
              <w:spacing w:after="0"/>
              <w:rPr>
                <w:sz w:val="1"/>
                <w:szCs w:val="1"/>
                <w:color w:val="auto"/>
              </w:rPr>
            </w:pPr>
          </w:p>
        </w:tc>
      </w:tr>
      <w:tr>
        <w:trPr>
          <w:trHeight w:val="193"/>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prior service cost (1)</w:t>
            </w:r>
          </w:p>
        </w:tc>
        <w:tc>
          <w:tcPr>
            <w:tcW w:w="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208"/>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net actuarial loss (1)</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5,807</w:t>
            </w:r>
          </w:p>
        </w:tc>
        <w:tc>
          <w:tcPr>
            <w:tcW w:w="0" w:type="dxa"/>
            <w:vAlign w:val="bottom"/>
          </w:tcPr>
          <w:p>
            <w:pPr>
              <w:spacing w:after="0"/>
              <w:rPr>
                <w:sz w:val="1"/>
                <w:szCs w:val="1"/>
                <w:color w:val="auto"/>
              </w:rPr>
            </w:pPr>
          </w:p>
        </w:tc>
      </w:tr>
      <w:tr>
        <w:trPr>
          <w:trHeight w:val="194"/>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Regulatory adjustment (2)</w:t>
            </w:r>
          </w:p>
        </w:tc>
        <w:tc>
          <w:tcPr>
            <w:tcW w:w="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(7,473)</w:t>
            </w:r>
          </w:p>
        </w:tc>
        <w:tc>
          <w:tcPr>
            <w:tcW w:w="0" w:type="dxa"/>
            <w:vAlign w:val="bottom"/>
          </w:tcPr>
          <w:p>
            <w:pPr>
              <w:spacing w:after="0"/>
              <w:rPr>
                <w:sz w:val="1"/>
                <w:szCs w:val="1"/>
                <w:color w:val="auto"/>
              </w:rPr>
            </w:pPr>
          </w:p>
        </w:tc>
      </w:tr>
      <w:tr>
        <w:trPr>
          <w:trHeight w:val="201"/>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current period other comprehensive income (loss)</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(10,123)</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(7,976)</w:t>
            </w:r>
          </w:p>
        </w:tc>
        <w:tc>
          <w:tcPr>
            <w:tcW w:w="0" w:type="dxa"/>
            <w:vAlign w:val="bottom"/>
          </w:tcPr>
          <w:p>
            <w:pPr>
              <w:spacing w:after="0"/>
              <w:rPr>
                <w:sz w:val="1"/>
                <w:szCs w:val="1"/>
                <w:color w:val="auto"/>
              </w:rPr>
            </w:pPr>
          </w:p>
        </w:tc>
      </w:tr>
      <w:tr>
        <w:trPr>
          <w:trHeight w:val="114"/>
        </w:trPr>
        <w:tc>
          <w:tcPr>
            <w:tcW w:w="4920" w:type="dxa"/>
            <w:vAlign w:val="bottom"/>
          </w:tcPr>
          <w:p>
            <w:pPr>
              <w:ind w:left="20"/>
              <w:spacing w:after="0" w:line="114" w:lineRule="exact"/>
              <w:rPr>
                <w:sz w:val="20"/>
                <w:szCs w:val="20"/>
                <w:color w:val="auto"/>
              </w:rPr>
            </w:pPr>
            <w:r>
              <w:rPr>
                <w:rFonts w:ascii="Times New Roman" w:cs="Times New Roman" w:eastAsia="Times New Roman" w:hAnsi="Times New Roman"/>
                <w:sz w:val="13"/>
                <w:szCs w:val="13"/>
                <w:color w:val="auto"/>
              </w:rPr>
              <w:t>Less current period other comprehensive (income) loss attributable to noncontrolling</w:t>
            </w:r>
          </w:p>
        </w:tc>
        <w:tc>
          <w:tcPr>
            <w:tcW w:w="200" w:type="dxa"/>
            <w:vAlign w:val="bottom"/>
          </w:tcPr>
          <w:p>
            <w:pPr>
              <w:spacing w:after="0"/>
              <w:rPr>
                <w:sz w:val="9"/>
                <w:szCs w:val="9"/>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9"/>
                <w:szCs w:val="9"/>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9"/>
                <w:szCs w:val="9"/>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1,341</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9"/>
                <w:szCs w:val="9"/>
                <w:color w:val="auto"/>
              </w:rPr>
            </w:pPr>
          </w:p>
        </w:tc>
        <w:tc>
          <w:tcPr>
            <w:tcW w:w="7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1,341</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1,341</w:t>
            </w:r>
          </w:p>
        </w:tc>
        <w:tc>
          <w:tcPr>
            <w:tcW w:w="0" w:type="dxa"/>
            <w:vAlign w:val="bottom"/>
          </w:tcPr>
          <w:p>
            <w:pPr>
              <w:spacing w:after="0"/>
              <w:rPr>
                <w:sz w:val="1"/>
                <w:szCs w:val="1"/>
                <w:color w:val="auto"/>
              </w:rPr>
            </w:pPr>
          </w:p>
        </w:tc>
      </w:tr>
      <w:tr>
        <w:trPr>
          <w:trHeight w:val="193"/>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(4)</w:t>
            </w:r>
          </w:p>
        </w:tc>
        <w:tc>
          <w:tcPr>
            <w:tcW w:w="2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Centuri IPO (5)</w:t>
            </w:r>
          </w:p>
        </w:tc>
        <w:tc>
          <w:tcPr>
            <w:tcW w:w="2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1,204</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1,204</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1,204</w:t>
            </w:r>
          </w:p>
        </w:tc>
        <w:tc>
          <w:tcPr>
            <w:tcW w:w="0" w:type="dxa"/>
            <w:vAlign w:val="bottom"/>
          </w:tcPr>
          <w:p>
            <w:pPr>
              <w:spacing w:after="0"/>
              <w:rPr>
                <w:sz w:val="1"/>
                <w:szCs w:val="1"/>
                <w:color w:val="auto"/>
              </w:rPr>
            </w:pPr>
          </w:p>
        </w:tc>
      </w:tr>
      <w:tr>
        <w:trPr>
          <w:trHeight w:val="114"/>
        </w:trPr>
        <w:tc>
          <w:tcPr>
            <w:tcW w:w="4920" w:type="dxa"/>
            <w:vAlign w:val="bottom"/>
          </w:tcPr>
          <w:p>
            <w:pPr>
              <w:ind w:left="20"/>
              <w:spacing w:after="0" w:line="114" w:lineRule="exact"/>
              <w:rPr>
                <w:sz w:val="20"/>
                <w:szCs w:val="20"/>
                <w:color w:val="auto"/>
              </w:rPr>
            </w:pPr>
            <w:r>
              <w:rPr>
                <w:rFonts w:ascii="Times New Roman" w:cs="Times New Roman" w:eastAsia="Times New Roman" w:hAnsi="Times New Roman"/>
                <w:sz w:val="13"/>
                <w:szCs w:val="13"/>
                <w:color w:val="auto"/>
              </w:rPr>
              <w:t>Net current period other comprehensive income (loss) attributable to Southwest Gas</w:t>
            </w:r>
          </w:p>
        </w:tc>
        <w:tc>
          <w:tcPr>
            <w:tcW w:w="20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2,825</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2,147</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(7,578)</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(7,578)</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(5,431)</w:t>
            </w:r>
          </w:p>
        </w:tc>
        <w:tc>
          <w:tcPr>
            <w:tcW w:w="0" w:type="dxa"/>
            <w:vAlign w:val="bottom"/>
          </w:tcPr>
          <w:p>
            <w:pPr>
              <w:spacing w:after="0"/>
              <w:rPr>
                <w:sz w:val="1"/>
                <w:szCs w:val="1"/>
                <w:color w:val="auto"/>
              </w:rPr>
            </w:pPr>
          </w:p>
        </w:tc>
      </w:tr>
      <w:tr>
        <w:trPr>
          <w:trHeight w:val="109"/>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Holdings, Inc.</w:t>
            </w:r>
          </w:p>
        </w:tc>
        <w:tc>
          <w:tcPr>
            <w:tcW w:w="2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4920" w:type="dxa"/>
            <w:vAlign w:val="bottom"/>
            <w:tcBorders>
              <w:bottom w:val="single" w:sz="8" w:color="CCEEFF"/>
            </w:tcBorders>
            <w:vMerge w:val="continue"/>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 AOCI December 31, 2024</w:t>
            </w: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(50,527)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(38,401)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(10,817)</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(49,218)</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160" w:firstLine="7"/>
        <w:spacing w:after="0" w:line="257" w:lineRule="auto"/>
        <w:tabs>
          <w:tab w:leader="none" w:pos="641"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These AOCI components are included in the computation of net periodic benefit cost (see </w:t>
      </w:r>
      <w:r>
        <w:rPr>
          <w:rFonts w:ascii="Times New Roman" w:cs="Times New Roman" w:eastAsia="Times New Roman" w:hAnsi="Times New Roman"/>
          <w:sz w:val="16"/>
          <w:szCs w:val="16"/>
          <w:b w:val="1"/>
          <w:bCs w:val="1"/>
          <w:color w:val="auto"/>
        </w:rPr>
        <w:t>Note 11 - Pension and Other Postretirement Benefits</w:t>
      </w:r>
      <w:r>
        <w:rPr>
          <w:rFonts w:ascii="Times New Roman" w:cs="Times New Roman" w:eastAsia="Times New Roman" w:hAnsi="Times New Roman"/>
          <w:sz w:val="16"/>
          <w:szCs w:val="16"/>
          <w:color w:val="auto"/>
        </w:rPr>
        <w:t xml:space="preserve"> for additional details).</w:t>
      </w:r>
    </w:p>
    <w:p>
      <w:pPr>
        <w:ind w:left="160" w:right="20" w:firstLine="7"/>
        <w:spacing w:after="0" w:line="264" w:lineRule="auto"/>
        <w:tabs>
          <w:tab w:leader="none" w:pos="641"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regulatory adjustment represents the portion of the activity above that is expected to be recovered through rates in the future (the related regulatory asset is included in Deferred charges and other assets on the Company’s Consolidated Balance Sheets).</w:t>
      </w:r>
    </w:p>
    <w:p>
      <w:pPr>
        <w:ind w:left="560" w:hanging="393"/>
        <w:spacing w:after="0"/>
        <w:tabs>
          <w:tab w:leader="none" w:pos="5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amounts are calculated using a 24% rate.</w:t>
      </w:r>
    </w:p>
    <w:p>
      <w:pPr>
        <w:spacing w:after="0" w:line="12" w:lineRule="exact"/>
        <w:rPr>
          <w:rFonts w:ascii="Times New Roman" w:cs="Times New Roman" w:eastAsia="Times New Roman" w:hAnsi="Times New Roman"/>
          <w:sz w:val="16"/>
          <w:szCs w:val="16"/>
          <w:color w:val="auto"/>
        </w:rPr>
      </w:pPr>
    </w:p>
    <w:p>
      <w:pPr>
        <w:ind w:left="400" w:hanging="233"/>
        <w:spacing w:after="0"/>
        <w:tabs>
          <w:tab w:leader="none" w:pos="4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reflects the foreign currency translation adjustment attributable to the noncontrolling interest in Centuri following the Centuri IPO.</w:t>
      </w:r>
    </w:p>
    <w:p>
      <w:pPr>
        <w:spacing w:after="0" w:line="3" w:lineRule="exact"/>
        <w:rPr>
          <w:rFonts w:ascii="Times New Roman" w:cs="Times New Roman" w:eastAsia="Times New Roman" w:hAnsi="Times New Roman"/>
          <w:sz w:val="16"/>
          <w:szCs w:val="16"/>
          <w:color w:val="auto"/>
        </w:rPr>
      </w:pPr>
    </w:p>
    <w:p>
      <w:pPr>
        <w:ind w:left="160" w:firstLine="7"/>
        <w:spacing w:after="0" w:line="270" w:lineRule="auto"/>
        <w:tabs>
          <w:tab w:leader="none" w:pos="393"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reflects the attributed proportion of the AOCI balance associated with the ownership interests in Centuri held by the new investors as of the Centuri IPO date, amounts for which were reclassified from AOCI to Additional paid-in capital on the Company’s Consolidated Balance Sheet.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a rollforward of AOCI, presented on Southwest Gas’ Consolidated Balance Sheets:</w:t>
      </w:r>
    </w:p>
    <w:p>
      <w:pPr>
        <w:sectPr>
          <w:pgSz w:w="11900" w:h="16838" w:orient="portrait"/>
          <w:cols w:equalWidth="0" w:num="1">
            <w:col w:w="11240"/>
          </w:cols>
          <w:pgMar w:left="320" w:top="11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(Thousands of dollars)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Beginning Balance AOCI December 31, 2023</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actuarial gain/(loss)</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Amortization of prior service cost (6)</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Amortization of net actuarial loss (6)</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Regulatory adjustment (7)</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Defined Benefit Plans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tcPr>
          <w:p>
            <w:pPr>
              <w:jc w:val="center"/>
              <w:ind w:right="300"/>
              <w:spacing w:after="0" w:line="151" w:lineRule="exact"/>
              <w:rPr>
                <w:sz w:val="20"/>
                <w:szCs w:val="20"/>
                <w:color w:val="auto"/>
              </w:rPr>
            </w:pPr>
            <w:r>
              <w:rPr>
                <w:rFonts w:ascii="Times New Roman" w:cs="Times New Roman" w:eastAsia="Times New Roman" w:hAnsi="Times New Roman"/>
                <w:sz w:val="14"/>
                <w:szCs w:val="14"/>
                <w:color w:val="auto"/>
              </w:rPr>
              <w:t>Tax</w:t>
            </w:r>
          </w:p>
        </w:tc>
        <w:tc>
          <w:tcPr>
            <w:tcW w:w="2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ind w:right="369"/>
              <w:spacing w:after="0"/>
              <w:rPr>
                <w:sz w:val="20"/>
                <w:szCs w:val="20"/>
                <w:color w:val="auto"/>
              </w:rPr>
            </w:pPr>
            <w:r>
              <w:rPr>
                <w:rFonts w:ascii="Times New Roman" w:cs="Times New Roman" w:eastAsia="Times New Roman" w:hAnsi="Times New Roman"/>
                <w:sz w:val="14"/>
                <w:szCs w:val="14"/>
                <w:color w:val="auto"/>
              </w:rPr>
              <w:t>After-</w:t>
            </w:r>
          </w:p>
        </w:tc>
        <w:tc>
          <w:tcPr>
            <w:tcW w:w="0" w:type="dxa"/>
            <w:vAlign w:val="bottom"/>
          </w:tcPr>
          <w:p>
            <w:pPr>
              <w:spacing w:after="0"/>
              <w:rPr>
                <w:sz w:val="1"/>
                <w:szCs w:val="1"/>
                <w:color w:val="auto"/>
              </w:rPr>
            </w:pPr>
          </w:p>
        </w:tc>
      </w:tr>
      <w:tr>
        <w:trPr>
          <w:trHeight w:val="143"/>
        </w:trPr>
        <w:tc>
          <w:tcPr>
            <w:tcW w:w="180" w:type="dxa"/>
            <w:vAlign w:val="bottom"/>
          </w:tcPr>
          <w:p>
            <w:pPr>
              <w:spacing w:after="0"/>
              <w:rPr>
                <w:sz w:val="12"/>
                <w:szCs w:val="12"/>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Before-Tax</w:t>
            </w:r>
          </w:p>
        </w:tc>
        <w:tc>
          <w:tcPr>
            <w:tcW w:w="180" w:type="dxa"/>
            <w:vAlign w:val="bottom"/>
          </w:tcPr>
          <w:p>
            <w:pPr>
              <w:spacing w:after="0"/>
              <w:rPr>
                <w:sz w:val="12"/>
                <w:szCs w:val="12"/>
                <w:color w:val="auto"/>
              </w:rPr>
            </w:pPr>
          </w:p>
        </w:tc>
        <w:tc>
          <w:tcPr>
            <w:tcW w:w="1160" w:type="dxa"/>
            <w:vAlign w:val="bottom"/>
            <w:gridSpan w:val="2"/>
          </w:tcPr>
          <w:p>
            <w:pPr>
              <w:jc w:val="center"/>
              <w:ind w:right="300"/>
              <w:spacing w:after="0" w:line="143" w:lineRule="exact"/>
              <w:rPr>
                <w:sz w:val="20"/>
                <w:szCs w:val="20"/>
                <w:color w:val="auto"/>
              </w:rPr>
            </w:pPr>
            <w:r>
              <w:rPr>
                <w:rFonts w:ascii="Times New Roman" w:cs="Times New Roman" w:eastAsia="Times New Roman" w:hAnsi="Times New Roman"/>
                <w:sz w:val="14"/>
                <w:szCs w:val="14"/>
                <w:color w:val="auto"/>
              </w:rPr>
              <w:t>(Expense)</w:t>
            </w:r>
          </w:p>
        </w:tc>
        <w:tc>
          <w:tcPr>
            <w:tcW w:w="2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Benefit (8)</w:t>
            </w:r>
          </w:p>
        </w:tc>
        <w:tc>
          <w:tcPr>
            <w:tcW w:w="260" w:type="dxa"/>
            <w:vAlign w:val="bottom"/>
          </w:tcPr>
          <w:p>
            <w:pPr>
              <w:spacing w:after="0"/>
              <w:rPr>
                <w:sz w:val="16"/>
                <w:szCs w:val="16"/>
                <w:color w:val="auto"/>
              </w:rPr>
            </w:pPr>
          </w:p>
        </w:tc>
        <w:tc>
          <w:tcPr>
            <w:tcW w:w="96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Tax</w:t>
            </w:r>
          </w:p>
        </w:tc>
        <w:tc>
          <w:tcPr>
            <w:tcW w:w="0" w:type="dxa"/>
            <w:vAlign w:val="bottom"/>
          </w:tcPr>
          <w:p>
            <w:pPr>
              <w:spacing w:after="0"/>
              <w:rPr>
                <w:sz w:val="1"/>
                <w:szCs w:val="1"/>
                <w:color w:val="auto"/>
              </w:rPr>
            </w:pPr>
          </w:p>
        </w:tc>
      </w:tr>
      <w:tr>
        <w:trPr>
          <w:trHeight w:val="193"/>
        </w:trPr>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(53,352)</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12,804</w:t>
            </w:r>
          </w:p>
        </w:tc>
        <w:tc>
          <w:tcPr>
            <w:tcW w:w="12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(40,548)</w:t>
            </w:r>
          </w:p>
        </w:tc>
        <w:tc>
          <w:tcPr>
            <w:tcW w:w="0" w:type="dxa"/>
            <w:vAlign w:val="bottom"/>
          </w:tcPr>
          <w:p>
            <w:pPr>
              <w:spacing w:after="0"/>
              <w:rPr>
                <w:sz w:val="1"/>
                <w:szCs w:val="1"/>
                <w:color w:val="auto"/>
              </w:rPr>
            </w:pPr>
          </w:p>
        </w:tc>
      </w:tr>
      <w:tr>
        <w:trPr>
          <w:trHeight w:val="185"/>
        </w:trPr>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3,680</w:t>
            </w:r>
          </w:p>
        </w:tc>
        <w:tc>
          <w:tcPr>
            <w:tcW w:w="0" w:type="dxa"/>
            <w:vAlign w:val="bottom"/>
          </w:tcPr>
          <w:p>
            <w:pPr>
              <w:spacing w:after="0"/>
              <w:rPr>
                <w:sz w:val="1"/>
                <w:szCs w:val="1"/>
                <w:color w:val="auto"/>
              </w:rPr>
            </w:pPr>
          </w:p>
        </w:tc>
      </w:tr>
      <w:tr>
        <w:trPr>
          <w:trHeight w:val="191"/>
        </w:trPr>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201"/>
        </w:trPr>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5,807</w:t>
            </w:r>
          </w:p>
        </w:tc>
        <w:tc>
          <w:tcPr>
            <w:tcW w:w="0" w:type="dxa"/>
            <w:vAlign w:val="bottom"/>
          </w:tcPr>
          <w:p>
            <w:pPr>
              <w:spacing w:after="0"/>
              <w:rPr>
                <w:sz w:val="1"/>
                <w:szCs w:val="1"/>
                <w:color w:val="auto"/>
              </w:rPr>
            </w:pPr>
          </w:p>
        </w:tc>
      </w:tr>
      <w:tr>
        <w:trPr>
          <w:trHeight w:val="201"/>
        </w:trPr>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-4655820</wp:posOffset>
            </wp:positionH>
            <wp:positionV relativeFrom="paragraph">
              <wp:posOffset>-637540</wp:posOffset>
            </wp:positionV>
            <wp:extent cx="7133590" cy="135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3590" cy="135890"/>
                    </a:xfrm>
                    <a:prstGeom prst="rect">
                      <a:avLst/>
                    </a:prstGeom>
                    <a:noFill/>
                  </pic:spPr>
                </pic:pic>
              </a:graphicData>
            </a:graphic>
          </wp:anchor>
        </w:drawing>
        <w:drawing>
          <wp:anchor simplePos="0" relativeHeight="251657728" behindDoc="1" locked="0" layoutInCell="0" allowOverlap="1">
            <wp:simplePos x="0" y="0"/>
            <wp:positionH relativeFrom="column">
              <wp:posOffset>-4655820</wp:posOffset>
            </wp:positionH>
            <wp:positionV relativeFrom="paragraph">
              <wp:posOffset>-365760</wp:posOffset>
            </wp:positionV>
            <wp:extent cx="7133590" cy="1276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3590" cy="127635"/>
                    </a:xfrm>
                    <a:prstGeom prst="rect">
                      <a:avLst/>
                    </a:prstGeom>
                    <a:noFill/>
                  </pic:spPr>
                </pic:pic>
              </a:graphicData>
            </a:graphic>
          </wp:anchor>
        </w:drawing>
        <w:drawing>
          <wp:anchor simplePos="0" relativeHeight="251657728" behindDoc="1" locked="0" layoutInCell="0" allowOverlap="1">
            <wp:simplePos x="0" y="0"/>
            <wp:positionH relativeFrom="column">
              <wp:posOffset>-4655820</wp:posOffset>
            </wp:positionH>
            <wp:positionV relativeFrom="paragraph">
              <wp:posOffset>-111125</wp:posOffset>
            </wp:positionV>
            <wp:extent cx="7133590" cy="1276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3590" cy="127635"/>
                    </a:xfrm>
                    <a:prstGeom prst="rect">
                      <a:avLst/>
                    </a:prstGeom>
                    <a:noFill/>
                  </pic:spPr>
                </pic:pic>
              </a:graphicData>
            </a:graphic>
          </wp:anchor>
        </w:drawing>
      </w:r>
    </w:p>
    <w:p>
      <w:pPr>
        <w:spacing w:after="0" w:line="5" w:lineRule="exact"/>
        <w:rPr>
          <w:sz w:val="20"/>
          <w:szCs w:val="20"/>
          <w:color w:val="auto"/>
        </w:rPr>
      </w:pPr>
    </w:p>
    <w:p>
      <w:pPr>
        <w:sectPr>
          <w:pgSz w:w="11900" w:h="16838" w:orient="portrait"/>
          <w:cols w:equalWidth="0" w:num="2">
            <w:col w:w="6620" w:space="720"/>
            <w:col w:w="3900"/>
          </w:cols>
          <w:pgMar w:left="320" w:top="1149"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current period other comprehensive income (loss) attributable to Southwest Gas Corporation</w:t>
            </w:r>
          </w:p>
        </w:tc>
        <w:tc>
          <w:tcPr>
            <w:tcW w:w="4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2,825</w:t>
            </w:r>
          </w:p>
        </w:tc>
        <w:tc>
          <w:tcPr>
            <w:tcW w:w="1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1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2,147</w:t>
            </w:r>
          </w:p>
        </w:tc>
      </w:tr>
      <w:tr>
        <w:trPr>
          <w:trHeight w:val="217"/>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 AOCI December 31, 2024</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(50,527)</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12,126</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(38,401)</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ind w:left="160" w:firstLine="7"/>
        <w:spacing w:after="0" w:line="279" w:lineRule="auto"/>
        <w:tabs>
          <w:tab w:leader="none" w:pos="567"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These AOCI components are included in the computation of net periodic benefit cost (see </w:t>
      </w:r>
      <w:r>
        <w:rPr>
          <w:rFonts w:ascii="Times New Roman" w:cs="Times New Roman" w:eastAsia="Times New Roman" w:hAnsi="Times New Roman"/>
          <w:sz w:val="16"/>
          <w:szCs w:val="16"/>
          <w:b w:val="1"/>
          <w:bCs w:val="1"/>
          <w:color w:val="auto"/>
        </w:rPr>
        <w:t>Note 11 - Pension and Other Postretirement Benefits</w:t>
      </w:r>
      <w:r>
        <w:rPr>
          <w:rFonts w:ascii="Times New Roman" w:cs="Times New Roman" w:eastAsia="Times New Roman" w:hAnsi="Times New Roman"/>
          <w:sz w:val="16"/>
          <w:szCs w:val="16"/>
          <w:color w:val="auto"/>
        </w:rPr>
        <w:t xml:space="preserve"> for additional details).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type w:val="continuous"/>
        </w:sectPr>
      </w:pPr>
    </w:p>
    <w:bookmarkStart w:id="81" w:name="page82"/>
    <w:bookmarkEnd w:id="81"/>
    <w:p>
      <w:pPr>
        <w:ind w:left="160" w:firstLine="7"/>
        <w:spacing w:after="0" w:line="262" w:lineRule="auto"/>
        <w:tabs>
          <w:tab w:leader="none" w:pos="575"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regulatory adjustment represents the portion of the activity above that is expected to be recovered through rates in the future (the related regulatory asset is included in Deferred charges and other assets on Southwest </w:t>
      </w:r>
      <w:r>
        <w:rPr>
          <w:rFonts w:ascii="Times New Roman" w:cs="Times New Roman" w:eastAsia="Times New Roman" w:hAnsi="Times New Roman"/>
          <w:sz w:val="17"/>
          <w:szCs w:val="17"/>
          <w:color w:val="auto"/>
        </w:rPr>
        <w:t>Gas</w:t>
      </w:r>
      <w:r>
        <w:rPr>
          <w:rFonts w:ascii="Times New Roman" w:cs="Times New Roman" w:eastAsia="Times New Roman" w:hAnsi="Times New Roman"/>
          <w:sz w:val="16"/>
          <w:szCs w:val="16"/>
          <w:color w:val="auto"/>
        </w:rPr>
        <w:t>’ Consolidated Balance Sheets).</w:t>
      </w:r>
    </w:p>
    <w:p>
      <w:pPr>
        <w:spacing w:after="0" w:line="1" w:lineRule="exact"/>
        <w:rPr>
          <w:rFonts w:ascii="Times New Roman" w:cs="Times New Roman" w:eastAsia="Times New Roman" w:hAnsi="Times New Roman"/>
          <w:sz w:val="16"/>
          <w:szCs w:val="16"/>
          <w:color w:val="auto"/>
        </w:rPr>
      </w:pPr>
    </w:p>
    <w:p>
      <w:pPr>
        <w:ind w:left="520" w:hanging="353"/>
        <w:spacing w:after="0"/>
        <w:tabs>
          <w:tab w:leader="none" w:pos="5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amounts are calculated using a 24% rate.</w:t>
      </w:r>
    </w:p>
    <w:p>
      <w:pPr>
        <w:spacing w:after="0" w:line="10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following table represents amounts (before income tax impacts) included in AOCI (in the tables above), that have not yet been recognized in net periodic benefit cost: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4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860" w:type="dxa"/>
            <w:vAlign w:val="bottom"/>
            <w:tcBorders>
              <w:bottom w:val="single" w:sz="8" w:color="auto"/>
            </w:tcBorders>
          </w:tcPr>
          <w:p>
            <w:pPr>
              <w:spacing w:after="0"/>
              <w:rPr>
                <w:sz w:val="20"/>
                <w:szCs w:val="20"/>
                <w:color w:val="auto"/>
              </w:rPr>
            </w:pPr>
          </w:p>
        </w:tc>
      </w:tr>
      <w:tr>
        <w:trPr>
          <w:trHeight w:val="221"/>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21"/>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actuarial loss</w:t>
            </w: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(349,485)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(361,968)</w:t>
            </w:r>
          </w:p>
        </w:tc>
      </w:tr>
      <w:tr>
        <w:trPr>
          <w:trHeight w:val="227"/>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service cost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r>
      <w:tr>
        <w:trPr>
          <w:trHeight w:val="227"/>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amount recognized in regulatory assets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299,961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309,794</w:t>
            </w:r>
          </w:p>
        </w:tc>
      </w:tr>
      <w:tr>
        <w:trPr>
          <w:trHeight w:val="221"/>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Recognized in AOCI</w:t>
            </w: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(50,527)</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(53,352)</w:t>
            </w:r>
          </w:p>
        </w:tc>
      </w:tr>
      <w:tr>
        <w:trPr>
          <w:trHeight w:val="20"/>
        </w:trPr>
        <w:tc>
          <w:tcPr>
            <w:tcW w:w="8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b w:val="1"/>
          <w:bCs w:val="1"/>
          <w:color w:val="auto"/>
        </w:rPr>
        <w:t>Note 11 - Pension and Other Postretirement Benefits</w:t>
      </w:r>
      <w:r>
        <w:rPr>
          <w:rFonts w:ascii="Times New Roman" w:cs="Times New Roman" w:eastAsia="Times New Roman" w:hAnsi="Times New Roman"/>
          <w:sz w:val="18"/>
          <w:szCs w:val="18"/>
          <w:color w:val="auto"/>
        </w:rPr>
        <w:t xml:space="preserve"> for more information on the defined benefit pension plans.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Common Stock</w:t>
      </w:r>
    </w:p>
    <w:p>
      <w:pPr>
        <w:spacing w:after="0" w:line="11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Shares of the Company’s common stock are publicly traded on the NYSE, under the ticker symbol “SWX.” Share-based compensation related to Southwest Gas and Centuri is based on awards to be issued in shares of the Company.</w:t>
      </w:r>
    </w:p>
    <w:p>
      <w:pPr>
        <w:spacing w:after="0" w:line="5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November 2023, the Company and Southwest Gas jointly filed an automatic shelf registration statement (File No. 333-275774), or a Universal Shelf, which became effective upon filing and includes a prospectus detailing the Company’s ability to offer and sell, from time to time in amounts at prices and on terms that will be determined at the time of such offering, any combination of common stock, preferred stock, debt securities (which may or may not be guaranteed by one or more of its directly or indirectly wholly owned subsidiaries if indicated in the relevant prospectus supplement), guarantees of debt securities issued by Southwest Gas, depository shares, warrants to purchase common stock, preferred stock or depository shares issued by the Company or debt securities issued by the Company or Southwest Gas, units and rights. Additionally as part of the Universal Shelf, Southwest Gas may offer and sell, from time to time in amounts at prices and on terms that will be determined at the time of such offering, any combination of debt securities (which may or may not be guaranteed by one or more of its directly or indirectly wholly owned subsidiaries if indicated in the relevant prospectus supplement) and guarantees of debt securities issued by the Company or by one or more of its directly or indirectly wholly owned subsidiaries if indicated in the relevant prospectus supplement.</w:t>
      </w:r>
    </w:p>
    <w:p>
      <w:pPr>
        <w:spacing w:after="0" w:line="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6, 2024, the Company entered into an Equity Distribution Agreement with J.P. Morgan Securities LLC and Wells Fargo Securities, LLC for the offer and sale of up to $340,000,000 of common stock from time to time in an ATM Program. The offering amount was carried forward from the Company’s previous at-the-market equity offering program. The shares are issuable pursuant to the Company’s Universal Shelf. No issuances have occurred under the ATM Program as of December 31, 2024.</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2024, the Company issued approximately 92,000 shares of common stock through the omnibus incentive plan.</w:t>
      </w:r>
    </w:p>
    <w:p>
      <w:pPr>
        <w:spacing w:after="0" w:line="114"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color w:val="auto"/>
        </w:rPr>
        <w:t>Additionally during 2024, the Company issued 127,000 shares of common stock through the Dividend Reinvestment and Stock Purchase Plan, raising proceeds of approximately $9 million.</w:t>
      </w:r>
    </w:p>
    <w:p>
      <w:pPr>
        <w:spacing w:after="0" w:line="5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As of December 31, 2024, there were 5.4 million shares of common stock registered and available for issuance under the provisions of the various stock issuance plans.</w:t>
      </w:r>
    </w:p>
    <w:p>
      <w:pPr>
        <w:spacing w:after="0" w:line="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3, 2023, the Board authorized a dividend of one Purchase Right for each outstanding share of common stock, $1 par value per share, of the Company to stockholders on record at the close of business on November 17, 2023. The description and terms of the Purchase Rights are set forth in the Plan, dated as of November 5, 2023, between the Company and Equiniti Trust Company, LLC, as rights agent. Each Purchase Right entitles the registered holder to purchase from the Company one ten-thousandth of a share of Series A Preferred, no par value per share, of the Company, at a purchase price of $300.00 per one ten-thousandth of a share of Series A Preferred, subject to adjustment. The Purchase Rights have a de minimis fair value and will expire in accordance with the provisions of the Plan.</w:t>
      </w:r>
    </w:p>
    <w:p>
      <w:pPr>
        <w:spacing w:after="0" w:line="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By adopting the Plan, the Board is seeking to preserve the Company’s ability to effectuate a Spin-Off Transaction that would be tax-free to the Company (the “Tax-Free Status”). While the Company intends that any Spin-Off Transaction, if effected, would qualify as a tax-free transaction to the Company’s stockholders, the ability to effect a spin-off that is tax-free to the Company (as opposed to its stockholders) could be lost if certain stock purchases (including by existing or new holders in the open market) are treated as part of a plan pursuant to which one or more persons directly or indirectly acquire a 50% or greater interest in the Company (a “355 Ownership Change”) within applicable time periods for purposes of Section 355(e) of the Internal Revenue Code. The Company believes that there is minimal capacity for changes in the ownership of its stock before 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82" w:name="page83"/>
    <w:bookmarkEnd w:id="82"/>
    <w:p>
      <w:pPr>
        <w:jc w:val="both"/>
        <w:spacing w:after="0" w:line="258" w:lineRule="auto"/>
        <w:rPr>
          <w:sz w:val="20"/>
          <w:szCs w:val="20"/>
          <w:color w:val="auto"/>
        </w:rPr>
      </w:pPr>
      <w:r>
        <w:rPr>
          <w:rFonts w:ascii="Times New Roman" w:cs="Times New Roman" w:eastAsia="Times New Roman" w:hAnsi="Times New Roman"/>
          <w:sz w:val="18"/>
          <w:szCs w:val="18"/>
          <w:color w:val="auto"/>
        </w:rPr>
        <w:t>355 Ownership Change could occur. The Plan is intended to restrict acquisitions of Company stock that could cause a 355 Ownership Change and could impair the Company’s ability to effectuate a Spin-Off Transaction that has Tax-Free Status. The Board believes it is in the best interest of the Company and its stockholders to preserve the Company’s ability to effectuate a Spin-Off Transaction with Tax-Free Status. The Plan has not been triggered as of December 31, 2024.</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Debt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Debt</w:t>
      </w:r>
    </w:p>
    <w:p>
      <w:pPr>
        <w:spacing w:after="0" w:line="11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Long-term debt is recognized in the Company’s and Southwest Gas’ Consolidated Balance Sheets generally at the carrying value of the obligations outstanding. Details surrounding the fair value and individual carrying values of instruments are provided in the table that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611"/>
              <w:spacing w:after="0"/>
              <w:rPr>
                <w:sz w:val="20"/>
                <w:szCs w:val="20"/>
                <w:color w:val="auto"/>
              </w:rPr>
            </w:pPr>
            <w:r>
              <w:rPr>
                <w:rFonts w:ascii="Times New Roman" w:cs="Times New Roman" w:eastAsia="Times New Roman" w:hAnsi="Times New Roman"/>
                <w:sz w:val="18"/>
                <w:szCs w:val="18"/>
                <w:color w:val="auto"/>
              </w:rPr>
              <w:t>December 31,</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2024</w:t>
            </w: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2023</w:t>
            </w:r>
          </w:p>
        </w:tc>
        <w:tc>
          <w:tcPr>
            <w:tcW w:w="8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5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71"/>
              <w:spacing w:after="0" w:line="167" w:lineRule="exact"/>
              <w:rPr>
                <w:sz w:val="20"/>
                <w:szCs w:val="20"/>
                <w:color w:val="auto"/>
              </w:rPr>
            </w:pPr>
            <w:r>
              <w:rPr>
                <w:rFonts w:ascii="Times New Roman" w:cs="Times New Roman" w:eastAsia="Times New Roman" w:hAnsi="Times New Roman"/>
                <w:sz w:val="18"/>
                <w:szCs w:val="18"/>
                <w:color w:val="auto"/>
              </w:rPr>
              <w:t>Carrying</w:t>
            </w:r>
          </w:p>
        </w:tc>
        <w:tc>
          <w:tcPr>
            <w:tcW w:w="340" w:type="dxa"/>
            <w:vAlign w:val="bottom"/>
          </w:tcPr>
          <w:p>
            <w:pPr>
              <w:spacing w:after="0"/>
              <w:rPr>
                <w:sz w:val="14"/>
                <w:szCs w:val="14"/>
                <w:color w:val="auto"/>
              </w:rPr>
            </w:pPr>
          </w:p>
        </w:tc>
        <w:tc>
          <w:tcPr>
            <w:tcW w:w="880" w:type="dxa"/>
            <w:vAlign w:val="bottom"/>
          </w:tcPr>
          <w:p>
            <w:pPr>
              <w:jc w:val="center"/>
              <w:ind w:right="151"/>
              <w:spacing w:after="0" w:line="167" w:lineRule="exact"/>
              <w:rPr>
                <w:sz w:val="20"/>
                <w:szCs w:val="20"/>
                <w:color w:val="auto"/>
              </w:rPr>
            </w:pPr>
            <w:r>
              <w:rPr>
                <w:rFonts w:ascii="Times New Roman" w:cs="Times New Roman" w:eastAsia="Times New Roman" w:hAnsi="Times New Roman"/>
                <w:sz w:val="18"/>
                <w:szCs w:val="18"/>
                <w:color w:val="auto"/>
                <w:w w:val="96"/>
              </w:rPr>
              <w:t>Fair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71"/>
              <w:spacing w:after="0" w:line="167" w:lineRule="exact"/>
              <w:rPr>
                <w:sz w:val="20"/>
                <w:szCs w:val="20"/>
                <w:color w:val="auto"/>
              </w:rPr>
            </w:pPr>
            <w:r>
              <w:rPr>
                <w:rFonts w:ascii="Times New Roman" w:cs="Times New Roman" w:eastAsia="Times New Roman" w:hAnsi="Times New Roman"/>
                <w:sz w:val="18"/>
                <w:szCs w:val="18"/>
                <w:color w:val="auto"/>
              </w:rPr>
              <w:t>Carrying</w:t>
            </w:r>
          </w:p>
        </w:tc>
        <w:tc>
          <w:tcPr>
            <w:tcW w:w="340" w:type="dxa"/>
            <w:vAlign w:val="bottom"/>
          </w:tcPr>
          <w:p>
            <w:pPr>
              <w:spacing w:after="0"/>
              <w:rPr>
                <w:sz w:val="14"/>
                <w:szCs w:val="14"/>
                <w:color w:val="auto"/>
              </w:rPr>
            </w:pPr>
          </w:p>
        </w:tc>
        <w:tc>
          <w:tcPr>
            <w:tcW w:w="880" w:type="dxa"/>
            <w:vAlign w:val="bottom"/>
          </w:tcPr>
          <w:p>
            <w:pPr>
              <w:jc w:val="center"/>
              <w:ind w:right="151"/>
              <w:spacing w:after="0" w:line="167" w:lineRule="exact"/>
              <w:rPr>
                <w:sz w:val="20"/>
                <w:szCs w:val="20"/>
                <w:color w:val="auto"/>
              </w:rPr>
            </w:pPr>
            <w:r>
              <w:rPr>
                <w:rFonts w:ascii="Times New Roman" w:cs="Times New Roman" w:eastAsia="Times New Roman" w:hAnsi="Times New Roman"/>
                <w:sz w:val="18"/>
                <w:szCs w:val="18"/>
                <w:color w:val="auto"/>
                <w:w w:val="96"/>
              </w:rPr>
              <w:t>Fair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Amount</w:t>
            </w:r>
          </w:p>
        </w:tc>
        <w:tc>
          <w:tcPr>
            <w:tcW w:w="340" w:type="dxa"/>
            <w:vAlign w:val="bottom"/>
          </w:tcPr>
          <w:p>
            <w:pPr>
              <w:spacing w:after="0"/>
              <w:rPr>
                <w:sz w:val="20"/>
                <w:szCs w:val="20"/>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2"/>
              </w:rPr>
              <w:t>Value</w:t>
            </w:r>
          </w:p>
        </w:tc>
        <w:tc>
          <w:tcPr>
            <w:tcW w:w="180" w:type="dxa"/>
            <w:vAlign w:val="bottom"/>
          </w:tcPr>
          <w:p>
            <w:pPr>
              <w:spacing w:after="0"/>
              <w:rPr>
                <w:sz w:val="20"/>
                <w:szCs w:val="20"/>
                <w:color w:val="auto"/>
              </w:rPr>
            </w:pPr>
          </w:p>
        </w:tc>
        <w:tc>
          <w:tcPr>
            <w:tcW w:w="9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Amount</w:t>
            </w:r>
          </w:p>
        </w:tc>
        <w:tc>
          <w:tcPr>
            <w:tcW w:w="340" w:type="dxa"/>
            <w:vAlign w:val="bottom"/>
          </w:tcPr>
          <w:p>
            <w:pPr>
              <w:spacing w:after="0"/>
              <w:rPr>
                <w:sz w:val="20"/>
                <w:szCs w:val="20"/>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2"/>
              </w:rPr>
              <w:t>Value</w:t>
            </w:r>
          </w:p>
        </w:tc>
        <w:tc>
          <w:tcPr>
            <w:tcW w:w="0" w:type="dxa"/>
            <w:vAlign w:val="bottom"/>
          </w:tcPr>
          <w:p>
            <w:pPr>
              <w:spacing w:after="0"/>
              <w:rPr>
                <w:sz w:val="1"/>
                <w:szCs w:val="1"/>
                <w:color w:val="auto"/>
              </w:rPr>
            </w:pPr>
          </w:p>
        </w:tc>
      </w:tr>
      <w:tr>
        <w:trPr>
          <w:trHeight w:val="227"/>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Southwest Gas Corporation:</w:t>
            </w: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Debentures:</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8% Series, due 2026</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3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77,898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3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Medium-term notes, 7.92% series, due 2027</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Medium-term notes, 6.76% series, due 2027</w:t>
            </w: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5.8%, due 2027</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3.7%, due 2028</w:t>
            </w: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5.45%, due 2028</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302,970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307,170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2.2%, due 2030</w:t>
            </w: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4.05%, due 2032</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558,120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563,940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6.1%, due 2041</w:t>
            </w: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4.875%, due 2043</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3.8%, due 2046</w:t>
            </w: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4.15%, due 2049</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223,470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3.18%, due 2051</w:t>
            </w: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197,760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Unamortized discount and debt issuance costs</w:t>
            </w:r>
          </w:p>
        </w:tc>
        <w:tc>
          <w:tcPr>
            <w:tcW w:w="9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(26,477)</w:t>
            </w:r>
          </w:p>
        </w:tc>
        <w:tc>
          <w:tcPr>
            <w:tcW w:w="3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(29,594)</w:t>
            </w:r>
          </w:p>
        </w:tc>
        <w:tc>
          <w:tcPr>
            <w:tcW w:w="3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3,306,023</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3,302,906</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facility and commercial paper</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7"/>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 development revenue bonds:</w:t>
            </w:r>
          </w:p>
        </w:tc>
        <w:tc>
          <w:tcPr>
            <w:tcW w:w="9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Tax-exempt Series A, due 2028</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2003 Series A, due 2038</w:t>
            </w: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2008 Series A, due 2038</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2009 Series A, due 2039</w:t>
            </w: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Unamortized discount and debt issuance costs</w:t>
            </w:r>
          </w:p>
        </w:tc>
        <w:tc>
          <w:tcPr>
            <w:tcW w:w="9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3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3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198,454</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198,637</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9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Southwest Gas Corporation total long-term debt, less current maturities</w:t>
            </w:r>
          </w:p>
        </w:tc>
        <w:tc>
          <w:tcPr>
            <w:tcW w:w="9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3,504,477</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3,501,543</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Centuri secured term loan facility</w:t>
            </w: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706,375</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709,059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994,238</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996,723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Centuri secured revolving credit facility</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113,533</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77,121</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debt obligations</w:t>
            </w: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65,794</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96,599</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92,209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discount and debt issuance costs</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(11,821)</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(17,111)</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9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(30,018)</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(42,552)</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Southwest Gas Holdings, Inc. total long-term debt, less current maturities</w:t>
            </w:r>
          </w:p>
        </w:tc>
        <w:tc>
          <w:tcPr>
            <w:tcW w:w="9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4,348,340</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4,609,838</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960" w:type="dxa"/>
            <w:vAlign w:val="bottom"/>
            <w:vMerge w:val="restart"/>
          </w:tcPr>
          <w:p>
            <w:pPr>
              <w:jc w:val="right"/>
              <w:ind w:right="551"/>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7"/>
        </w:trPr>
        <w:tc>
          <w:tcPr>
            <w:tcW w:w="540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40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83" w:name="page84"/>
    <w:bookmarkEnd w:id="83"/>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values of Southwest Gas' and the Company’s revolving credit facilities and Southwest Gas’ IDRBs are categorized as Level 1 as their interest rates reset frequently. The fair values of Southwest Gas’ debentures (which include senior and medium-term notes) and Centuri's term loan facility and unsecured senior notes were determined utilizing a market-based valuation approach, where fair values are determined based on evaluated pricing data, and as such are categorized as Level 2 in the hierarchy.</w:t>
      </w:r>
    </w:p>
    <w:p>
      <w:pPr>
        <w:spacing w:after="0" w:line="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Southwest Gas has a $400 million credit facility that was otherwise scheduled to expire in April 2025. However, in August 2024, Southwest Gas entered into a new agreement to replace its existing credit facility. The agreement extended the maturity date to August 2029 and made other miscellaneous changes, while the operations, designations, and key business terms are comparable to the prior facility. Southwest Gas designates $150 million of associated capacity as long-term debt and the remaining $250 million for working capital purposes. At December 31, 2024, the applicable margin ranged from 0.750% to 1.500% for loans bearing interest with reference to SOFR and from 0.000% to 0.500% for loans bearing interest with reference to the alternative base rate. At December 31, 2024, the applicable margin was 1.125% for loans with reference to SOFR and 0.125% for loans bearing interest with reference to the alternative base rate. Southwest Gas is also required to pay a commitment fee, ranging from 0.075% to 0.200% per annum, on the unfunded portion of the commitments, which was not significant for the year ended December 31, 2024. The credit facility contains a financial covenant requiring Southwest Gas to maintain a ratio of funded debt to total capitalization not to exceed 0.70 to 1.00 as of the end of any quarter of any fiscal year. At December 31, 2024, no borrowings were outstanding on the long-term portion (including under the commercial paper program discussed below), nor under the short-term portion of the facility.</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Southwest Gas has a $50 million commercial paper program. Issuances under the commercial paper program are supported by Southwest Gas’ current revolving credit facility and, therefore, do not represent additional borrowing capacity. Borrowings under the commercial paper program, if any, are designated as long-term debt. Interest rates for the program are calculated at the then current commercial paper rate. At December 31, 2024, as noted above, no borrowings were outstanding under the commercial paper program.</w:t>
      </w:r>
    </w:p>
    <w:p>
      <w:pPr>
        <w:spacing w:after="0" w:line="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Centuri has a $1.545 billion secured revolving credit and term loan multi-currency facility. Amounts can be borrowed in either Canadian or U.S. dollars. The revolving credit facility matures on August 27, 2026 and the term loan facility matures on August 27, 2028. On May 13, 2024, Centuri amended its revolving credit facility to transition from Canadian Dollar Offered Rate benchmarks to CORRA. The applicable margin for the revolving credit facility ranges from 1.0% to 2.5% for SOFR and CORRA loans and from 0.0% to 1.5% for “base rate” loans, depending on Centuri’s total net leverage ratio. The applicable margin for the term loan facility is 1.50% for base rate loans and 2.50% for SOFR loans. The capacity of the line of credit portion of the facility is $400 million; related amounts borrowed and repaid are available to be re-borrowed. The term loan portion of the facility has a limit of $1.145 billion. The obligations under the credit agreement are secured by present and future ownership interests in substantially all direct and indirect subsidiaries of Centuri, substantially all of the tangible and intangible personal property of each borrower, certain of their direct and indirect subsidiaries, and all products, profits, and proceeds of the foregoing. Centuri’s assets securing the facility at December 31, 2024 totaled $2.4 billion. At December 31, 2024, $820 million in borrowings were outstanding under Centuri’s combined secured revolving credit and term loan facility.</w:t>
      </w:r>
    </w:p>
    <w:p>
      <w:pPr>
        <w:spacing w:after="0" w:line="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Centuri is also required to pay a commitment fee on the unused portion of the commitments. The commitment fee ranges from 0.15% to 0.35% per annum, which was not significant for the year ended December 31, 2024. The credit agreement contains certain customary representations and warranties, affirmative and negative covenants, and events of default. There are no financial covenants related to the term loan facility. On March 22, 2024, Centuri amended the financial covenants of its revolving credit facility and was required to maintain certain net leverage ratios. However, the amendment also provided that, in the event that a “Qualified IPO” (as defined in the amendment) is consummated prior to March 31, 2025, the maximum net leverage ratio would be reduced based on the amount of net proceeds received from such Qualified IPO. Pursuant to these terms, the completion of the Centuri IPO (which constituted a “Qualified IPO” for purposes of the amendment) resulted in a change to the maximum net leverage ratio. Based on the amount of proceeds received, Centuri was required to maintain a net leverage ratio of less than a maximum of 5.25 to 1.00 from April 18, 2024 through June 30, 2024, 5.00 to 1.00 from July 1, 2024 through September 29, 2024, 4.25 to 1.00 from September 30, 2024 through December 29, 2024, and 4.00 to 1.00 on December 30, 2024 and thereafter. The terms of the Centuri credit facility otherwise remained unchanged. Following the Centuri IPO and private placement, Centuri used approximately $316 million of proceeds to pay down $156 million of debt under the existing line of credit and $160 million of debt under the term loan portion of the facility, with the remainder of the IPO proceeds used for general corporate purposes.</w:t>
      </w:r>
    </w:p>
    <w:p>
      <w:pPr>
        <w:spacing w:after="0" w:line="8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All amounts outstanding under Centuri’s secured revolving credit and term loan facility are considered long-term borrowings. The effective interest rate on this facility was 7.02% at December 31, 2024.</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3"/>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The effective interest rates on Southwest Gas’ variable-rate IDRBs are included in the table below:</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47"/>
        </w:trPr>
        <w:tc>
          <w:tcPr>
            <w:tcW w:w="8640" w:type="dxa"/>
            <w:vAlign w:val="bottom"/>
          </w:tcPr>
          <w:p>
            <w:pPr>
              <w:spacing w:after="0"/>
              <w:rPr>
                <w:sz w:val="24"/>
                <w:szCs w:val="24"/>
                <w:color w:val="auto"/>
              </w:rPr>
            </w:pPr>
          </w:p>
        </w:tc>
        <w:tc>
          <w:tcPr>
            <w:tcW w:w="2600" w:type="dxa"/>
            <w:vAlign w:val="bottom"/>
            <w:tcBorders>
              <w:bottom w:val="single" w:sz="8" w:color="auto"/>
            </w:tcBorders>
            <w:gridSpan w:val="3"/>
          </w:tcPr>
          <w:p>
            <w:pPr>
              <w:jc w:val="right"/>
              <w:ind w:right="711"/>
              <w:spacing w:after="0"/>
              <w:rPr>
                <w:sz w:val="20"/>
                <w:szCs w:val="20"/>
                <w:color w:val="auto"/>
              </w:rPr>
            </w:pPr>
            <w:r>
              <w:rPr>
                <w:rFonts w:ascii="Times New Roman" w:cs="Times New Roman" w:eastAsia="Times New Roman" w:hAnsi="Times New Roman"/>
                <w:sz w:val="18"/>
                <w:szCs w:val="18"/>
                <w:color w:val="auto"/>
              </w:rPr>
              <w:t>December 31,</w:t>
            </w:r>
          </w:p>
        </w:tc>
      </w:tr>
      <w:tr>
        <w:trPr>
          <w:trHeight w:val="221"/>
        </w:trPr>
        <w:tc>
          <w:tcPr>
            <w:tcW w:w="864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2023</w:t>
            </w:r>
          </w:p>
        </w:tc>
      </w:tr>
      <w:tr>
        <w:trPr>
          <w:trHeight w:val="221"/>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2003 Series A</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5.03 %</w:t>
            </w:r>
          </w:p>
        </w:tc>
      </w:tr>
      <w:tr>
        <w:trPr>
          <w:trHeight w:val="227"/>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2008 Series A</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4.89 %</w:t>
            </w:r>
          </w:p>
        </w:tc>
      </w:tr>
      <w:tr>
        <w:trPr>
          <w:trHeight w:val="227"/>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2009 Series A</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4.65 %</w:t>
            </w:r>
          </w:p>
        </w:tc>
      </w:tr>
      <w:tr>
        <w:trPr>
          <w:trHeight w:val="233"/>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Tax-exempt Series A</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4.29 %</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4.73 %</w:t>
            </w:r>
          </w:p>
        </w:tc>
      </w:tr>
    </w:tbl>
    <w:p>
      <w:pPr>
        <w:spacing w:after="0" w:line="8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In Nevada, interest fluctuations due to changing interest rates on Southwest Gas’ 2003 Series A, 2008 Series A, and 2009 Series A variable-rate IDRBs are tracked and recovered from customers through a variable interest expense recovery mechanism.</w:t>
      </w:r>
    </w:p>
    <w:p>
      <w:pPr>
        <w:spacing w:after="0" w:line="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None of Southwest Gas’ debt instruments have credit triggers or other clauses that result in default if bond ratings are lowered by rating agencies. Interest and fees on certain debt instruments are subject to adjustment depending on Southwest Gas’ bond ratings. Certain debt instruments are subject to a leverage ratio cap and the 6.1% Notes due 2041 are also subject to a minimum net worth requirement. At December 31, 2024, Southwest Gas was in compliance with all of its covenants. Under the most restrictive of the financial covenants, approximately $4.1 billion in additional debt could be issued while still meeting the leverage ratio requirement. Relating to the minimum net worth requirement, as of December 31, 2024, there is at least $2.7 billion of cushion in equity. No specific dividend restrictions exist under the collective covenants. None of the debt instruments contain material adverse change clauses.</w:t>
      </w:r>
    </w:p>
    <w:p>
      <w:pPr>
        <w:spacing w:after="0" w:line="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Certain Centuri debt instruments have leverage ratio caps and fixed charge ratio coverage requirements. At December 31, 2024, Centuri was in compliance with all of its covenants. Under the most restrictive of the covenants, Centuri could issue over $151 million in additional debt and meet the leverage ratio requirement. Centuri has at least $28 million of cushion relating to the minimum fixed charge ratio coverage requirement. Centuri’s covenants limit its ability to provide cash dividends to the Company, its parent. The dividend restriction is equal to a calculated available amount generally defined as 50% of its rolling twelve-month consolidated net income adjusted for certain items, such as parent contribution inflows, Linetec redeemable noncontrolling interest payments, or dividend payments, among other adjustments, as applicable. Under these restrictions and the financial covenants of the amended revolving credit facility, Centuri’s ability to pay dividends to the Company is limited. However, such dividends are not customarily relied upon in order for the Company to satisfy dividends declared for its stockholders.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maturities of long-term debt for the next five years are: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Total</w:t>
            </w:r>
          </w:p>
        </w:tc>
      </w:tr>
      <w:tr>
        <w:trPr>
          <w:trHeight w:val="207"/>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Southwest Gas Corporation:</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7"/>
        </w:trPr>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Debentures</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332,500</w:t>
            </w:r>
          </w:p>
        </w:tc>
        <w:tc>
          <w:tcPr>
            <w:tcW w:w="8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1,057,500</w:t>
            </w:r>
          </w:p>
        </w:tc>
      </w:tr>
      <w:tr>
        <w:trPr>
          <w:trHeight w:val="227"/>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Revolving credit facility and commercial paper</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37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332,500</w:t>
            </w: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1,057,500</w:t>
            </w:r>
          </w:p>
        </w:tc>
      </w:tr>
      <w:tr>
        <w:trPr>
          <w:trHeight w:val="207"/>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7"/>
        </w:trPr>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Centuri secured term loan facility</w:t>
            </w:r>
          </w:p>
        </w:tc>
        <w:tc>
          <w:tcPr>
            <w:tcW w:w="2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706,375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706,375</w:t>
            </w:r>
          </w:p>
        </w:tc>
      </w:tr>
      <w:tr>
        <w:trPr>
          <w:trHeight w:val="227"/>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Centuri secured revolving credit facility</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113,533</w:t>
            </w:r>
          </w:p>
        </w:tc>
      </w:tr>
      <w:tr>
        <w:trPr>
          <w:trHeight w:val="227"/>
        </w:trPr>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debt obligations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65,794</w:t>
            </w:r>
          </w:p>
        </w:tc>
      </w:tr>
      <w:tr>
        <w:trPr>
          <w:trHeight w:val="246"/>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339,759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1,356,375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1,943,202</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Debt</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Southwest Gas Holdings has a $300 million credit facility that is scheduled to expire in December 2026 and is primarily used for short-term financing needs. Interest rates for this facility are calculated at either SOFR or the “alternate base rate,” plus in each case an applicable margin that is determined based on the Company’s senior unsecured debt rating. At December 31, 2024, the applicable margin is 1.250% for loans bearing interest with reference to SOFR and 0.250% for loans bearing interest with reference to the alternative base rate. The commitment fee rates, terms, and covenants, noted above for Southwest Gas, are also applicable to Southwest Gas Holdings in its amended credit facility, including the noted ratio of funded debt to total capitalization as of the end of any quarter of any fiscal year. The commitment fee under this credit facility was not significant for the year ended December 31, 2024. There was $130 million and $78.5 million outstanding under this facility with a weighted average interest rate of 5.818% and 6.638% at December 31, 2024 and 2023, respectively.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sectPr>
      </w:pPr>
    </w:p>
    <w:bookmarkStart w:id="85" w:name="page86"/>
    <w:bookmarkEnd w:id="85"/>
    <w:p>
      <w:pPr>
        <w:jc w:val="both"/>
        <w:spacing w:after="0" w:line="258" w:lineRule="auto"/>
        <w:rPr>
          <w:sz w:val="20"/>
          <w:szCs w:val="20"/>
          <w:color w:val="auto"/>
        </w:rPr>
      </w:pPr>
      <w:r>
        <w:rPr>
          <w:rFonts w:ascii="Times New Roman" w:cs="Times New Roman" w:eastAsia="Times New Roman" w:hAnsi="Times New Roman"/>
          <w:sz w:val="18"/>
          <w:szCs w:val="18"/>
          <w:color w:val="auto"/>
        </w:rPr>
        <w:t>In April 2023, Southwest Gas Holdings entered into a $550 million term loan that was set to mature in October 2024. Southwest Gas Holdings, Inc. utilized a majority of the proceeds to make an equity contribution to Southwest Gas. In August 2024, the Company amended this term loan agreement, extending the maturity date to July 31, 2025 and changed the interest with reference to SOFR from an applicable margin of 1.300% to 1.125%, among other miscellaneous changes.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indicated above, under Southwest Gas’ $400 million credit facility, $250 million has been designated by management for working capital purposes.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Southwest Gas had no short-term borrowings outstanding at December 31, 2024 and 2023.</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Share-Based Compensation</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December 31, 2024, the following share-based compensation plans existed at the Company: an omnibus incentive plan and a restricted stock/unit plan. The fair value of share grants is primarily based on the closing price of the Company’s stock on the date of grant. All share grants in 2024, including time-lapse restricted stock units and performance stock units, occurred under the omnibus incentive plan. The table below shows total share-based plan compensation expense which was recognized in the Consolidated Statements of Income:</w:t>
      </w:r>
    </w:p>
    <w:p>
      <w:pPr>
        <w:sectPr>
          <w:pgSz w:w="11900" w:h="16838" w:orient="portrait"/>
          <w:cols w:equalWidth="0" w:num="1">
            <w:col w:w="11240"/>
          </w:cols>
          <w:pgMar w:left="320" w:top="1137" w:right="339" w:bottom="1440" w:gutter="0" w:footer="0" w:header="0"/>
        </w:sectPr>
      </w:pP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(Thousands of dollars)</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Share-based compensation plan expense, net of related tax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-120650</wp:posOffset>
            </wp:positionV>
            <wp:extent cx="7133590" cy="153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3590" cy="153035"/>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Share-based compensation plan related tax benefits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Omnibus Incentive Plan</w:t>
      </w:r>
    </w:p>
    <w:p>
      <w:pPr>
        <w:spacing w:after="0" w:line="20" w:lineRule="exact"/>
        <w:rPr>
          <w:sz w:val="20"/>
          <w:szCs w:val="20"/>
          <w:color w:val="auto"/>
        </w:rPr>
      </w:pPr>
      <w:r>
        <w:rPr>
          <w:sz w:val="20"/>
          <w:szCs w:val="20"/>
          <w:color w:val="auto"/>
        </w:rPr>
        <w:br w:type="column"/>
      </w:r>
    </w:p>
    <w:p>
      <w:pPr>
        <w:ind w:left="840"/>
        <w:spacing w:after="0"/>
        <w:rPr>
          <w:sz w:val="20"/>
          <w:szCs w:val="20"/>
          <w:color w:val="auto"/>
        </w:rPr>
      </w:pPr>
      <w:r>
        <w:rPr>
          <w:rFonts w:ascii="Times New Roman" w:cs="Times New Roman" w:eastAsia="Times New Roman" w:hAnsi="Times New Roman"/>
          <w:sz w:val="18"/>
          <w:szCs w:val="18"/>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2022</w:t>
            </w:r>
          </w:p>
        </w:tc>
      </w:tr>
      <w:tr>
        <w:trPr>
          <w:trHeight w:val="216"/>
        </w:trPr>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10,202</w:t>
            </w:r>
          </w:p>
        </w:tc>
        <w:tc>
          <w:tcPr>
            <w:tcW w:w="120" w:type="dxa"/>
            <w:vAlign w:val="bottom"/>
          </w:tcPr>
          <w:p>
            <w:pPr>
              <w:spacing w:after="0"/>
              <w:rPr>
                <w:sz w:val="18"/>
                <w:szCs w:val="18"/>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5,147</w:t>
            </w:r>
          </w:p>
        </w:tc>
        <w:tc>
          <w:tcPr>
            <w:tcW w:w="120" w:type="dxa"/>
            <w:vAlign w:val="bottom"/>
          </w:tcPr>
          <w:p>
            <w:pPr>
              <w:spacing w:after="0"/>
              <w:rPr>
                <w:sz w:val="18"/>
                <w:szCs w:val="18"/>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6,225</w:t>
            </w:r>
          </w:p>
        </w:tc>
      </w:tr>
      <w:tr>
        <w:trPr>
          <w:trHeight w:val="233"/>
        </w:trPr>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w:t>
            </w:r>
          </w:p>
        </w:tc>
      </w:tr>
    </w:tbl>
    <w:p>
      <w:pPr>
        <w:spacing w:after="0" w:line="382" w:lineRule="exact"/>
        <w:rPr>
          <w:sz w:val="20"/>
          <w:szCs w:val="20"/>
          <w:color w:val="auto"/>
        </w:rPr>
      </w:pPr>
    </w:p>
    <w:p>
      <w:pPr>
        <w:sectPr>
          <w:pgSz w:w="11900" w:h="16838" w:orient="portrait"/>
          <w:cols w:equalWidth="0" w:num="2">
            <w:col w:w="6980" w:space="720"/>
            <w:col w:w="3540"/>
          </w:cols>
          <w:pgMar w:left="320" w:top="1137" w:right="339" w:bottom="1440" w:gutter="0" w:footer="0" w:header="0"/>
          <w:type w:val="continuous"/>
        </w:sect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omnibus incentive plan is used to promote the long-term growth and profitability of the Company, including its subsidiaries, by providing directors, employees, and certain other individuals with incentives to increase stockholder value and otherwise contribute to the success of the Company. In addition, the plan enables the Company to attract, retain, and reward the best available persons for positions of responsibility. The omnibus incentive plan provides for the grant of stock options, stock appreciation rights, restricted stock, restricted stock units, performance stock units, and other equity-based, as well as cash, awards. Employees, directors, and consultants who provide services to the Company or any subsidiary may be eligible under this plan. For grants under the omnibus incentive plan, directors continue to immediately vest in the shares upon grant but are provided the option to defer receipt of equity compensation until they leave the Board.</w:t>
      </w:r>
    </w:p>
    <w:p>
      <w:pPr>
        <w:spacing w:after="0" w:line="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Performance-based incentive opportunities under the ongoing programs of the omnibus plan were granted to all officers of Southwest Gas in the form of performance stock units and are based, depending on the officer, on consolidated earnings per share, utility net income, and utility return on equity, with an adjustment, where relevant, based on TSR compared to peer companies, and for all participants, measured over a three-year forward performance period. Performance stock units are restricted based on vesting, and in this case, further subject to future performance determinations against relevant benchmarks. From time to time, special awards may be granted, as permissible under the omnibus plan, that are recognized based on the relevant conditions of the grant and accounting determinations for recognition and in 2024 three officers received special performance stock unit awards with accelerated vesting provisions for certain termination events. Southwest Gas recorded $5.2 million, $1.1 million, and $2.1 million of estimated compensation expense associated with the collective performance stock unit during 2024, 2023, and 2022, respectively. There is no accelerated vesting under the performance stock program, but in association with the ongoing program, vesting in the ultimate award, if any, is based on the period of employment within the three-year forward vesting period.</w:t>
      </w:r>
    </w:p>
    <w:p>
      <w:pPr>
        <w:spacing w:after="0" w:line="8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Restricted stock/units under the restricted stock/unit plan were previously granted to attract, motivate, retain, and reward key employees of the Company with an incentive to attain high levels of individual performance and improved financial performance. The legacy plan was also established to attract, motivate, and retain experienced and knowledgeable directors. All remaining shares under the legacy restricted stock/unit plan (in regard to employees) were issued during 2021; remaining unissued legacy program shares relate solely to directors, and such shares were immediately vested at the time of grant, with distribution to occur when service on the Board ends. No new grants are made under the legacy plan, as all future stock-based incentive compensation, including with regard to restricted stock, is granted under programs of the omnibus incentive plan, which for directors, with advance election, issuance may occur upon grant. Conversely, with regard to management, grants under the omnibus plan are of time-lapse restricted stock units, with graded vesting (and issuance in the form of common stock) occurring (following grant), at the rate of 40% at the end of year one and 30% at the end of years two and three. Accelerated vesting occurs based on retirement eligibility.</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color w:val="auto"/>
        </w:rPr>
        <w:t>The following table summarizes the activity of the omnibus incentive plan and restricted stock/units programs as of December 31, 2024:</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0" w:type="dxa"/>
            <w:vAlign w:val="bottom"/>
          </w:tcPr>
          <w:p>
            <w:pPr>
              <w:spacing w:after="0"/>
              <w:rPr>
                <w:sz w:val="16"/>
                <w:szCs w:val="16"/>
                <w:color w:val="auto"/>
              </w:rPr>
            </w:pPr>
          </w:p>
        </w:tc>
        <w:tc>
          <w:tcPr>
            <w:tcW w:w="1440" w:type="dxa"/>
            <w:vAlign w:val="bottom"/>
            <w:vMerge w:val="restart"/>
          </w:tcPr>
          <w:p>
            <w:pPr>
              <w:jc w:val="right"/>
              <w:ind w:right="13"/>
              <w:spacing w:after="0"/>
              <w:rPr>
                <w:sz w:val="20"/>
                <w:szCs w:val="20"/>
                <w:color w:val="auto"/>
              </w:rPr>
            </w:pPr>
            <w:r>
              <w:rPr>
                <w:rFonts w:ascii="Times New Roman" w:cs="Times New Roman" w:eastAsia="Times New Roman" w:hAnsi="Times New Roman"/>
                <w:sz w:val="16"/>
                <w:szCs w:val="16"/>
                <w:color w:val="auto"/>
              </w:rPr>
              <w:t>Performance Stock</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color w:val="auto"/>
                <w:w w:val="98"/>
              </w:rPr>
              <w:t>Weighted-average</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Restricted Stock</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vMerge w:val="restart"/>
          </w:tcPr>
          <w:p>
            <w:pPr>
              <w:jc w:val="right"/>
              <w:ind w:right="52"/>
              <w:spacing w:after="0"/>
              <w:rPr>
                <w:sz w:val="20"/>
                <w:szCs w:val="20"/>
                <w:color w:val="auto"/>
              </w:rPr>
            </w:pPr>
            <w:r>
              <w:rPr>
                <w:rFonts w:ascii="Times New Roman" w:cs="Times New Roman" w:eastAsia="Times New Roman" w:hAnsi="Times New Roman"/>
                <w:sz w:val="16"/>
                <w:szCs w:val="16"/>
                <w:color w:val="auto"/>
                <w:w w:val="97"/>
              </w:rPr>
              <w:t>Weighted-average</w:t>
            </w:r>
          </w:p>
        </w:tc>
        <w:tc>
          <w:tcPr>
            <w:tcW w:w="0" w:type="dxa"/>
            <w:vAlign w:val="bottom"/>
          </w:tcPr>
          <w:p>
            <w:pPr>
              <w:spacing w:after="0"/>
              <w:rPr>
                <w:sz w:val="1"/>
                <w:szCs w:val="1"/>
                <w:color w:val="auto"/>
              </w:rPr>
            </w:pPr>
          </w:p>
        </w:tc>
      </w:tr>
      <w:tr>
        <w:trPr>
          <w:trHeight w:val="160"/>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 of shares)</w:t>
            </w:r>
          </w:p>
        </w:tc>
        <w:tc>
          <w:tcPr>
            <w:tcW w:w="1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142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color w:val="auto"/>
              </w:rPr>
              <w:t>Units/Director</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5200" w:type="dxa"/>
            <w:vAlign w:val="bottom"/>
            <w:vMerge w:val="continue"/>
          </w:tcPr>
          <w:p>
            <w:pPr>
              <w:spacing w:after="0"/>
              <w:rPr>
                <w:sz w:val="18"/>
                <w:szCs w:val="18"/>
                <w:color w:val="auto"/>
              </w:rPr>
            </w:pPr>
          </w:p>
        </w:tc>
        <w:tc>
          <w:tcPr>
            <w:tcW w:w="1440" w:type="dxa"/>
            <w:vAlign w:val="bottom"/>
          </w:tcPr>
          <w:p>
            <w:pPr>
              <w:jc w:val="right"/>
              <w:ind w:right="453"/>
              <w:spacing w:after="0"/>
              <w:rPr>
                <w:sz w:val="20"/>
                <w:szCs w:val="20"/>
                <w:color w:val="auto"/>
              </w:rPr>
            </w:pPr>
            <w:r>
              <w:rPr>
                <w:rFonts w:ascii="Times New Roman" w:cs="Times New Roman" w:eastAsia="Times New Roman" w:hAnsi="Times New Roman"/>
                <w:sz w:val="16"/>
                <w:szCs w:val="16"/>
                <w:color w:val="auto"/>
              </w:rPr>
              <w:t>Units</w:t>
            </w:r>
          </w:p>
        </w:tc>
        <w:tc>
          <w:tcPr>
            <w:tcW w:w="100" w:type="dxa"/>
            <w:vAlign w:val="bottom"/>
          </w:tcPr>
          <w:p>
            <w:pPr>
              <w:spacing w:after="0"/>
              <w:rPr>
                <w:sz w:val="18"/>
                <w:szCs w:val="18"/>
                <w:color w:val="auto"/>
              </w:rPr>
            </w:pP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w w:val="99"/>
              </w:rPr>
              <w:t>grant date fair value</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Deferred Stock Units</w:t>
            </w:r>
          </w:p>
        </w:tc>
        <w:tc>
          <w:tcPr>
            <w:tcW w:w="12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grant date fair value</w:t>
            </w:r>
          </w:p>
        </w:tc>
        <w:tc>
          <w:tcPr>
            <w:tcW w:w="0" w:type="dxa"/>
            <w:vAlign w:val="bottom"/>
          </w:tcPr>
          <w:p>
            <w:pPr>
              <w:spacing w:after="0"/>
              <w:rPr>
                <w:sz w:val="1"/>
                <w:szCs w:val="1"/>
                <w:color w:val="auto"/>
              </w:rPr>
            </w:pPr>
          </w:p>
        </w:tc>
      </w:tr>
      <w:tr>
        <w:trPr>
          <w:trHeight w:val="221"/>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Nonvested/unissued at December 31, 2023</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56.29</w:t>
            </w:r>
          </w:p>
        </w:tc>
        <w:tc>
          <w:tcPr>
            <w:tcW w:w="0" w:type="dxa"/>
            <w:vAlign w:val="bottom"/>
          </w:tcPr>
          <w:p>
            <w:pPr>
              <w:spacing w:after="0"/>
              <w:rPr>
                <w:sz w:val="1"/>
                <w:szCs w:val="1"/>
                <w:color w:val="auto"/>
              </w:rPr>
            </w:pPr>
          </w:p>
        </w:tc>
      </w:tr>
      <w:tr>
        <w:trPr>
          <w:trHeight w:val="227"/>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68.54</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62.55</w:t>
            </w:r>
          </w:p>
        </w:tc>
        <w:tc>
          <w:tcPr>
            <w:tcW w:w="0" w:type="dxa"/>
            <w:vAlign w:val="bottom"/>
          </w:tcPr>
          <w:p>
            <w:pPr>
              <w:spacing w:after="0"/>
              <w:rPr>
                <w:sz w:val="1"/>
                <w:szCs w:val="1"/>
                <w:color w:val="auto"/>
              </w:rPr>
            </w:pPr>
          </w:p>
        </w:tc>
      </w:tr>
      <w:tr>
        <w:trPr>
          <w:trHeight w:val="227"/>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 or expired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62.19</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61.06</w:t>
            </w:r>
          </w:p>
        </w:tc>
        <w:tc>
          <w:tcPr>
            <w:tcW w:w="0" w:type="dxa"/>
            <w:vAlign w:val="bottom"/>
          </w:tcPr>
          <w:p>
            <w:pPr>
              <w:spacing w:after="0"/>
              <w:rPr>
                <w:sz w:val="1"/>
                <w:szCs w:val="1"/>
                <w:color w:val="auto"/>
              </w:rPr>
            </w:pPr>
          </w:p>
        </w:tc>
      </w:tr>
      <w:tr>
        <w:trPr>
          <w:trHeight w:val="227"/>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 and issued (1)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67.29</w:t>
            </w:r>
          </w:p>
        </w:tc>
        <w:tc>
          <w:tcPr>
            <w:tcW w:w="12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60.43</w:t>
            </w:r>
          </w:p>
        </w:tc>
        <w:tc>
          <w:tcPr>
            <w:tcW w:w="0" w:type="dxa"/>
            <w:vAlign w:val="bottom"/>
          </w:tcPr>
          <w:p>
            <w:pPr>
              <w:spacing w:after="0"/>
              <w:rPr>
                <w:sz w:val="1"/>
                <w:szCs w:val="1"/>
                <w:color w:val="auto"/>
              </w:rPr>
            </w:pPr>
          </w:p>
        </w:tc>
      </w:tr>
      <w:tr>
        <w:trPr>
          <w:trHeight w:val="221"/>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Nonvested/unissued at December 31, 2024</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64.95</w:t>
            </w:r>
          </w:p>
        </w:tc>
        <w:tc>
          <w:tcPr>
            <w:tcW w:w="12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55.39</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640" w:hanging="473"/>
        <w:spacing w:after="0"/>
        <w:tabs>
          <w:tab w:leader="none" w:pos="6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shares for retiree payouts and those converted for taxes.</w:t>
      </w:r>
    </w:p>
    <w:p>
      <w:pPr>
        <w:spacing w:after="0" w:line="2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weighted average grant date fair value of performance stock units and time-lapse restricted stock units granted in 2023 was $62.78 and $62.83, respectively, and in 2022 was $66.11 for both performance stock units and time-lapse restricted stock units.</w:t>
      </w:r>
    </w:p>
    <w:p>
      <w:pPr>
        <w:spacing w:after="0" w:line="5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As of December 31, 2024, total compensation cost related to all unvested shares not yet recognized is $11.4 million, which is expected to be recognized over a weighted average period of 2.1 years.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Commitments and Contingencies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and Southwest Gas are defendants in miscellaneous legal proceedings. They are also parties to various regulatory proceedings. The ultimate dispositions of these proceedings are not presently determinable; however, it is the opinion of management that no litigation or regulatory proceedings to which the Company and Southwest Gas are currently subject will have a material adverse impact on their financial position, results of operations, or cash flows.</w:t>
      </w:r>
    </w:p>
    <w:p>
      <w:pPr>
        <w:spacing w:after="0" w:line="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maintains excess liability insurance that covers Southwest Gas for various risks associated with the operation of the natural gas pipelines and facilities. In connection with these liability insurance policies, Southwest Gas is responsible for an initial deductible or self-insured retention amount per incident, after which the insurance carriers would be responsible for amounts up to the policy limits. For the policy period of August 2024 to July 2025, these liability insurance policies require Southwest Gas, as applicable, to be responsible for the first $1 million (self-insured retention) of each incident plus a supplemental retention aggregate of $4 million in the policy year. When amounts are expected to be incurred above these amounts, subject to insurance carrier indemnity, a liability is recognized for the additional amount, in addition to a receivable, associated with amounts expected to be indemnified by the insurance carrier amounts, without impact to earnings.</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Centuri maintains liability insurance for various risks associated with its operations. In connection with these liability insurance policies, Centuri is responsible for an initial deductible or self-insured retention amount per occurrence, after which the insurance carriers would be responsible for amounts up to the policy limits. For the policy year May 2024 to April 2025, Centuri is responsible for the first $750,000 (self-insured retention) per occurrence under these liability insurance policies.</w:t>
      </w:r>
    </w:p>
    <w:p>
      <w:pPr>
        <w:spacing w:after="0" w:line="7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Through an assessment process of commitments and contingencies of any kind, the Company and Southwest Gas may determine that certain costs are likely to be incurred in the future related to specific legal matters. In these circumstances and in accordance with accounting policies, the Company and Southwest Gas will make an accrual, as necessary.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Pension and Other Postretirement Benefits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Southwest Gas Corporation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Employees’ Investment Plan</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 EIP is offered to eligible employees of Southwest Gas through deduction of a percentage of base compensation, subject to IRS limitations. The EIP provides for purchases of various mutual fund investments and Company common stock. For employees hired on or before December 31, 2021, one-half of amounts deferred are matched, up to a maximum matching contribution of 3.5% of an employee’s annual compensation. Employees hired on or after January 1, 2022 are eligible for non-elective employer contributions of 3% plus a matching contribution (dollar-for-dollar) up to 7% of eligible compensation. Officers hired after January 1, 2022 are similarly eligible for non-elective and matching contributions. Contributions to the plan by Southwest Gas were $9.9 million, $8.3 million, and $6.9 million for 2024, 2023, and 2022, respectively.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Compensation Plan</w:t>
      </w:r>
    </w:p>
    <w:p>
      <w:pPr>
        <w:spacing w:after="0" w:line="1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 deferred compensation plan is offered to all officers of Southwest Gas, regardless of hire date, and a separate deferred compensation plan is offered to members of the Company’s Board. The plans provide the opportunity to defer up to 100% of annual cash compensation. One-half of amounts deferred by officers are matched, up to a maximum matching contribution of</w:t>
      </w:r>
    </w:p>
    <w:p>
      <w:pPr>
        <w:sectPr>
          <w:pgSz w:w="11900" w:h="16838" w:orient="portrait"/>
          <w:cols w:equalWidth="0" w:num="1">
            <w:col w:w="11240"/>
          </w:cols>
          <w:pgMar w:left="320" w:top="1138" w:right="33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type w:val="continuous"/>
        </w:sectPr>
      </w:pPr>
    </w:p>
    <w:bookmarkStart w:id="87" w:name="page88"/>
    <w:bookmarkEnd w:id="87"/>
    <w:p>
      <w:pPr>
        <w:jc w:val="both"/>
        <w:spacing w:after="0" w:line="263" w:lineRule="auto"/>
        <w:rPr>
          <w:sz w:val="20"/>
          <w:szCs w:val="20"/>
          <w:color w:val="auto"/>
        </w:rPr>
      </w:pPr>
      <w:r>
        <w:rPr>
          <w:rFonts w:ascii="Times New Roman" w:cs="Times New Roman" w:eastAsia="Times New Roman" w:hAnsi="Times New Roman"/>
          <w:sz w:val="18"/>
          <w:szCs w:val="18"/>
          <w:color w:val="auto"/>
        </w:rPr>
        <w:t>3.5% of an officer’s annual base salary. Upon retirement, payments of compensation deferred, plus interest, are made in equal monthly installments over 10, 15, or 20 years, as elected by the participant. Directors have an additional option to receive such payments over a five-year period. Deferred compensation earns interest at a rate determined each January. The interest rate equals 150% of Moody’s Seasoned Corporate Bond Rate Index.</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Pension and Postretirement Plans</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noncontributory QRP with defined benefits covering substantially all Southwest Gas employees hired on or before December 31, 2021 is available, in addition to a separate unfunded SERP, which is limited to Southwest Gas’ officers. PBOP are provided to qualified retirees for limited benefits related to health care, dental, vision and life insurance, some of which were subject to earlier “sunset” dates. The defined benefit QRP, SERP, and PBOP are not available to Southwest Gas employees hired on or after January 1, 2022. As noted above, employees hired on or after that date, are eligible for enhanced contributions to the EIP.</w:t>
      </w:r>
    </w:p>
    <w:p>
      <w:pPr>
        <w:spacing w:after="0" w:line="7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overfunded or underfunded positions of defined benefit postretirement plans, including pension plans, are recognized in the Consolidated Balance Sheets. Any actuarial gains and losses, prior service costs, and transition assets or obligations are recognized in AOCI under Stockholders’ equity, net of tax, until they are amortized as a component of net periodic benefit cost.</w:t>
      </w:r>
    </w:p>
    <w:p>
      <w:pPr>
        <w:spacing w:after="0" w:line="6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 regulatory asset has been established for the portion of the total amounts otherwise chargeable to AOCI that are expected to be recovered through rates in future periods. Changes in actuarial gains and losses and prior service costs pertaining to the regulatory asset will be recognized as an adjustment to the regulatory asset account as these amounts are amortized and recognized as components of net periodic pension costs each year.</w:t>
      </w:r>
    </w:p>
    <w:p>
      <w:pPr>
        <w:spacing w:after="0" w:line="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QRP invests the majority of its plan assets in common collective trusts, which include a well-diversified portfolio of domestic and international equity securities and fixed income securities, and are managed by a professional investment manager appointed by Southwest Gas. The investment manager has full discretionary authority to direct the investment of plan assets held in trust within the specific guidelines prescribed by Southwest Gas through the plan’s investment policy statement. Southwest Gas previously implemented an LDI strategy for part of the portfolio, a form of investing designed to better match the movement in pension plan assets with the impact of interest rate changes and indirectly, inflation assumption changes on the pension plan liability. The implementation of the LDI strategy was intended to be phased in over time by using a glide path. The glide path was designed to increase the allocation of the plan’s assets to fixed income securities, as the funded status of the plan increases, in order to more closely match the duration of the plan assets to that of the plan liability. During the fourth quarter of 2023, the asset mix was adapted in accordance with an updated policy statement to be primarily balanced with approximately 50% equities and 50% fixed income investments. Beginning in 2024, a treasury futures overlay was added as part of the LDI strategy intending to manage interest rate fluctuations with the goal of reducing funded ratio volatility; as of the end of 2024, the pension plan was approximately 95% funded. While the overlay is intended for these purposes, there is no guarantee that these intentions will be achieved. Pension plan assets are held in a Master Trust. The pension plan funding policy is in compliance with the federal government’s funding requirements.</w:t>
      </w:r>
    </w:p>
    <w:p>
      <w:pPr>
        <w:spacing w:after="0" w:line="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Pension costs for these plans are affected by the amount and timing of cash contributions to the plans, the return on plan assets, discount rates, and by employee demographics, including age, compensation, and length of service. Changes made to the provisions of the plans may also impact current and future pension costs. Actuarial formulas are used in the determination of pension costs and are affected by actual plan experience and assumptions about future experience. Key actuarial assumptions include the expected return on plan assets, the discount rate used in determining the projected benefit obligation and pension costs, and the assumed rate of increase in employee compensation. Relatively small changes in these assumptions, particularly the discount rate, may significantly affect pension costs and plan obligations for the QRP. In determining the discount rate, management matches the plan’s projected cash flows to a spot-rate yield curve based on highly rated corporate bonds.</w:t>
      </w:r>
    </w:p>
    <w:p>
      <w:pPr>
        <w:spacing w:after="0" w:line="7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There was a 75 basis point increase in the discount rate between years, as reflected below. The methodology utilized to determine the discount rate was consistent with prior years. The weighted-average rate of compensation remained consistent with the prior year. The asset return assumption (which impacts the following year’s expense) increased from the prior year by 25 basis points. The rates are presented in the table below:</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640" w:type="dxa"/>
            <w:vAlign w:val="bottom"/>
          </w:tcPr>
          <w:p>
            <w:pPr>
              <w:spacing w:after="0"/>
              <w:rPr>
                <w:sz w:val="20"/>
                <w:szCs w:val="20"/>
                <w:color w:val="auto"/>
              </w:rPr>
            </w:pPr>
          </w:p>
        </w:tc>
        <w:tc>
          <w:tcPr>
            <w:tcW w:w="2600" w:type="dxa"/>
            <w:vAlign w:val="bottom"/>
            <w:tcBorders>
              <w:bottom w:val="single" w:sz="8" w:color="auto"/>
            </w:tcBorders>
            <w:gridSpan w:val="3"/>
          </w:tcPr>
          <w:p>
            <w:pPr>
              <w:jc w:val="right"/>
              <w:ind w:right="711"/>
              <w:spacing w:after="0"/>
              <w:rPr>
                <w:sz w:val="20"/>
                <w:szCs w:val="20"/>
                <w:color w:val="auto"/>
              </w:rPr>
            </w:pPr>
            <w:r>
              <w:rPr>
                <w:rFonts w:ascii="Times New Roman" w:cs="Times New Roman" w:eastAsia="Times New Roman" w:hAnsi="Times New Roman"/>
                <w:sz w:val="18"/>
                <w:szCs w:val="18"/>
                <w:color w:val="auto"/>
              </w:rPr>
              <w:t>December 31,</w:t>
            </w:r>
          </w:p>
        </w:tc>
      </w:tr>
      <w:tr>
        <w:trPr>
          <w:trHeight w:val="221"/>
        </w:trPr>
        <w:tc>
          <w:tcPr>
            <w:tcW w:w="864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2023</w:t>
            </w:r>
          </w:p>
        </w:tc>
      </w:tr>
      <w:tr>
        <w:trPr>
          <w:trHeight w:val="221"/>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27"/>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rate of compensation increase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3.50 %</w:t>
            </w:r>
          </w:p>
        </w:tc>
      </w:tr>
      <w:tr>
        <w:trPr>
          <w:trHeight w:val="227"/>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return assumption</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6.75 %</w:t>
            </w:r>
          </w:p>
        </w:tc>
      </w:tr>
    </w:tbl>
    <w:p>
      <w:pPr>
        <w:spacing w:after="0" w:line="8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Future years’ expense level movements (up or down) may continue to be greatly influenced by long-term interest rates, asset returns, and funding levels; however, management implemented a treasury futures overlay to primarily be responsive to</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color w:val="auto"/>
        </w:rPr>
        <w:t>changing interest rates, and therefore, indirectly, discount rates that will apply to the pension, in attempting to preserve funded status.</w:t>
      </w:r>
    </w:p>
    <w:p>
      <w:pPr>
        <w:spacing w:after="0" w:line="11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following table sets forth the QRP, SERP, and PBOP funded statuses and amounts recognized on the Consolidated Balance Sheets and Consolidated Statements of Income.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0" w:type="dxa"/>
            <w:vAlign w:val="bottom"/>
            <w:gridSpan w:val="5"/>
          </w:tcPr>
          <w:p>
            <w:pPr>
              <w:ind w:left="160"/>
              <w:spacing w:after="0"/>
              <w:rPr>
                <w:sz w:val="20"/>
                <w:szCs w:val="20"/>
                <w:color w:val="auto"/>
              </w:rPr>
            </w:pPr>
            <w:r>
              <w:rPr>
                <w:rFonts w:ascii="Times New Roman" w:cs="Times New Roman" w:eastAsia="Times New Roman" w:hAnsi="Times New Roman"/>
                <w:sz w:val="14"/>
                <w:szCs w:val="14"/>
                <w:color w:val="auto"/>
              </w:rPr>
              <w:t>Year Ended December 31,</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6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(Thousands of dollars)</w:t>
            </w:r>
          </w:p>
        </w:tc>
        <w:tc>
          <w:tcPr>
            <w:tcW w:w="300" w:type="dxa"/>
            <w:vAlign w:val="bottom"/>
          </w:tcPr>
          <w:p>
            <w:pPr>
              <w:spacing w:after="0"/>
              <w:rPr>
                <w:sz w:val="16"/>
                <w:szCs w:val="16"/>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QRP</w:t>
            </w:r>
          </w:p>
        </w:tc>
        <w:tc>
          <w:tcPr>
            <w:tcW w:w="200" w:type="dxa"/>
            <w:vAlign w:val="bottom"/>
          </w:tcPr>
          <w:p>
            <w:pPr>
              <w:spacing w:after="0"/>
              <w:rPr>
                <w:sz w:val="16"/>
                <w:szCs w:val="16"/>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SERP</w:t>
            </w:r>
          </w:p>
        </w:tc>
        <w:tc>
          <w:tcPr>
            <w:tcW w:w="240" w:type="dxa"/>
            <w:vAlign w:val="bottom"/>
          </w:tcPr>
          <w:p>
            <w:pPr>
              <w:spacing w:after="0"/>
              <w:rPr>
                <w:sz w:val="16"/>
                <w:szCs w:val="16"/>
                <w:color w:val="auto"/>
              </w:rPr>
            </w:pPr>
          </w:p>
        </w:tc>
        <w:tc>
          <w:tcPr>
            <w:tcW w:w="86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PBOP</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QRP</w:t>
            </w:r>
          </w:p>
        </w:tc>
        <w:tc>
          <w:tcPr>
            <w:tcW w:w="200" w:type="dxa"/>
            <w:vAlign w:val="bottom"/>
          </w:tcPr>
          <w:p>
            <w:pPr>
              <w:spacing w:after="0"/>
              <w:rPr>
                <w:sz w:val="16"/>
                <w:szCs w:val="16"/>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SERP</w:t>
            </w:r>
          </w:p>
        </w:tc>
        <w:tc>
          <w:tcPr>
            <w:tcW w:w="220" w:type="dxa"/>
            <w:vAlign w:val="bottom"/>
          </w:tcPr>
          <w:p>
            <w:pPr>
              <w:spacing w:after="0"/>
              <w:rPr>
                <w:sz w:val="16"/>
                <w:szCs w:val="16"/>
                <w:color w:val="auto"/>
              </w:rPr>
            </w:pPr>
          </w:p>
        </w:tc>
        <w:tc>
          <w:tcPr>
            <w:tcW w:w="8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PBOP</w:t>
            </w:r>
          </w:p>
        </w:tc>
        <w:tc>
          <w:tcPr>
            <w:tcW w:w="0" w:type="dxa"/>
            <w:vAlign w:val="bottom"/>
          </w:tcPr>
          <w:p>
            <w:pPr>
              <w:spacing w:after="0"/>
              <w:rPr>
                <w:sz w:val="1"/>
                <w:szCs w:val="1"/>
                <w:color w:val="auto"/>
              </w:rPr>
            </w:pPr>
          </w:p>
        </w:tc>
      </w:tr>
      <w:tr>
        <w:trPr>
          <w:trHeight w:val="187"/>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benefit obligations:</w:t>
            </w:r>
          </w:p>
        </w:tc>
        <w:tc>
          <w:tcPr>
            <w:tcW w:w="3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600" w:type="dxa"/>
            <w:vAlign w:val="bottom"/>
          </w:tcPr>
          <w:p>
            <w:pPr>
              <w:ind w:left="140"/>
              <w:spacing w:after="0" w:line="138" w:lineRule="exact"/>
              <w:rPr>
                <w:sz w:val="20"/>
                <w:szCs w:val="20"/>
                <w:color w:val="auto"/>
              </w:rPr>
            </w:pPr>
            <w:r>
              <w:rPr>
                <w:rFonts w:ascii="Times New Roman" w:cs="Times New Roman" w:eastAsia="Times New Roman" w:hAnsi="Times New Roman"/>
                <w:sz w:val="14"/>
                <w:szCs w:val="14"/>
                <w:color w:val="auto"/>
              </w:rPr>
              <w:t>Benefit obligation for service rendered to date at</w:t>
            </w:r>
          </w:p>
        </w:tc>
        <w:tc>
          <w:tcPr>
            <w:tcW w:w="300" w:type="dxa"/>
            <w:vAlign w:val="bottom"/>
            <w:vMerge w:val="restart"/>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1,241,177</w:t>
            </w:r>
          </w:p>
        </w:tc>
        <w:tc>
          <w:tcPr>
            <w:tcW w:w="100" w:type="dxa"/>
            <w:vAlign w:val="bottom"/>
          </w:tcPr>
          <w:p>
            <w:pPr>
              <w:spacing w:after="0"/>
              <w:rPr>
                <w:sz w:val="11"/>
                <w:szCs w:val="11"/>
                <w:color w:val="auto"/>
              </w:rPr>
            </w:pPr>
          </w:p>
        </w:tc>
        <w:tc>
          <w:tcPr>
            <w:tcW w:w="2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color w:val="auto"/>
              </w:rPr>
              <w:t>45,031</w:t>
            </w:r>
          </w:p>
        </w:tc>
        <w:tc>
          <w:tcPr>
            <w:tcW w:w="100" w:type="dxa"/>
            <w:vAlign w:val="bottom"/>
          </w:tcPr>
          <w:p>
            <w:pPr>
              <w:spacing w:after="0"/>
              <w:rPr>
                <w:sz w:val="11"/>
                <w:szCs w:val="11"/>
                <w:color w:val="auto"/>
              </w:rPr>
            </w:pPr>
          </w:p>
        </w:tc>
        <w:tc>
          <w:tcPr>
            <w:tcW w:w="24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66,009</w:t>
            </w:r>
          </w:p>
        </w:tc>
        <w:tc>
          <w:tcPr>
            <w:tcW w:w="120" w:type="dxa"/>
            <w:vAlign w:val="bottom"/>
          </w:tcPr>
          <w:p>
            <w:pPr>
              <w:spacing w:after="0"/>
              <w:rPr>
                <w:sz w:val="11"/>
                <w:szCs w:val="11"/>
                <w:color w:val="auto"/>
              </w:rPr>
            </w:pPr>
          </w:p>
        </w:tc>
        <w:tc>
          <w:tcPr>
            <w:tcW w:w="300" w:type="dxa"/>
            <w:vAlign w:val="bottom"/>
            <w:vMerge w:val="restart"/>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1,159,451</w:t>
            </w:r>
          </w:p>
        </w:tc>
        <w:tc>
          <w:tcPr>
            <w:tcW w:w="120" w:type="dxa"/>
            <w:vAlign w:val="bottom"/>
          </w:tcPr>
          <w:p>
            <w:pPr>
              <w:spacing w:after="0"/>
              <w:rPr>
                <w:sz w:val="11"/>
                <w:szCs w:val="11"/>
                <w:color w:val="auto"/>
              </w:rPr>
            </w:pPr>
          </w:p>
        </w:tc>
        <w:tc>
          <w:tcPr>
            <w:tcW w:w="2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42,097</w:t>
            </w:r>
          </w:p>
        </w:tc>
        <w:tc>
          <w:tcPr>
            <w:tcW w:w="120" w:type="dxa"/>
            <w:vAlign w:val="bottom"/>
          </w:tcPr>
          <w:p>
            <w:pPr>
              <w:spacing w:after="0"/>
              <w:rPr>
                <w:sz w:val="11"/>
                <w:szCs w:val="11"/>
                <w:color w:val="auto"/>
              </w:rPr>
            </w:pPr>
          </w:p>
        </w:tc>
        <w:tc>
          <w:tcPr>
            <w:tcW w:w="22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65,437</w:t>
            </w:r>
          </w:p>
        </w:tc>
        <w:tc>
          <w:tcPr>
            <w:tcW w:w="0" w:type="dxa"/>
            <w:vAlign w:val="bottom"/>
          </w:tcPr>
          <w:p>
            <w:pPr>
              <w:spacing w:after="0"/>
              <w:rPr>
                <w:sz w:val="1"/>
                <w:szCs w:val="1"/>
                <w:color w:val="auto"/>
              </w:rPr>
            </w:pPr>
          </w:p>
        </w:tc>
      </w:tr>
      <w:tr>
        <w:trPr>
          <w:trHeight w:val="191"/>
        </w:trPr>
        <w:tc>
          <w:tcPr>
            <w:tcW w:w="3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beginning of year (PBO/PBO/APBO)</w:t>
            </w:r>
          </w:p>
        </w:tc>
        <w:tc>
          <w:tcPr>
            <w:tcW w:w="30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Service cost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28,252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1,287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25,840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250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1,269</w:t>
            </w:r>
          </w:p>
        </w:tc>
        <w:tc>
          <w:tcPr>
            <w:tcW w:w="0" w:type="dxa"/>
            <w:vAlign w:val="bottom"/>
          </w:tcPr>
          <w:p>
            <w:pPr>
              <w:spacing w:after="0"/>
              <w:rPr>
                <w:sz w:val="1"/>
                <w:szCs w:val="1"/>
                <w:color w:val="auto"/>
              </w:rPr>
            </w:pPr>
          </w:p>
        </w:tc>
      </w:tr>
      <w:tr>
        <w:trPr>
          <w:trHeight w:val="193"/>
        </w:trPr>
        <w:tc>
          <w:tcPr>
            <w:tcW w:w="3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cost</w:t>
            </w:r>
          </w:p>
        </w:tc>
        <w:tc>
          <w:tcPr>
            <w:tcW w:w="30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60,387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2,167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3,178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59,165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2,123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3,302</w:t>
            </w:r>
          </w:p>
        </w:tc>
        <w:tc>
          <w:tcPr>
            <w:tcW w:w="0" w:type="dxa"/>
            <w:vAlign w:val="bottom"/>
          </w:tcPr>
          <w:p>
            <w:pPr>
              <w:spacing w:after="0"/>
              <w:rPr>
                <w:sz w:val="1"/>
                <w:szCs w:val="1"/>
                <w:color w:val="auto"/>
              </w:rPr>
            </w:pPr>
          </w:p>
        </w:tc>
      </w:tr>
      <w:tr>
        <w:trPr>
          <w:trHeight w:val="208"/>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Actuarial loss (gain)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(87,575)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(725)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(2,691)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62,109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3,995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941</w:t>
            </w:r>
          </w:p>
        </w:tc>
        <w:tc>
          <w:tcPr>
            <w:tcW w:w="0" w:type="dxa"/>
            <w:vAlign w:val="bottom"/>
          </w:tcPr>
          <w:p>
            <w:pPr>
              <w:spacing w:after="0"/>
              <w:rPr>
                <w:sz w:val="1"/>
                <w:szCs w:val="1"/>
                <w:color w:val="auto"/>
              </w:rPr>
            </w:pPr>
          </w:p>
        </w:tc>
      </w:tr>
      <w:tr>
        <w:trPr>
          <w:trHeight w:val="194"/>
        </w:trPr>
        <w:tc>
          <w:tcPr>
            <w:tcW w:w="3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Benefits paid</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(66,996)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(3,533)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(5,719)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(65,388)</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(3,434)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(4,940)</w:t>
            </w:r>
          </w:p>
        </w:tc>
        <w:tc>
          <w:tcPr>
            <w:tcW w:w="0" w:type="dxa"/>
            <w:vAlign w:val="bottom"/>
          </w:tcPr>
          <w:p>
            <w:pPr>
              <w:spacing w:after="0"/>
              <w:rPr>
                <w:sz w:val="1"/>
                <w:szCs w:val="1"/>
                <w:color w:val="auto"/>
              </w:rPr>
            </w:pPr>
          </w:p>
        </w:tc>
      </w:tr>
      <w:tr>
        <w:trPr>
          <w:trHeight w:val="201"/>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Benefit obligation at end of year (PBO/PBO/APBO)</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1,175,245</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43,183</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62,064</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1,241,177</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45,031</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66,009</w:t>
            </w:r>
          </w:p>
        </w:tc>
        <w:tc>
          <w:tcPr>
            <w:tcW w:w="0" w:type="dxa"/>
            <w:vAlign w:val="bottom"/>
          </w:tcPr>
          <w:p>
            <w:pPr>
              <w:spacing w:after="0"/>
              <w:rPr>
                <w:sz w:val="1"/>
                <w:szCs w:val="1"/>
                <w:color w:val="auto"/>
              </w:rPr>
            </w:pPr>
          </w:p>
        </w:tc>
      </w:tr>
      <w:tr>
        <w:trPr>
          <w:trHeight w:val="173"/>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plan assets: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Market value of plan assets at beginning of year</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1,166,372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35,920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1,030,044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38,459</w:t>
            </w:r>
          </w:p>
        </w:tc>
        <w:tc>
          <w:tcPr>
            <w:tcW w:w="0" w:type="dxa"/>
            <w:vAlign w:val="bottom"/>
          </w:tcPr>
          <w:p>
            <w:pPr>
              <w:spacing w:after="0"/>
              <w:rPr>
                <w:sz w:val="1"/>
                <w:szCs w:val="1"/>
                <w:color w:val="auto"/>
              </w:rPr>
            </w:pPr>
          </w:p>
        </w:tc>
      </w:tr>
      <w:tr>
        <w:trPr>
          <w:trHeight w:val="193"/>
        </w:trPr>
        <w:tc>
          <w:tcPr>
            <w:tcW w:w="3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Actual return on plan assets</w:t>
            </w:r>
          </w:p>
        </w:tc>
        <w:tc>
          <w:tcPr>
            <w:tcW w:w="30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896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3,027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145,716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4,626</w:t>
            </w:r>
          </w:p>
        </w:tc>
        <w:tc>
          <w:tcPr>
            <w:tcW w:w="0" w:type="dxa"/>
            <w:vAlign w:val="bottom"/>
          </w:tcPr>
          <w:p>
            <w:pPr>
              <w:spacing w:after="0"/>
              <w:rPr>
                <w:sz w:val="1"/>
                <w:szCs w:val="1"/>
                <w:color w:val="auto"/>
              </w:rPr>
            </w:pPr>
          </w:p>
        </w:tc>
      </w:tr>
      <w:tr>
        <w:trPr>
          <w:trHeight w:val="208"/>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Employer contributions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20,000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3,533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2,514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56,000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3,434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3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Benefits paid</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(66,996)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(3,533)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(3,339)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(65,388)</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(3,434)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(7,165)</w:t>
            </w:r>
          </w:p>
        </w:tc>
        <w:tc>
          <w:tcPr>
            <w:tcW w:w="0" w:type="dxa"/>
            <w:vAlign w:val="bottom"/>
          </w:tcPr>
          <w:p>
            <w:pPr>
              <w:spacing w:after="0"/>
              <w:rPr>
                <w:sz w:val="1"/>
                <w:szCs w:val="1"/>
                <w:color w:val="auto"/>
              </w:rPr>
            </w:pPr>
          </w:p>
        </w:tc>
      </w:tr>
      <w:tr>
        <w:trPr>
          <w:trHeight w:val="201"/>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Market value of plan assets at end of year</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1,120,272</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38,122</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1,166,372</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35,920</w:t>
            </w:r>
          </w:p>
        </w:tc>
        <w:tc>
          <w:tcPr>
            <w:tcW w:w="0" w:type="dxa"/>
            <w:vAlign w:val="bottom"/>
          </w:tcPr>
          <w:p>
            <w:pPr>
              <w:spacing w:after="0"/>
              <w:rPr>
                <w:sz w:val="1"/>
                <w:szCs w:val="1"/>
                <w:color w:val="auto"/>
              </w:rPr>
            </w:pPr>
          </w:p>
        </w:tc>
      </w:tr>
      <w:tr>
        <w:trPr>
          <w:trHeight w:val="187"/>
        </w:trPr>
        <w:tc>
          <w:tcPr>
            <w:tcW w:w="3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Funded status at year end</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(54,973)</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(43,183)</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(23,942)</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(74,805)</w:t>
            </w: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(45,031)</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(30,089)</w:t>
            </w: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assumptions (benefit obligation):</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Discount rate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5.75 %</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0" w:type="dxa"/>
            <w:vAlign w:val="bottom"/>
          </w:tcPr>
          <w:p>
            <w:pPr>
              <w:spacing w:after="0"/>
              <w:rPr>
                <w:sz w:val="1"/>
                <w:szCs w:val="1"/>
                <w:color w:val="auto"/>
              </w:rPr>
            </w:pPr>
          </w:p>
        </w:tc>
      </w:tr>
      <w:tr>
        <w:trPr>
          <w:trHeight w:val="208"/>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Weighted-average rate of compensation increase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N/A</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Funding for the plans above during calendar year 2025 is expected to be approximately $28.5 million, of which $25 million pertains to the QRP. Management monitors plan assets and liabilities and may, at its discretion, increase plan funding levels above the minimum in order to achieve a desired funded status and avoid or minimize potential benefit restrictions.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accumulated benefit obligation for the QRP and the SERP is presented below: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6"/>
          </w:tcPr>
          <w:p>
            <w:pPr>
              <w:jc w:val="right"/>
              <w:ind w:right="671"/>
              <w:spacing w:after="0"/>
              <w:rPr>
                <w:sz w:val="20"/>
                <w:szCs w:val="20"/>
                <w:color w:val="auto"/>
              </w:rPr>
            </w:pPr>
            <w:r>
              <w:rPr>
                <w:rFonts w:ascii="Times New Roman" w:cs="Times New Roman" w:eastAsia="Times New Roman" w:hAnsi="Times New Roman"/>
                <w:sz w:val="18"/>
                <w:szCs w:val="18"/>
                <w:color w:val="auto"/>
              </w:rPr>
              <w:t>December 31,</w:t>
            </w:r>
          </w:p>
        </w:tc>
      </w:tr>
      <w:tr>
        <w:trPr>
          <w:trHeight w:val="221"/>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8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ind w:right="331"/>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2023</w:t>
            </w:r>
          </w:p>
        </w:tc>
      </w:tr>
      <w:tr>
        <w:trPr>
          <w:trHeight w:val="221"/>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QRP</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1,084,462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1,143,204</w:t>
            </w:r>
          </w:p>
        </w:tc>
      </w:tr>
      <w:tr>
        <w:trPr>
          <w:trHeight w:val="23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SERP</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40,635</w:t>
            </w:r>
          </w:p>
        </w:tc>
      </w:tr>
      <w:tr>
        <w:trPr>
          <w:trHeight w:val="316"/>
        </w:trPr>
        <w:tc>
          <w:tcPr>
            <w:tcW w:w="72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Benefits expected to be paid for the QRP, SERP, and PBOP over the next 10 years are as follows:</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34"/>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(Millions of dollars)</w:t>
            </w: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jc w:val="right"/>
              <w:ind w:right="151"/>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2029</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99"/>
              </w:rPr>
              <w:t>2030-2034</w:t>
            </w:r>
          </w:p>
        </w:tc>
      </w:tr>
      <w:tr>
        <w:trPr>
          <w:trHeight w:val="221"/>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QRP</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404.0</w:t>
            </w:r>
          </w:p>
        </w:tc>
      </w:tr>
      <w:tr>
        <w:trPr>
          <w:trHeight w:val="227"/>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SERP</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27"/>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PBOP</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r>
    </w:tbl>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assurance can be made that actual funding and benefits paid will match these estimates.</w:t>
      </w:r>
    </w:p>
    <w:p>
      <w:pPr>
        <w:spacing w:after="0" w:line="1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For PBOP measurement purposes, the per capita cost of the covered health care benefits medical rate trend assumption is 5.5%, declining to 4.5%. Specific contributions are made for health care benefits of employees who retire after 1988, but Southwest Gas pays all covered health care costs for employees who retired prior to 1989. The medical trend rate assumption noted above applies to the benefit obligations of pre-1989 retirees only.</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service cost component of net periodic benefit costs included in the table below is part of an overhead loading process associated with the cost of labor. The overhead process ultimately results in allocation of that portion of overall net periodic benefit costs to the same accounts to which productive labor is charged. As a result, service costs become components of various accounts, primarily Operations and maintenance expense, Net regulated operations plant, and Deferred charges and other assets for both the Company and Southwest Gas. The non-service cost components of net periodic benefit cost are reflected in Other income (deductions) on the Consolidated Statements of Income of each entity, based on accounting guidance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89" w:name="page90"/>
    <w:bookmarkEnd w:id="89"/>
    <w:p>
      <w:pPr>
        <w:spacing w:after="0" w:line="278" w:lineRule="auto"/>
        <w:rPr>
          <w:sz w:val="20"/>
          <w:szCs w:val="20"/>
          <w:color w:val="auto"/>
        </w:rPr>
      </w:pPr>
      <w:r>
        <w:rPr>
          <w:rFonts w:ascii="Times New Roman" w:cs="Times New Roman" w:eastAsia="Times New Roman" w:hAnsi="Times New Roman"/>
          <w:sz w:val="18"/>
          <w:szCs w:val="18"/>
          <w:color w:val="auto"/>
        </w:rPr>
        <w:t>for the presentation of such costs. Variability in total net periodic benefit cost between periods, especially with regard to the QRP, is subject to changes in underlying actuarial assumptions between periods, notably the discount rate.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net periodic benefit cost:</w:t>
      </w:r>
    </w:p>
    <w:p>
      <w:pPr>
        <w:sectPr>
          <w:pgSz w:w="11900" w:h="16838" w:orient="portrait"/>
          <w:cols w:equalWidth="0" w:num="1">
            <w:col w:w="11240"/>
          </w:cols>
          <w:pgMar w:left="320" w:top="1137" w:right="339" w:bottom="1440" w:gutter="0" w:footer="0" w:header="0"/>
        </w:sectPr>
      </w:pPr>
    </w:p>
    <w:p>
      <w:pPr>
        <w:spacing w:after="0" w:line="359" w:lineRule="exact"/>
        <w:rPr>
          <w:sz w:val="20"/>
          <w:szCs w:val="20"/>
          <w:color w:val="auto"/>
        </w:rPr>
      </w:pPr>
    </w:p>
    <w:p>
      <w:pPr>
        <w:ind w:left="140" w:right="840" w:hanging="119"/>
        <w:spacing w:after="0" w:line="290" w:lineRule="auto"/>
        <w:rPr>
          <w:sz w:val="20"/>
          <w:szCs w:val="20"/>
          <w:color w:val="auto"/>
        </w:rPr>
      </w:pPr>
      <w:r>
        <w:rPr>
          <w:rFonts w:ascii="Times New Roman" w:cs="Times New Roman" w:eastAsia="Times New Roman" w:hAnsi="Times New Roman"/>
          <w:sz w:val="16"/>
          <w:szCs w:val="16"/>
          <w:color w:val="auto"/>
        </w:rPr>
        <w:t>(Thousands of dollars) Service cost Interest cost</w:t>
      </w:r>
    </w:p>
    <w:p>
      <w:pPr>
        <w:spacing w:after="0" w:line="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Expected return on plan assets</w:t>
      </w:r>
    </w:p>
    <w:p>
      <w:pPr>
        <w:spacing w:after="0" w:line="3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Amortization of prior service cost</w:t>
      </w:r>
    </w:p>
    <w:p>
      <w:pPr>
        <w:spacing w:after="0" w:line="3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Amortization of net actuarial loss</w:t>
      </w:r>
    </w:p>
    <w:p>
      <w:pPr>
        <w:spacing w:after="0" w:line="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Net periodic benefit cost</w:t>
      </w:r>
    </w:p>
    <w:p>
      <w:pPr>
        <w:spacing w:after="0" w:line="57" w:lineRule="exact"/>
        <w:rPr>
          <w:sz w:val="20"/>
          <w:szCs w:val="20"/>
          <w:color w:val="auto"/>
        </w:rPr>
      </w:pPr>
    </w:p>
    <w:p>
      <w:pPr>
        <w:ind w:left="20"/>
        <w:spacing w:after="0" w:line="241" w:lineRule="auto"/>
        <w:rPr>
          <w:sz w:val="20"/>
          <w:szCs w:val="20"/>
          <w:color w:val="auto"/>
        </w:rPr>
      </w:pPr>
      <w:r>
        <w:rPr>
          <w:rFonts w:ascii="Times New Roman" w:cs="Times New Roman" w:eastAsia="Times New Roman" w:hAnsi="Times New Roman"/>
          <w:sz w:val="16"/>
          <w:szCs w:val="16"/>
          <w:color w:val="auto"/>
        </w:rPr>
        <w:t>Weighted-average assumptions (net benefit cost)</w:t>
      </w:r>
    </w:p>
    <w:p>
      <w:pPr>
        <w:spacing w:after="0" w:line="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Discount rate</w:t>
      </w:r>
    </w:p>
    <w:p>
      <w:pPr>
        <w:spacing w:after="0" w:line="3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Expected return on plan assets</w:t>
      </w:r>
    </w:p>
    <w:p>
      <w:pPr>
        <w:spacing w:after="0" w:line="30" w:lineRule="exact"/>
        <w:rPr>
          <w:sz w:val="20"/>
          <w:szCs w:val="20"/>
          <w:color w:val="auto"/>
        </w:rPr>
      </w:pPr>
    </w:p>
    <w:p>
      <w:pPr>
        <w:jc w:val="right"/>
        <w:ind w:left="140" w:right="560"/>
        <w:spacing w:after="0" w:line="274" w:lineRule="auto"/>
        <w:rPr>
          <w:sz w:val="20"/>
          <w:szCs w:val="20"/>
          <w:color w:val="auto"/>
        </w:rPr>
      </w:pPr>
      <w:r>
        <w:rPr>
          <w:rFonts w:ascii="Times New Roman" w:cs="Times New Roman" w:eastAsia="Times New Roman" w:hAnsi="Times New Roman"/>
          <w:sz w:val="15"/>
          <w:szCs w:val="15"/>
          <w:color w:val="auto"/>
        </w:rPr>
        <w:t>Weighted-average rate of compensation increase</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6"/>
                <w:szCs w:val="16"/>
                <w:color w:val="auto"/>
              </w:rPr>
              <w:t>QRP</w:t>
            </w: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color w:val="auto"/>
              </w:rPr>
              <w:t>SERP</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color w:val="auto"/>
              </w:rPr>
              <w:t>PBOP</w:t>
            </w:r>
          </w:p>
        </w:tc>
        <w:tc>
          <w:tcPr>
            <w:tcW w:w="860" w:type="dxa"/>
            <w:vAlign w:val="bottom"/>
            <w:tcBorders>
              <w:bottom w:val="single" w:sz="8" w:color="auto"/>
            </w:tcBorders>
          </w:tcPr>
          <w:p>
            <w:pPr>
              <w:spacing w:after="0"/>
              <w:rPr>
                <w:sz w:val="18"/>
                <w:szCs w:val="18"/>
                <w:color w:val="auto"/>
              </w:rPr>
            </w:pPr>
          </w:p>
        </w:tc>
      </w:tr>
      <w:tr>
        <w:trPr>
          <w:trHeight w:val="208"/>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100" w:type="dxa"/>
            <w:vAlign w:val="bottom"/>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120" w:type="dxa"/>
            <w:vAlign w:val="bottom"/>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100" w:type="dxa"/>
            <w:vAlign w:val="bottom"/>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100" w:type="dxa"/>
            <w:vAlign w:val="bottom"/>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10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12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r>
      <w:tr>
        <w:trPr>
          <w:trHeight w:val="205"/>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$28,252</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$25,840</w:t>
            </w:r>
          </w:p>
        </w:tc>
        <w:tc>
          <w:tcPr>
            <w:tcW w:w="1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$44,110</w:t>
            </w:r>
          </w:p>
        </w:tc>
        <w:tc>
          <w:tcPr>
            <w:tcW w:w="12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$243</w:t>
            </w:r>
          </w:p>
        </w:tc>
        <w:tc>
          <w:tcPr>
            <w:tcW w:w="10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$250</w:t>
            </w:r>
          </w:p>
        </w:tc>
        <w:tc>
          <w:tcPr>
            <w:tcW w:w="1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$424</w:t>
            </w:r>
          </w:p>
        </w:tc>
        <w:tc>
          <w:tcPr>
            <w:tcW w:w="1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$1,287</w:t>
            </w:r>
          </w:p>
        </w:tc>
        <w:tc>
          <w:tcPr>
            <w:tcW w:w="12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$1,269</w:t>
            </w:r>
          </w:p>
        </w:tc>
        <w:tc>
          <w:tcPr>
            <w:tcW w:w="12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$1,941</w:t>
            </w:r>
          </w:p>
        </w:tc>
      </w:tr>
      <w:tr>
        <w:trPr>
          <w:trHeight w:val="213"/>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60,387</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59,165</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45,006</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2,167</w:t>
            </w: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2,123</w:t>
            </w: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1,441</w:t>
            </w: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3,178</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3,302</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2,452</w:t>
            </w:r>
          </w:p>
        </w:tc>
      </w:tr>
      <w:tr>
        <w:trPr>
          <w:trHeight w:val="214"/>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(87,812)</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(84,062)</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(79,913)</w:t>
            </w:r>
          </w:p>
        </w:tc>
        <w:tc>
          <w:tcPr>
            <w:tcW w:w="120" w:type="dxa"/>
            <w:vAlign w:val="bottom"/>
          </w:tcPr>
          <w:p>
            <w:pPr>
              <w:spacing w:after="0"/>
              <w:rPr>
                <w:sz w:val="18"/>
                <w:szCs w:val="18"/>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(2,259)</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(2,424)</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(3,228)</w:t>
            </w:r>
          </w:p>
        </w:tc>
      </w:tr>
      <w:tr>
        <w:trPr>
          <w:trHeight w:val="214"/>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175</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175</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175</w:t>
            </w:r>
          </w:p>
        </w:tc>
      </w:tr>
      <w:tr>
        <w:trPr>
          <w:trHeight w:val="217"/>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6,308</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336</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32,468</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1,333</w:t>
            </w: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998</w:t>
            </w: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2,350</w:t>
            </w:r>
          </w:p>
        </w:tc>
        <w:tc>
          <w:tcPr>
            <w:tcW w:w="100" w:type="dxa"/>
            <w:vAlign w:val="bottom"/>
          </w:tcPr>
          <w:p>
            <w:pPr>
              <w:spacing w:after="0"/>
              <w:rPr>
                <w:sz w:val="18"/>
                <w:szCs w:val="18"/>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08"/>
        </w:trPr>
        <w:tc>
          <w:tcPr>
            <w:tcW w:w="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$7,135</w:t>
            </w:r>
          </w:p>
        </w:tc>
        <w:tc>
          <w:tcPr>
            <w:tcW w:w="1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$1,279</w:t>
            </w:r>
          </w:p>
        </w:tc>
        <w:tc>
          <w:tcPr>
            <w:tcW w:w="1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$41,671</w:t>
            </w:r>
          </w:p>
        </w:tc>
        <w:tc>
          <w:tcPr>
            <w:tcW w:w="1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$3,743</w:t>
            </w:r>
          </w:p>
        </w:tc>
        <w:tc>
          <w:tcPr>
            <w:tcW w:w="1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$3,371</w:t>
            </w:r>
          </w:p>
        </w:tc>
        <w:tc>
          <w:tcPr>
            <w:tcW w:w="1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$4,215</w:t>
            </w: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$2,381</w:t>
            </w:r>
          </w:p>
        </w:tc>
        <w:tc>
          <w:tcPr>
            <w:tcW w:w="12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$2,322</w:t>
            </w:r>
          </w:p>
        </w:tc>
        <w:tc>
          <w:tcPr>
            <w:tcW w:w="12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$1,340</w:t>
            </w:r>
          </w:p>
        </w:tc>
      </w:tr>
      <w:tr>
        <w:trPr>
          <w:trHeight w:val="23"/>
        </w:trPr>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550"/>
        </w:trPr>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5.00 %</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5.25 %</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3.00 %</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5.00 %</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5.25 %</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3.00 %</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5.00 %</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5.25 %</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3.00 %</w:t>
            </w:r>
          </w:p>
        </w:tc>
      </w:tr>
      <w:tr>
        <w:trPr>
          <w:trHeight w:val="214"/>
        </w:trPr>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6.75 %</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6.75 %</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6.50 %</w:t>
            </w: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6.75 %</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6.75 %</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6.50 %</w:t>
            </w:r>
          </w:p>
        </w:tc>
      </w:tr>
      <w:tr>
        <w:trPr>
          <w:trHeight w:val="294"/>
        </w:trPr>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3.50 %</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3.25 %</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3.25 %</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3.50 %</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3.25 %</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3.25 %</w:t>
            </w:r>
          </w:p>
        </w:tc>
        <w:tc>
          <w:tcPr>
            <w:tcW w:w="10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N/A</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-1541780</wp:posOffset>
            </wp:positionV>
            <wp:extent cx="7133590" cy="144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3590" cy="144145"/>
                    </a:xfrm>
                    <a:prstGeom prst="rect">
                      <a:avLst/>
                    </a:prstGeom>
                    <a:noFill/>
                  </pic:spPr>
                </pic:pic>
              </a:graphicData>
            </a:graphic>
          </wp:anchor>
        </w:drawing>
        <w:drawing>
          <wp:anchor simplePos="0" relativeHeight="251657728" behindDoc="1" locked="0" layoutInCell="0" allowOverlap="1">
            <wp:simplePos x="0" y="0"/>
            <wp:positionH relativeFrom="column">
              <wp:posOffset>-1645920</wp:posOffset>
            </wp:positionH>
            <wp:positionV relativeFrom="paragraph">
              <wp:posOffset>-1261110</wp:posOffset>
            </wp:positionV>
            <wp:extent cx="7133590" cy="135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3590" cy="135890"/>
                    </a:xfrm>
                    <a:prstGeom prst="rect">
                      <a:avLst/>
                    </a:prstGeom>
                    <a:noFill/>
                  </pic:spPr>
                </pic:pic>
              </a:graphicData>
            </a:graphic>
          </wp:anchor>
        </w:drawing>
        <w:drawing>
          <wp:anchor simplePos="0" relativeHeight="251657728" behindDoc="1" locked="0" layoutInCell="0" allowOverlap="1">
            <wp:simplePos x="0" y="0"/>
            <wp:positionH relativeFrom="column">
              <wp:posOffset>-1645920</wp:posOffset>
            </wp:positionH>
            <wp:positionV relativeFrom="paragraph">
              <wp:posOffset>-989330</wp:posOffset>
            </wp:positionV>
            <wp:extent cx="7133590" cy="135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3590" cy="135890"/>
                    </a:xfrm>
                    <a:prstGeom prst="rect">
                      <a:avLst/>
                    </a:prstGeom>
                    <a:noFill/>
                  </pic:spPr>
                </pic:pic>
              </a:graphicData>
            </a:graphic>
          </wp:anchor>
        </w:drawing>
        <w:drawing>
          <wp:anchor simplePos="0" relativeHeight="251657728" behindDoc="1" locked="0" layoutInCell="0" allowOverlap="1">
            <wp:simplePos x="0" y="0"/>
            <wp:positionH relativeFrom="column">
              <wp:posOffset>-1645920</wp:posOffset>
            </wp:positionH>
            <wp:positionV relativeFrom="paragraph">
              <wp:posOffset>-692150</wp:posOffset>
            </wp:positionV>
            <wp:extent cx="7133590" cy="2374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3590" cy="237490"/>
                    </a:xfrm>
                    <a:prstGeom prst="rect">
                      <a:avLst/>
                    </a:prstGeom>
                    <a:noFill/>
                  </pic:spPr>
                </pic:pic>
              </a:graphicData>
            </a:graphic>
          </wp:anchor>
        </w:drawing>
        <w:drawing>
          <wp:anchor simplePos="0" relativeHeight="251657728" behindDoc="1" locked="0" layoutInCell="0" allowOverlap="1">
            <wp:simplePos x="0" y="0"/>
            <wp:positionH relativeFrom="column">
              <wp:posOffset>-1645920</wp:posOffset>
            </wp:positionH>
            <wp:positionV relativeFrom="paragraph">
              <wp:posOffset>-318770</wp:posOffset>
            </wp:positionV>
            <wp:extent cx="7133590" cy="135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3590" cy="135890"/>
                    </a:xfrm>
                    <a:prstGeom prst="rect">
                      <a:avLst/>
                    </a:prstGeom>
                    <a:noFill/>
                  </pic:spPr>
                </pic:pic>
              </a:graphicData>
            </a:graphic>
          </wp:anchor>
        </w:drawing>
      </w:r>
    </w:p>
    <w:p>
      <w:pPr>
        <w:spacing w:after="0" w:line="174" w:lineRule="exact"/>
        <w:rPr>
          <w:sz w:val="20"/>
          <w:szCs w:val="20"/>
          <w:color w:val="auto"/>
        </w:rPr>
      </w:pPr>
    </w:p>
    <w:p>
      <w:pPr>
        <w:sectPr>
          <w:pgSz w:w="11900" w:h="16838" w:orient="portrait"/>
          <w:cols w:equalWidth="0" w:num="2">
            <w:col w:w="2320" w:space="280"/>
            <w:col w:w="8640"/>
          </w:cols>
          <w:pgMar w:left="320" w:top="113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Other Changes in Plan Assets and Benefit Obligations Recognized in Net Periodic Benefit Cost and Other Comprehensive Income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7"/>
          </w:tcPr>
          <w:p>
            <w:pPr>
              <w:ind w:left="60"/>
              <w:spacing w:after="0"/>
              <w:rPr>
                <w:sz w:val="20"/>
                <w:szCs w:val="20"/>
                <w:color w:val="auto"/>
              </w:rPr>
            </w:pPr>
            <w:r>
              <w:rPr>
                <w:rFonts w:ascii="Times New Roman" w:cs="Times New Roman" w:eastAsia="Times New Roman" w:hAnsi="Times New Roman"/>
                <w:sz w:val="14"/>
                <w:szCs w:val="14"/>
                <w:color w:val="auto"/>
              </w:rPr>
              <w:t>Year Ended December 31,</w:t>
            </w: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16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6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(Thousands of dollars)</w:t>
            </w:r>
          </w:p>
        </w:tc>
        <w:tc>
          <w:tcPr>
            <w:tcW w:w="1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Total</w:t>
            </w:r>
          </w:p>
        </w:tc>
        <w:tc>
          <w:tcPr>
            <w:tcW w:w="160" w:type="dxa"/>
            <w:vAlign w:val="bottom"/>
          </w:tcPr>
          <w:p>
            <w:pPr>
              <w:spacing w:after="0"/>
              <w:rPr>
                <w:sz w:val="14"/>
                <w:szCs w:val="14"/>
                <w:color w:val="auto"/>
              </w:rPr>
            </w:pPr>
          </w:p>
        </w:tc>
        <w:tc>
          <w:tcPr>
            <w:tcW w:w="70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QRP</w:t>
            </w:r>
          </w:p>
        </w:tc>
        <w:tc>
          <w:tcPr>
            <w:tcW w:w="12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SERP</w:t>
            </w:r>
          </w:p>
        </w:tc>
        <w:tc>
          <w:tcPr>
            <w:tcW w:w="120" w:type="dxa"/>
            <w:vAlign w:val="bottom"/>
          </w:tcPr>
          <w:p>
            <w:pPr>
              <w:spacing w:after="0"/>
              <w:rPr>
                <w:sz w:val="14"/>
                <w:szCs w:val="14"/>
                <w:color w:val="auto"/>
              </w:rPr>
            </w:pPr>
          </w:p>
        </w:tc>
        <w:tc>
          <w:tcPr>
            <w:tcW w:w="520" w:type="dxa"/>
            <w:vAlign w:val="bottom"/>
          </w:tcPr>
          <w:p>
            <w:pPr>
              <w:jc w:val="right"/>
              <w:ind w:right="90"/>
              <w:spacing w:after="0"/>
              <w:rPr>
                <w:sz w:val="20"/>
                <w:szCs w:val="20"/>
                <w:color w:val="auto"/>
              </w:rPr>
            </w:pPr>
            <w:r>
              <w:rPr>
                <w:rFonts w:ascii="Times New Roman" w:cs="Times New Roman" w:eastAsia="Times New Roman" w:hAnsi="Times New Roman"/>
                <w:sz w:val="12"/>
                <w:szCs w:val="12"/>
                <w:color w:val="auto"/>
              </w:rPr>
              <w:t>PBOP</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Total</w:t>
            </w:r>
          </w:p>
        </w:tc>
        <w:tc>
          <w:tcPr>
            <w:tcW w:w="180" w:type="dxa"/>
            <w:vAlign w:val="bottom"/>
          </w:tcPr>
          <w:p>
            <w:pPr>
              <w:spacing w:after="0"/>
              <w:rPr>
                <w:sz w:val="14"/>
                <w:szCs w:val="14"/>
                <w:color w:val="auto"/>
              </w:rPr>
            </w:pPr>
          </w:p>
        </w:tc>
        <w:tc>
          <w:tcPr>
            <w:tcW w:w="720" w:type="dxa"/>
            <w:vAlign w:val="bottom"/>
            <w:gridSpan w:val="3"/>
          </w:tcPr>
          <w:p>
            <w:pPr>
              <w:jc w:val="right"/>
              <w:ind w:right="380"/>
              <w:spacing w:after="0"/>
              <w:rPr>
                <w:sz w:val="20"/>
                <w:szCs w:val="20"/>
                <w:color w:val="auto"/>
              </w:rPr>
            </w:pPr>
            <w:r>
              <w:rPr>
                <w:rFonts w:ascii="Times New Roman" w:cs="Times New Roman" w:eastAsia="Times New Roman" w:hAnsi="Times New Roman"/>
                <w:sz w:val="12"/>
                <w:szCs w:val="12"/>
                <w:color w:val="auto"/>
              </w:rPr>
              <w:t>QRP</w:t>
            </w:r>
          </w:p>
        </w:tc>
        <w:tc>
          <w:tcPr>
            <w:tcW w:w="1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SERP</w:t>
            </w:r>
          </w:p>
        </w:tc>
        <w:tc>
          <w:tcPr>
            <w:tcW w:w="140" w:type="dxa"/>
            <w:vAlign w:val="bottom"/>
          </w:tcPr>
          <w:p>
            <w:pPr>
              <w:spacing w:after="0"/>
              <w:rPr>
                <w:sz w:val="14"/>
                <w:szCs w:val="14"/>
                <w:color w:val="auto"/>
              </w:rPr>
            </w:pPr>
          </w:p>
        </w:tc>
        <w:tc>
          <w:tcPr>
            <w:tcW w:w="540" w:type="dxa"/>
            <w:vAlign w:val="bottom"/>
          </w:tcPr>
          <w:p>
            <w:pPr>
              <w:jc w:val="right"/>
              <w:ind w:right="110"/>
              <w:spacing w:after="0"/>
              <w:rPr>
                <w:sz w:val="20"/>
                <w:szCs w:val="20"/>
                <w:color w:val="auto"/>
              </w:rPr>
            </w:pPr>
            <w:r>
              <w:rPr>
                <w:rFonts w:ascii="Times New Roman" w:cs="Times New Roman" w:eastAsia="Times New Roman" w:hAnsi="Times New Roman"/>
                <w:sz w:val="12"/>
                <w:szCs w:val="12"/>
                <w:color w:val="auto"/>
              </w:rPr>
              <w:t>PBOP</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Total</w:t>
            </w:r>
          </w:p>
        </w:tc>
        <w:tc>
          <w:tcPr>
            <w:tcW w:w="160" w:type="dxa"/>
            <w:vAlign w:val="bottom"/>
          </w:tcPr>
          <w:p>
            <w:pPr>
              <w:spacing w:after="0"/>
              <w:rPr>
                <w:sz w:val="14"/>
                <w:szCs w:val="14"/>
                <w:color w:val="auto"/>
              </w:rPr>
            </w:pPr>
          </w:p>
        </w:tc>
        <w:tc>
          <w:tcPr>
            <w:tcW w:w="70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QRP</w:t>
            </w:r>
          </w:p>
        </w:tc>
        <w:tc>
          <w:tcPr>
            <w:tcW w:w="14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SERP</w:t>
            </w:r>
          </w:p>
        </w:tc>
        <w:tc>
          <w:tcPr>
            <w:tcW w:w="120" w:type="dxa"/>
            <w:vAlign w:val="bottom"/>
          </w:tcPr>
          <w:p>
            <w:pPr>
              <w:spacing w:after="0"/>
              <w:rPr>
                <w:sz w:val="14"/>
                <w:szCs w:val="14"/>
                <w:color w:val="auto"/>
              </w:rPr>
            </w:pPr>
          </w:p>
        </w:tc>
        <w:tc>
          <w:tcPr>
            <w:tcW w:w="540" w:type="dxa"/>
            <w:vAlign w:val="bottom"/>
          </w:tcPr>
          <w:p>
            <w:pPr>
              <w:jc w:val="right"/>
              <w:ind w:right="110"/>
              <w:spacing w:after="0"/>
              <w:rPr>
                <w:sz w:val="20"/>
                <w:szCs w:val="20"/>
                <w:color w:val="auto"/>
              </w:rPr>
            </w:pPr>
            <w:r>
              <w:rPr>
                <w:rFonts w:ascii="Times New Roman" w:cs="Times New Roman" w:eastAsia="Times New Roman" w:hAnsi="Times New Roman"/>
                <w:sz w:val="12"/>
                <w:szCs w:val="12"/>
                <w:color w:val="auto"/>
              </w:rPr>
              <w:t>PBOP</w:t>
            </w:r>
          </w:p>
        </w:tc>
        <w:tc>
          <w:tcPr>
            <w:tcW w:w="0" w:type="dxa"/>
            <w:vAlign w:val="bottom"/>
          </w:tcPr>
          <w:p>
            <w:pPr>
              <w:spacing w:after="0"/>
              <w:rPr>
                <w:sz w:val="1"/>
                <w:szCs w:val="1"/>
                <w:color w:val="auto"/>
              </w:rPr>
            </w:pPr>
          </w:p>
        </w:tc>
      </w:tr>
      <w:tr>
        <w:trPr>
          <w:trHeight w:val="123"/>
        </w:trPr>
        <w:tc>
          <w:tcPr>
            <w:tcW w:w="1680" w:type="dxa"/>
            <w:vAlign w:val="bottom"/>
            <w:tcBorders>
              <w:top w:val="single" w:sz="8" w:color="CCEEFF"/>
            </w:tcBorders>
            <w:shd w:val="clear" w:color="auto" w:fill="CCEEFF"/>
          </w:tcPr>
          <w:p>
            <w:pPr>
              <w:ind w:left="20"/>
              <w:spacing w:after="0" w:line="123" w:lineRule="exact"/>
              <w:rPr>
                <w:sz w:val="20"/>
                <w:szCs w:val="20"/>
                <w:color w:val="auto"/>
              </w:rPr>
            </w:pPr>
            <w:r>
              <w:rPr>
                <w:rFonts w:ascii="Times New Roman" w:cs="Times New Roman" w:eastAsia="Times New Roman" w:hAnsi="Times New Roman"/>
                <w:sz w:val="14"/>
                <w:szCs w:val="14"/>
                <w:color w:val="auto"/>
              </w:rPr>
              <w:t>Net actuarial loss</w:t>
            </w:r>
          </w:p>
        </w:tc>
        <w:tc>
          <w:tcPr>
            <w:tcW w:w="160" w:type="dxa"/>
            <w:vAlign w:val="bottom"/>
            <w:tcBorders>
              <w:top w:val="single" w:sz="8" w:color="auto"/>
            </w:tcBorders>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(4,842)</w:t>
            </w: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(3,458)</w:t>
            </w: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3,188</w:t>
            </w: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3,995</w:t>
            </w: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w:t>
            </w: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(4,079)</w:t>
            </w: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11,049</w:t>
            </w: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(6,133)</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(8,995)</w:t>
            </w:r>
          </w:p>
        </w:tc>
        <w:tc>
          <w:tcPr>
            <w:tcW w:w="0" w:type="dxa"/>
            <w:vAlign w:val="bottom"/>
          </w:tcPr>
          <w:p>
            <w:pPr>
              <w:spacing w:after="0"/>
              <w:rPr>
                <w:sz w:val="1"/>
                <w:szCs w:val="1"/>
                <w:color w:val="auto"/>
              </w:rPr>
            </w:pPr>
          </w:p>
        </w:tc>
      </w:tr>
      <w:tr>
        <w:trPr>
          <w:trHeight w:val="197"/>
        </w:trPr>
        <w:tc>
          <w:tcPr>
            <w:tcW w:w="1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(gain) (a)</w:t>
            </w:r>
          </w:p>
        </w:tc>
        <w:tc>
          <w:tcPr>
            <w:tcW w:w="160" w:type="dxa"/>
            <w:vAlign w:val="bottom"/>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168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Amortization of prior</w:t>
            </w:r>
          </w:p>
        </w:tc>
        <w:tc>
          <w:tcPr>
            <w:tcW w:w="1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191"/>
        </w:trPr>
        <w:tc>
          <w:tcPr>
            <w:tcW w:w="1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service cost (b)</w:t>
            </w:r>
          </w:p>
        </w:tc>
        <w:tc>
          <w:tcPr>
            <w:tcW w:w="16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68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Amortization of net</w:t>
            </w:r>
          </w:p>
        </w:tc>
        <w:tc>
          <w:tcPr>
            <w:tcW w:w="16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(34,818)</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(32,468)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1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actuarial loss (b)</w:t>
            </w:r>
          </w:p>
        </w:tc>
        <w:tc>
          <w:tcPr>
            <w:tcW w:w="16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Regulatory adjustment</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1,330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28,232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19,062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9,170</w:t>
            </w:r>
          </w:p>
        </w:tc>
        <w:tc>
          <w:tcPr>
            <w:tcW w:w="0" w:type="dxa"/>
            <w:vAlign w:val="bottom"/>
          </w:tcPr>
          <w:p>
            <w:pPr>
              <w:spacing w:after="0"/>
              <w:rPr>
                <w:sz w:val="1"/>
                <w:szCs w:val="1"/>
                <w:color w:val="auto"/>
              </w:rPr>
            </w:pPr>
          </w:p>
        </w:tc>
      </w:tr>
      <w:tr>
        <w:trPr>
          <w:trHeight w:val="124"/>
        </w:trPr>
        <w:tc>
          <w:tcPr>
            <w:tcW w:w="1680" w:type="dxa"/>
            <w:vAlign w:val="bottom"/>
            <w:tcBorders>
              <w:top w:val="single" w:sz="8" w:color="CCEEFF"/>
            </w:tcBorders>
            <w:shd w:val="clear" w:color="auto" w:fill="CCEEFF"/>
          </w:tcPr>
          <w:p>
            <w:pPr>
              <w:ind w:left="20"/>
              <w:spacing w:after="0" w:line="125" w:lineRule="exact"/>
              <w:rPr>
                <w:sz w:val="20"/>
                <w:szCs w:val="20"/>
                <w:color w:val="auto"/>
              </w:rPr>
            </w:pPr>
            <w:r>
              <w:rPr>
                <w:rFonts w:ascii="Times New Roman" w:cs="Times New Roman" w:eastAsia="Times New Roman" w:hAnsi="Times New Roman"/>
                <w:sz w:val="14"/>
                <w:szCs w:val="14"/>
                <w:color w:val="auto"/>
              </w:rPr>
              <w:t>Recognized in other</w:t>
            </w:r>
          </w:p>
        </w:tc>
        <w:tc>
          <w:tcPr>
            <w:tcW w:w="16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680" w:type="dxa"/>
            <w:vAlign w:val="bottom"/>
            <w:shd w:val="clear" w:color="auto" w:fill="CCEEFF"/>
          </w:tcPr>
          <w:p>
            <w:pPr>
              <w:ind w:left="100"/>
              <w:spacing w:after="0" w:line="147" w:lineRule="exact"/>
              <w:rPr>
                <w:sz w:val="20"/>
                <w:szCs w:val="20"/>
                <w:color w:val="auto"/>
              </w:rPr>
            </w:pPr>
            <w:r>
              <w:rPr>
                <w:rFonts w:ascii="Times New Roman" w:cs="Times New Roman" w:eastAsia="Times New Roman" w:hAnsi="Times New Roman"/>
                <w:sz w:val="14"/>
                <w:szCs w:val="14"/>
                <w:color w:val="auto"/>
              </w:rPr>
              <w:t>comprehensive (income)</w:t>
            </w:r>
          </w:p>
        </w:tc>
        <w:tc>
          <w:tcPr>
            <w:tcW w:w="16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3,010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1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16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168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Net periodic benefit costs</w:t>
            </w:r>
          </w:p>
        </w:tc>
        <w:tc>
          <w:tcPr>
            <w:tcW w:w="1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13,259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7,135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3,743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2,381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6,972</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1,279</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3,371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2,322</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47,226</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41,671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4,215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1,340</w:t>
            </w:r>
          </w:p>
        </w:tc>
        <w:tc>
          <w:tcPr>
            <w:tcW w:w="0" w:type="dxa"/>
            <w:vAlign w:val="bottom"/>
          </w:tcPr>
          <w:p>
            <w:pPr>
              <w:spacing w:after="0"/>
              <w:rPr>
                <w:sz w:val="1"/>
                <w:szCs w:val="1"/>
                <w:color w:val="auto"/>
              </w:rPr>
            </w:pPr>
          </w:p>
        </w:tc>
      </w:tr>
      <w:tr>
        <w:trPr>
          <w:trHeight w:val="191"/>
        </w:trPr>
        <w:tc>
          <w:tcPr>
            <w:tcW w:w="16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recognized in net income</w:t>
            </w: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1680" w:type="dxa"/>
            <w:vAlign w:val="bottom"/>
            <w:shd w:val="clear" w:color="auto" w:fill="CCEEFF"/>
          </w:tcPr>
          <w:p>
            <w:pPr>
              <w:ind w:left="20"/>
              <w:spacing w:after="0" w:line="124" w:lineRule="exact"/>
              <w:rPr>
                <w:sz w:val="20"/>
                <w:szCs w:val="20"/>
                <w:color w:val="auto"/>
              </w:rPr>
            </w:pPr>
            <w:r>
              <w:rPr>
                <w:rFonts w:ascii="Times New Roman" w:cs="Times New Roman" w:eastAsia="Times New Roman" w:hAnsi="Times New Roman"/>
                <w:sz w:val="14"/>
                <w:szCs w:val="14"/>
                <w:color w:val="auto"/>
              </w:rPr>
              <w:t>Total of amount</w:t>
            </w: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680" w:type="dxa"/>
            <w:vAlign w:val="bottom"/>
            <w:shd w:val="clear" w:color="auto" w:fill="CCEEFF"/>
          </w:tcPr>
          <w:p>
            <w:pPr>
              <w:ind w:left="100"/>
              <w:spacing w:after="0" w:line="147" w:lineRule="exact"/>
              <w:rPr>
                <w:sz w:val="20"/>
                <w:szCs w:val="20"/>
                <w:color w:val="auto"/>
              </w:rPr>
            </w:pPr>
            <w:r>
              <w:rPr>
                <w:rFonts w:ascii="Times New Roman" w:cs="Times New Roman" w:eastAsia="Times New Roman" w:hAnsi="Times New Roman"/>
                <w:sz w:val="14"/>
                <w:szCs w:val="14"/>
                <w:color w:val="auto"/>
              </w:rPr>
              <w:t>recognized in net</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680" w:type="dxa"/>
            <w:vAlign w:val="bottom"/>
            <w:shd w:val="clear" w:color="auto" w:fill="CCEEFF"/>
          </w:tcPr>
          <w:p>
            <w:pPr>
              <w:ind w:left="100"/>
              <w:spacing w:after="0" w:line="143" w:lineRule="exact"/>
              <w:rPr>
                <w:sz w:val="20"/>
                <w:szCs w:val="20"/>
                <w:color w:val="auto"/>
              </w:rPr>
            </w:pPr>
            <w:r>
              <w:rPr>
                <w:rFonts w:ascii="Times New Roman" w:cs="Times New Roman" w:eastAsia="Times New Roman" w:hAnsi="Times New Roman"/>
                <w:sz w:val="14"/>
                <w:szCs w:val="14"/>
                <w:color w:val="auto"/>
              </w:rPr>
              <w:t>periodic benefit cost and</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680" w:type="dxa"/>
            <w:vAlign w:val="bottom"/>
            <w:shd w:val="clear" w:color="auto" w:fill="CCEEFF"/>
          </w:tcPr>
          <w:p>
            <w:pPr>
              <w:ind w:left="100"/>
              <w:spacing w:after="0" w:line="138" w:lineRule="exact"/>
              <w:rPr>
                <w:sz w:val="20"/>
                <w:szCs w:val="20"/>
                <w:color w:val="auto"/>
              </w:rPr>
            </w:pPr>
            <w:r>
              <w:rPr>
                <w:rFonts w:ascii="Times New Roman" w:cs="Times New Roman" w:eastAsia="Times New Roman" w:hAnsi="Times New Roman"/>
                <w:sz w:val="14"/>
                <w:szCs w:val="14"/>
                <w:color w:val="auto"/>
              </w:rPr>
              <w:t>other comprehensive</w:t>
            </w:r>
          </w:p>
        </w:tc>
        <w:tc>
          <w:tcPr>
            <w:tcW w:w="1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10,434</w:t>
            </w:r>
          </w:p>
        </w:tc>
        <w:tc>
          <w:tcPr>
            <w:tcW w:w="10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6,368</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2,381</w:t>
            </w:r>
          </w:p>
        </w:tc>
        <w:tc>
          <w:tcPr>
            <w:tcW w:w="10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9,982</w:t>
            </w:r>
          </w:p>
        </w:tc>
        <w:tc>
          <w:tcPr>
            <w:tcW w:w="8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1,292</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6,368</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2,322</w:t>
            </w:r>
          </w:p>
        </w:tc>
        <w:tc>
          <w:tcPr>
            <w:tcW w:w="10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36,386</w:t>
            </w:r>
          </w:p>
        </w:tc>
        <w:tc>
          <w:tcPr>
            <w:tcW w:w="12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39,314</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(4,268)</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w:t>
            </w:r>
          </w:p>
        </w:tc>
        <w:tc>
          <w:tcPr>
            <w:tcW w:w="0" w:type="dxa"/>
            <w:vAlign w:val="bottom"/>
          </w:tcPr>
          <w:p>
            <w:pPr>
              <w:spacing w:after="0"/>
              <w:rPr>
                <w:sz w:val="1"/>
                <w:szCs w:val="1"/>
                <w:color w:val="auto"/>
              </w:rPr>
            </w:pPr>
          </w:p>
        </w:tc>
      </w:tr>
      <w:tr>
        <w:trPr>
          <w:trHeight w:val="190"/>
        </w:trPr>
        <w:tc>
          <w:tcPr>
            <w:tcW w:w="1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(income) loss</w:t>
            </w: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5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5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5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5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5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5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160"/>
        <w:spacing w:after="0" w:line="258" w:lineRule="auto"/>
        <w:rPr>
          <w:sz w:val="20"/>
          <w:szCs w:val="20"/>
          <w:color w:val="auto"/>
        </w:rPr>
      </w:pPr>
      <w:r>
        <w:rPr>
          <w:rFonts w:ascii="Times New Roman" w:cs="Times New Roman" w:eastAsia="Times New Roman" w:hAnsi="Times New Roman"/>
          <w:sz w:val="16"/>
          <w:szCs w:val="16"/>
          <w:color w:val="auto"/>
        </w:rPr>
        <w:t>The table above discloses the net gain or loss and prior service cost recognized in Other comprehensive income, separated into (a) amounts initially recognized in Other comprehensive income, and (b) amounts subsequently recognized as adjustments to Other comprehensive income as those amounts are amortized as components of net</w:t>
      </w:r>
    </w:p>
    <w:p>
      <w:pPr>
        <w:spacing w:after="0" w:line="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 xml:space="preserve">periodic benefit cost. See also </w:t>
      </w:r>
      <w:r>
        <w:rPr>
          <w:rFonts w:ascii="Times New Roman" w:cs="Times New Roman" w:eastAsia="Times New Roman" w:hAnsi="Times New Roman"/>
          <w:sz w:val="16"/>
          <w:szCs w:val="16"/>
          <w:b w:val="1"/>
          <w:bCs w:val="1"/>
          <w:color w:val="auto"/>
        </w:rPr>
        <w:t>Note 6 - Other Comprehensive Income and AOCI</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type w:val="continuous"/>
        </w:sectPr>
      </w:pPr>
    </w:p>
    <w:bookmarkStart w:id="90" w:name="page91"/>
    <w:bookmarkEnd w:id="90"/>
    <w:p>
      <w:pPr>
        <w:spacing w:after="0" w:line="278" w:lineRule="auto"/>
        <w:rPr>
          <w:sz w:val="20"/>
          <w:szCs w:val="20"/>
          <w:color w:val="auto"/>
        </w:rPr>
      </w:pPr>
      <w:r>
        <w:rPr>
          <w:rFonts w:ascii="Times New Roman" w:cs="Times New Roman" w:eastAsia="Times New Roman" w:hAnsi="Times New Roman"/>
          <w:sz w:val="18"/>
          <w:szCs w:val="18"/>
          <w:color w:val="auto"/>
        </w:rPr>
        <w:t>The following table sets forth, by level within the three-level fair value hierarchy, the fair values of the assets of the QRP and the PBOP as of December 31, 2024 and 2023. The SERP has no assets.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December 31,</w:t>
            </w: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05"/>
        </w:trPr>
        <w:tc>
          <w:tcPr>
            <w:tcW w:w="47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r>
      <w:tr>
        <w:trPr>
          <w:trHeight w:val="210"/>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(Thousands of dollars)</w:t>
            </w:r>
          </w:p>
        </w:tc>
        <w:tc>
          <w:tcPr>
            <w:tcW w:w="260" w:type="dxa"/>
            <w:vAlign w:val="bottom"/>
          </w:tcPr>
          <w:p>
            <w:pPr>
              <w:spacing w:after="0"/>
              <w:rPr>
                <w:sz w:val="18"/>
                <w:szCs w:val="18"/>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QRP</w:t>
            </w:r>
          </w:p>
        </w:tc>
        <w:tc>
          <w:tcPr>
            <w:tcW w:w="160" w:type="dxa"/>
            <w:vAlign w:val="bottom"/>
          </w:tcPr>
          <w:p>
            <w:pPr>
              <w:spacing w:after="0"/>
              <w:rPr>
                <w:sz w:val="18"/>
                <w:szCs w:val="18"/>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PBOP</w:t>
            </w:r>
          </w:p>
        </w:tc>
        <w:tc>
          <w:tcPr>
            <w:tcW w:w="240" w:type="dxa"/>
            <w:vAlign w:val="bottom"/>
          </w:tcPr>
          <w:p>
            <w:pPr>
              <w:spacing w:after="0"/>
              <w:rPr>
                <w:sz w:val="18"/>
                <w:szCs w:val="18"/>
                <w:color w:val="auto"/>
              </w:rPr>
            </w:pPr>
          </w:p>
        </w:tc>
        <w:tc>
          <w:tcPr>
            <w:tcW w:w="82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QRP</w:t>
            </w:r>
          </w:p>
        </w:tc>
        <w:tc>
          <w:tcPr>
            <w:tcW w:w="160" w:type="dxa"/>
            <w:vAlign w:val="bottom"/>
          </w:tcPr>
          <w:p>
            <w:pPr>
              <w:spacing w:after="0"/>
              <w:rPr>
                <w:sz w:val="18"/>
                <w:szCs w:val="18"/>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PBOP</w:t>
            </w:r>
          </w:p>
        </w:tc>
        <w:tc>
          <w:tcPr>
            <w:tcW w:w="220" w:type="dxa"/>
            <w:vAlign w:val="bottom"/>
          </w:tcPr>
          <w:p>
            <w:pPr>
              <w:spacing w:after="0"/>
              <w:rPr>
                <w:sz w:val="18"/>
                <w:szCs w:val="18"/>
                <w:color w:val="auto"/>
              </w:rPr>
            </w:pPr>
          </w:p>
        </w:tc>
        <w:tc>
          <w:tcPr>
            <w:tcW w:w="82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Total</w:t>
            </w:r>
          </w:p>
        </w:tc>
      </w:tr>
      <w:tr>
        <w:trPr>
          <w:trHeight w:val="196"/>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 at fair value:</w:t>
            </w: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r>
      <w:tr>
        <w:trPr>
          <w:trHeight w:val="211"/>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Level 1 – Quoted prices in active markets for identical financial assets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Mutual funds</w:t>
            </w: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36,951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36,951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34,891</w:t>
            </w:r>
          </w:p>
        </w:tc>
      </w:tr>
      <w:tr>
        <w:trPr>
          <w:trHeight w:val="205"/>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Level 1 Assets (1)</w:t>
            </w: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36,951</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36,951</w:t>
            </w:r>
          </w:p>
        </w:tc>
        <w:tc>
          <w:tcPr>
            <w:tcW w:w="1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34,891</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34,891</w:t>
            </w:r>
          </w:p>
        </w:tc>
      </w:tr>
      <w:tr>
        <w:trPr>
          <w:trHeight w:val="196"/>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Level 2 – Significant other observable inputs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11"/>
        </w:trPr>
        <w:tc>
          <w:tcPr>
            <w:tcW w:w="4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Commingled trust equity funds (2)</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Global</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237,333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237,544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234,123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234,220</w:t>
            </w:r>
          </w:p>
        </w:tc>
      </w:tr>
      <w:tr>
        <w:trPr>
          <w:trHeight w:val="211"/>
        </w:trPr>
        <w:tc>
          <w:tcPr>
            <w:tcW w:w="4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International</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106,071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105,952</w:t>
            </w:r>
          </w:p>
        </w:tc>
      </w:tr>
      <w:tr>
        <w:trPr>
          <w:trHeight w:val="216"/>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U.S. equity securities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171,122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171,275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165,034</w:t>
            </w:r>
          </w:p>
        </w:tc>
      </w:tr>
      <w:tr>
        <w:trPr>
          <w:trHeight w:val="211"/>
        </w:trPr>
        <w:tc>
          <w:tcPr>
            <w:tcW w:w="4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Emerging markets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55,376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54,511</w:t>
            </w:r>
          </w:p>
        </w:tc>
      </w:tr>
      <w:tr>
        <w:trPr>
          <w:trHeight w:val="216"/>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Commingled trust fixed income funds (3)</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528,238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528,707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597,828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598,074</w:t>
            </w:r>
          </w:p>
        </w:tc>
      </w:tr>
      <w:tr>
        <w:trPr>
          <w:trHeight w:val="211"/>
        </w:trPr>
        <w:tc>
          <w:tcPr>
            <w:tcW w:w="4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Pooled funds and mutual funds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7,145</w:t>
            </w:r>
          </w:p>
        </w:tc>
      </w:tr>
      <w:tr>
        <w:trPr>
          <w:trHeight w:val="216"/>
        </w:trPr>
        <w:tc>
          <w:tcPr>
            <w:tcW w:w="4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Government fixed income (4)</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r>
      <w:tr>
        <w:trPr>
          <w:trHeight w:val="205"/>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Level 2 assets (5)</w:t>
            </w: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1,118,054</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1,171</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1,119,225</w:t>
            </w:r>
          </w:p>
        </w:tc>
        <w:tc>
          <w:tcPr>
            <w:tcW w:w="1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1,164,072</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1,029</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1,165,101</w:t>
            </w:r>
          </w:p>
        </w:tc>
      </w:tr>
      <w:tr>
        <w:trPr>
          <w:trHeight w:val="21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Plan assets at fair value</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1,118,054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1,156,176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1,164,072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1,199,992</w:t>
            </w:r>
          </w:p>
        </w:tc>
      </w:tr>
      <w:tr>
        <w:trPr>
          <w:trHeight w:val="211"/>
        </w:trPr>
        <w:tc>
          <w:tcPr>
            <w:tcW w:w="4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Insurance company general account contracts (6)</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w:t>
            </w:r>
          </w:p>
        </w:tc>
      </w:tr>
      <w:tr>
        <w:trPr>
          <w:trHeight w:val="232"/>
        </w:trPr>
        <w:tc>
          <w:tcPr>
            <w:tcW w:w="4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Plan assets</w:t>
            </w:r>
          </w:p>
        </w:tc>
        <w:tc>
          <w:tcPr>
            <w:tcW w:w="26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1,120,272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1,158,394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1,166,372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1,202,292</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93" w:lineRule="exact"/>
        <w:rPr>
          <w:sz w:val="20"/>
          <w:szCs w:val="20"/>
          <w:color w:val="auto"/>
        </w:rPr>
      </w:pPr>
    </w:p>
    <w:p>
      <w:pPr>
        <w:jc w:val="both"/>
        <w:ind w:left="160" w:firstLine="7"/>
        <w:spacing w:after="0" w:line="253" w:lineRule="auto"/>
        <w:tabs>
          <w:tab w:leader="none" w:pos="641"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Mutual funds category is a balanced fund that invests in a diversified portfolio of common stocks, preferred stocks, and fixed-income securities. Under normal circumstances, the fund invests between 25% and 75% of its total assets in equity securities and at least 25% in fixed-income investments. It may also invest up to 30% in non-U.S. securities. The fund seeks regular income, conservation of principal, and an opportunity for long-term growth of principal and income.</w:t>
      </w:r>
    </w:p>
    <w:p>
      <w:pPr>
        <w:spacing w:after="0" w:line="1" w:lineRule="exact"/>
        <w:rPr>
          <w:rFonts w:ascii="Times New Roman" w:cs="Times New Roman" w:eastAsia="Times New Roman" w:hAnsi="Times New Roman"/>
          <w:sz w:val="16"/>
          <w:szCs w:val="16"/>
          <w:color w:val="auto"/>
        </w:rPr>
      </w:pPr>
    </w:p>
    <w:p>
      <w:pPr>
        <w:jc w:val="both"/>
        <w:ind w:left="160" w:right="20" w:firstLine="7"/>
        <w:spacing w:after="0" w:line="254" w:lineRule="auto"/>
        <w:tabs>
          <w:tab w:leader="none" w:pos="641"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commingled trust equity funds include common collective trusts that invest in a diversified portfolio of securities regularly traded on securities exchanges. These funds are shown in the above table at NAV, which is the value of securities in the fund less the amount of any liabilities outstanding. Strategies employed by the funds include investment in:</w:t>
      </w:r>
    </w:p>
    <w:p>
      <w:pPr>
        <w:ind w:left="1280" w:hanging="471"/>
        <w:spacing w:after="0"/>
        <w:tabs>
          <w:tab w:leader="none" w:pos="1280"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Global equities, including domestic equities</w:t>
      </w:r>
    </w:p>
    <w:p>
      <w:pPr>
        <w:spacing w:after="0" w:line="3" w:lineRule="exact"/>
        <w:rPr>
          <w:rFonts w:ascii="Times New Roman" w:cs="Times New Roman" w:eastAsia="Times New Roman" w:hAnsi="Times New Roman"/>
          <w:sz w:val="16"/>
          <w:szCs w:val="16"/>
          <w:color w:val="auto"/>
        </w:rPr>
      </w:pPr>
    </w:p>
    <w:p>
      <w:pPr>
        <w:ind w:left="1280" w:hanging="471"/>
        <w:spacing w:after="0"/>
        <w:tabs>
          <w:tab w:leader="none" w:pos="1280"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International developed countries equities</w:t>
      </w:r>
    </w:p>
    <w:p>
      <w:pPr>
        <w:spacing w:after="0" w:line="7" w:lineRule="exact"/>
        <w:rPr>
          <w:rFonts w:ascii="Times New Roman" w:cs="Times New Roman" w:eastAsia="Times New Roman" w:hAnsi="Times New Roman"/>
          <w:sz w:val="16"/>
          <w:szCs w:val="16"/>
          <w:color w:val="auto"/>
        </w:rPr>
      </w:pPr>
    </w:p>
    <w:p>
      <w:pPr>
        <w:ind w:left="1280" w:hanging="471"/>
        <w:spacing w:after="0"/>
        <w:tabs>
          <w:tab w:leader="none" w:pos="1280"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Domestic equities</w:t>
      </w:r>
    </w:p>
    <w:p>
      <w:pPr>
        <w:spacing w:after="0" w:line="12" w:lineRule="exact"/>
        <w:rPr>
          <w:rFonts w:ascii="Times New Roman" w:cs="Times New Roman" w:eastAsia="Times New Roman" w:hAnsi="Times New Roman"/>
          <w:sz w:val="16"/>
          <w:szCs w:val="16"/>
          <w:color w:val="auto"/>
        </w:rPr>
      </w:pPr>
    </w:p>
    <w:p>
      <w:pPr>
        <w:ind w:left="1280" w:hanging="471"/>
        <w:spacing w:after="0"/>
        <w:tabs>
          <w:tab w:leader="none" w:pos="1280"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Emerging markets equities</w:t>
      </w:r>
    </w:p>
    <w:p>
      <w:pPr>
        <w:spacing w:after="0" w:line="7" w:lineRule="exact"/>
        <w:rPr>
          <w:sz w:val="20"/>
          <w:szCs w:val="20"/>
          <w:color w:val="auto"/>
        </w:rPr>
      </w:pPr>
    </w:p>
    <w:p>
      <w:pPr>
        <w:jc w:val="both"/>
        <w:ind w:left="160"/>
        <w:spacing w:after="0" w:line="257" w:lineRule="auto"/>
        <w:rPr>
          <w:sz w:val="20"/>
          <w:szCs w:val="20"/>
          <w:color w:val="auto"/>
        </w:rPr>
      </w:pPr>
      <w:r>
        <w:rPr>
          <w:rFonts w:ascii="Times New Roman" w:cs="Times New Roman" w:eastAsia="Times New Roman" w:hAnsi="Times New Roman"/>
          <w:sz w:val="16"/>
          <w:szCs w:val="16"/>
          <w:color w:val="auto"/>
        </w:rPr>
        <w:t>Shares in the commingled trust equity funds may be redeemed given one business day notice. While they are trust equity funds and reported at NAV, due to the short redemption notice period, the lack of redemption fees, the fact that the underlying investments are exchange-traded, and that substantial liabilities do not exist subject to the NAV calculation, these investments are viewed as indirectly observable (Level 2) in the fair value hierarchy and are therefore not excluded from the body of the fair value table as a reconciling item.</w:t>
      </w:r>
    </w:p>
    <w:p>
      <w:pPr>
        <w:spacing w:after="0" w:line="19" w:lineRule="exact"/>
        <w:rPr>
          <w:sz w:val="20"/>
          <w:szCs w:val="20"/>
          <w:color w:val="auto"/>
        </w:rPr>
      </w:pPr>
    </w:p>
    <w:p>
      <w:pPr>
        <w:jc w:val="both"/>
        <w:ind w:left="160"/>
        <w:spacing w:after="0" w:line="287" w:lineRule="auto"/>
        <w:rPr>
          <w:sz w:val="20"/>
          <w:szCs w:val="20"/>
          <w:color w:val="auto"/>
        </w:rPr>
      </w:pPr>
      <w:r>
        <w:rPr>
          <w:rFonts w:ascii="Times New Roman" w:cs="Times New Roman" w:eastAsia="Times New Roman" w:hAnsi="Times New Roman"/>
          <w:sz w:val="16"/>
          <w:szCs w:val="16"/>
          <w:color w:val="auto"/>
        </w:rPr>
        <w:t>The global fund provides diversified exposure to global equity markets. The fund seeks to provide long-term capital growth by investing primarily in securities listed on the major developed equity markets of the U.S., Europe, and Asia, as well as within those listed on emerging country equity markets on a tactical basis.</w:t>
      </w:r>
    </w:p>
    <w:p>
      <w:pPr>
        <w:spacing w:after="0" w:line="1" w:lineRule="exact"/>
        <w:rPr>
          <w:sz w:val="20"/>
          <w:szCs w:val="20"/>
          <w:color w:val="auto"/>
        </w:rPr>
      </w:pPr>
    </w:p>
    <w:p>
      <w:pPr>
        <w:jc w:val="both"/>
        <w:ind w:left="160"/>
        <w:spacing w:after="0" w:line="276" w:lineRule="auto"/>
        <w:rPr>
          <w:sz w:val="20"/>
          <w:szCs w:val="20"/>
          <w:color w:val="auto"/>
        </w:rPr>
      </w:pPr>
      <w:r>
        <w:rPr>
          <w:rFonts w:ascii="Times New Roman" w:cs="Times New Roman" w:eastAsia="Times New Roman" w:hAnsi="Times New Roman"/>
          <w:sz w:val="16"/>
          <w:szCs w:val="16"/>
          <w:color w:val="auto"/>
        </w:rPr>
        <w:t>The international fund invests in international financial markets, primarily those of developed economies in Europe and the Pacific Basin. The fund invests primarily in equity securities issued by foreign corporations, but may invest in other securities perceived as offering attractive investment return opportunities.</w:t>
      </w:r>
    </w:p>
    <w:p>
      <w:pPr>
        <w:spacing w:after="0" w:line="18" w:lineRule="exact"/>
        <w:rPr>
          <w:sz w:val="20"/>
          <w:szCs w:val="20"/>
          <w:color w:val="auto"/>
        </w:rPr>
      </w:pPr>
    </w:p>
    <w:p>
      <w:pPr>
        <w:jc w:val="both"/>
        <w:ind w:left="160"/>
        <w:spacing w:after="0" w:line="260" w:lineRule="auto"/>
        <w:rPr>
          <w:sz w:val="20"/>
          <w:szCs w:val="20"/>
          <w:color w:val="auto"/>
        </w:rPr>
      </w:pPr>
      <w:r>
        <w:rPr>
          <w:rFonts w:ascii="Times New Roman" w:cs="Times New Roman" w:eastAsia="Times New Roman" w:hAnsi="Times New Roman"/>
          <w:sz w:val="16"/>
          <w:szCs w:val="16"/>
          <w:color w:val="auto"/>
        </w:rPr>
        <w:t>The domestic equities securities funds include a large and medium capitalization fund and a small capitalization fund. The large and medium capitalization fund is designed to track the performance of the large and medium capitalization companies contained in the index, which represents approximately 90% of the market capitalization of the U.S. stock market. The small capitalization fund is designed to provide maximum long-term appreciation through investments that are well diversified by industry.</w:t>
      </w:r>
    </w:p>
    <w:p>
      <w:pPr>
        <w:spacing w:after="0" w:line="31" w:lineRule="exact"/>
        <w:rPr>
          <w:sz w:val="20"/>
          <w:szCs w:val="20"/>
          <w:color w:val="auto"/>
        </w:rPr>
      </w:pPr>
    </w:p>
    <w:p>
      <w:pPr>
        <w:jc w:val="both"/>
        <w:ind w:left="160"/>
        <w:spacing w:after="0" w:line="257" w:lineRule="auto"/>
        <w:rPr>
          <w:sz w:val="20"/>
          <w:szCs w:val="20"/>
          <w:color w:val="auto"/>
        </w:rPr>
      </w:pPr>
      <w:r>
        <w:rPr>
          <w:rFonts w:ascii="Times New Roman" w:cs="Times New Roman" w:eastAsia="Times New Roman" w:hAnsi="Times New Roman"/>
          <w:sz w:val="16"/>
          <w:szCs w:val="16"/>
          <w:color w:val="auto"/>
        </w:rPr>
        <w:t>The emerging markets fund invests in countries defined as an emerging market country. Fund investments are made directly in each country or, where direct investment is inefficient or prohibited, through appropriate financial instruments or participation in commingled funds. Major emerging markets include Brazil, India, China, and other developing countries around the world.</w:t>
      </w:r>
    </w:p>
    <w:p>
      <w:pPr>
        <w:spacing w:after="0" w:line="2" w:lineRule="exact"/>
        <w:rPr>
          <w:sz w:val="20"/>
          <w:szCs w:val="20"/>
          <w:color w:val="auto"/>
        </w:rPr>
      </w:pPr>
    </w:p>
    <w:p>
      <w:pPr>
        <w:jc w:val="both"/>
        <w:ind w:left="160" w:firstLine="7"/>
        <w:spacing w:after="0" w:line="253" w:lineRule="auto"/>
        <w:tabs>
          <w:tab w:leader="none" w:pos="641"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commingled trust fixed income funds consist primarily of fixed income debt securities issued by the U.S. Treasury, government agencies, and fixed income debt securities issued by corporations. The fixed income fund investments may include the use of high yield, international fixed income securities and other instruments, including derivatives, to ensure prudent diversification over a broad spectrum of investments. The changes in the value of the fixed income funds are intended to offset the changes in the pension plan liabilities due to changes in the discount rate.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sectPr>
      </w:pPr>
    </w:p>
    <w:bookmarkStart w:id="91" w:name="page92"/>
    <w:bookmarkEnd w:id="91"/>
    <w:p>
      <w:pPr>
        <w:jc w:val="both"/>
        <w:ind w:left="160"/>
        <w:spacing w:after="0" w:line="255" w:lineRule="auto"/>
        <w:rPr>
          <w:sz w:val="20"/>
          <w:szCs w:val="20"/>
          <w:color w:val="auto"/>
        </w:rPr>
      </w:pPr>
      <w:r>
        <w:rPr>
          <w:rFonts w:ascii="Times New Roman" w:cs="Times New Roman" w:eastAsia="Times New Roman" w:hAnsi="Times New Roman"/>
          <w:sz w:val="16"/>
          <w:szCs w:val="16"/>
          <w:color w:val="auto"/>
        </w:rPr>
        <w:t>These funds are shown in the above table at NAV. Investments in the commingled trust fixed equity funds may be redeemed given one business day notice. While they are fixed income funds and reported at NAV, due to the short redemption notice period, the lack of redemption fees, the fact that the underlying investments are exchange-traded, and that substantial liabilities do not exist subject to the NAV calculation, these investments are viewed as indirectly observable (Level 2), and are also not excluded from the body of the fair value table as a reconciling item.</w:t>
      </w:r>
    </w:p>
    <w:p>
      <w:pPr>
        <w:spacing w:after="0" w:line="2" w:lineRule="exact"/>
        <w:rPr>
          <w:sz w:val="20"/>
          <w:szCs w:val="20"/>
          <w:color w:val="auto"/>
        </w:rPr>
      </w:pPr>
    </w:p>
    <w:p>
      <w:pPr>
        <w:ind w:left="160" w:firstLine="7"/>
        <w:spacing w:after="0" w:line="250" w:lineRule="auto"/>
        <w:tabs>
          <w:tab w:leader="none" w:pos="641"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Government fixed income consists of government-related securities including cash and cash equivalent securities including assets invested in the Treasury futures overlay and associated cash collateral.</w:t>
      </w:r>
    </w:p>
    <w:p>
      <w:pPr>
        <w:ind w:left="160" w:firstLine="7"/>
        <w:spacing w:after="0" w:line="252" w:lineRule="auto"/>
        <w:tabs>
          <w:tab w:leader="none" w:pos="641"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the exception of items (2), (3), and (4), which are discussed above, the Level 2 assets consist mainly of pooled funds and mutual funds. These funds are collective short-term funds that invest in Treasury bills and money market funds and are used as a temporary cash repository.</w:t>
      </w:r>
    </w:p>
    <w:p>
      <w:pPr>
        <w:spacing w:after="0" w:line="1" w:lineRule="exact"/>
        <w:rPr>
          <w:rFonts w:ascii="Times New Roman" w:cs="Times New Roman" w:eastAsia="Times New Roman" w:hAnsi="Times New Roman"/>
          <w:sz w:val="16"/>
          <w:szCs w:val="16"/>
          <w:color w:val="auto"/>
        </w:rPr>
      </w:pPr>
    </w:p>
    <w:p>
      <w:pPr>
        <w:ind w:left="160" w:right="20" w:firstLine="7"/>
        <w:spacing w:after="0" w:line="270" w:lineRule="auto"/>
        <w:tabs>
          <w:tab w:leader="none" w:pos="641"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insurance company general account contracts are annuity insurance contracts used to pay the pensions of employees who retired prior to 1989. The balance of the account disclosed in the above table is the contract value, which is the result of deposits, withdrawals, and interest credits.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Centuri</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Contribution Plans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Centuri offers defined contribution plans under Section 401(k) of the Internal Revenue Code to its eligible employees, regardless of whether they are covered under collective-bargaining agreements. Eligibility requirements vary, as does timing of participation, matching, vesting, and profit-sharing features of the plans. Contributions by Centuri to these plans for the years ended December 31, 2024, 2023, and 2022 were $16 million, $15 million, and $13 million, respectively.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Compensation Plan</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Centuri sponsors a nonqualified deferred compensation plan that is offered to a select group of management and highly-compensated employees. The plan allows participants to defer up to 80% of base salary and provides a match of 100% of contributions up to 5% of a participant’s salary. The plan also allows Centuri, at its election, to credit participant accounts with discretionary contributions. Participants are 100% vested in salary deferrals, contributions, and all earnings. Participant accounts include a return based on the performance of the underlying investment options selected. Payments from the plan are designated at each annual enrollment period based on specified triggering events and are payable by lump sum or on an annual installment basis.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Multiemployer Pension Plans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Centuri makes defined contributions to several multiemployer defined benefit pension plans under the terms of CBAs with various unions representing certain employees. Contribution rates are generally specified in the CBAs and are made to the plans on a “pay-as-you-go” basis. Such contributions correspond to the number of union employees and the particular plans in which they participate, and vary depending upon the location, number of ongoing projects, and the need for union resources in connection with those projects.</w:t>
      </w:r>
    </w:p>
    <w:p>
      <w:pPr>
        <w:spacing w:after="0" w:line="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risks of participating in multiemployer plans are different from single-employer plans, including: (i) assets contributed to the multiemployer plan by one employer may be used to provide benefits to employees of other participating employers; (ii) if a participating employer stops contributing to the multiemployer plan, the unfunded obligations of the plan may become the obligation of the remaining participating employers; and (iii) if a participating employer chooses to stop participating in these multiemployer plans, the employer may be required to pay to those plans an amount based on the underfunded status of the plan.</w:t>
      </w:r>
    </w:p>
    <w:p>
      <w:pPr>
        <w:spacing w:after="0" w:line="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Pension Protection Act of 2006 requires special funding and operational rules for multiemployer plans in the U.S., including classification of the plans (based on multiple factors, including the funded status of the plan), the most severe of which is “critical.” Depending upon the classification, plans may be required to adopt measures to improve their funded status through a funding improvement or rehabilitation plan, which may require additional contributions from employers (in the form of a surcharge on benefit contributions) and/or modification of retiree benefits. The amount of additional funds, if any, that Centuri may be obligated to contribute to these plans in the future cannot be estimated due to the uncertainty regarding future levels of work that may require the utilization of union employees covered by these plans, as well as uncertainty as to the future contribution levels and possible surcharges on contributions that may apply to these plans at that time.</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Centuri contributed $68.2 million, $75.7 million, and $71 million collectively to the plans for the years ended December 31, 2024, 2023, and 2022, respectively. Substantially all of the contributions made by Centuri during these years were to U.S. plans that were not classified as critical, and for which no special surcharges were assessed. As of December 31, 2024 (based on the latest data available as of the issuance of this report), 11 plans were classified as critical. The aggregate contributions to these 11 plans were $5.6 million, $7.8 million and $5.7 million for the years ended December 31, 2024, 2023 and 2022, respectively.</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Note 12 - Income Taxes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Southwest Gas Holdings, Inc.</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income (loss) before taxes and noncontrolling interests for domestic and foreign operations: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center"/>
              <w:ind w:left="451"/>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7700" w:type="dxa"/>
            <w:vAlign w:val="bottom"/>
            <w:tcBorders>
              <w:bottom w:val="single" w:sz="8" w:color="CCEEFF"/>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8"/>
                <w:szCs w:val="18"/>
                <w:color w:val="auto"/>
                <w:w w:val="94"/>
              </w:rPr>
              <w:t>2023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1"/>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224,173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176,820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(302,581)</w:t>
            </w:r>
          </w:p>
        </w:tc>
        <w:tc>
          <w:tcPr>
            <w:tcW w:w="0" w:type="dxa"/>
            <w:vAlign w:val="bottom"/>
          </w:tcPr>
          <w:p>
            <w:pPr>
              <w:spacing w:after="0"/>
              <w:rPr>
                <w:sz w:val="1"/>
                <w:szCs w:val="1"/>
                <w:color w:val="auto"/>
              </w:rPr>
            </w:pPr>
          </w:p>
        </w:tc>
      </w:tr>
      <w:tr>
        <w:trPr>
          <w:trHeight w:val="227"/>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20,529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29,244</w:t>
            </w:r>
          </w:p>
        </w:tc>
        <w:tc>
          <w:tcPr>
            <w:tcW w:w="0" w:type="dxa"/>
            <w:vAlign w:val="bottom"/>
          </w:tcPr>
          <w:p>
            <w:pPr>
              <w:spacing w:after="0"/>
              <w:rPr>
                <w:sz w:val="1"/>
                <w:szCs w:val="1"/>
                <w:color w:val="auto"/>
              </w:rPr>
            </w:pPr>
          </w:p>
        </w:tc>
      </w:tr>
      <w:tr>
        <w:trPr>
          <w:trHeight w:val="246"/>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(loss) before income taxes</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241,296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197,349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(273,337)</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Income tax expense (benefit) consists of the following:</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7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7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center"/>
              <w:ind w:left="451"/>
              <w:spacing w:after="0"/>
              <w:rPr>
                <w:sz w:val="20"/>
                <w:szCs w:val="20"/>
                <w:color w:val="auto"/>
              </w:rPr>
            </w:pPr>
            <w:r>
              <w:rPr>
                <w:rFonts w:ascii="Times New Roman" w:cs="Times New Roman" w:eastAsia="Times New Roman" w:hAnsi="Times New Roman"/>
                <w:sz w:val="18"/>
                <w:szCs w:val="18"/>
                <w:color w:val="auto"/>
                <w:w w:val="97"/>
              </w:rPr>
              <w:t>Year Ended December 31,</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7700" w:type="dxa"/>
            <w:vAlign w:val="bottom"/>
            <w:tcBorders>
              <w:bottom w:val="single" w:sz="8" w:color="CCEEFF"/>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8"/>
                <w:szCs w:val="18"/>
                <w:color w:val="auto"/>
                <w:w w:val="94"/>
              </w:rPr>
              <w:t>2023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07"/>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0" w:type="dxa"/>
            <w:vAlign w:val="bottom"/>
          </w:tcPr>
          <w:p>
            <w:pPr>
              <w:spacing w:after="0"/>
              <w:rPr>
                <w:sz w:val="1"/>
                <w:szCs w:val="1"/>
                <w:color w:val="auto"/>
              </w:rPr>
            </w:pPr>
          </w:p>
        </w:tc>
      </w:tr>
      <w:tr>
        <w:trPr>
          <w:trHeight w:val="227"/>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7,123</w:t>
            </w:r>
          </w:p>
        </w:tc>
        <w:tc>
          <w:tcPr>
            <w:tcW w:w="0" w:type="dxa"/>
            <w:vAlign w:val="bottom"/>
          </w:tcPr>
          <w:p>
            <w:pPr>
              <w:spacing w:after="0"/>
              <w:rPr>
                <w:sz w:val="1"/>
                <w:szCs w:val="1"/>
                <w:color w:val="auto"/>
              </w:rPr>
            </w:pPr>
          </w:p>
        </w:tc>
      </w:tr>
      <w:tr>
        <w:trPr>
          <w:trHeight w:val="227"/>
        </w:trPr>
        <w:tc>
          <w:tcPr>
            <w:tcW w:w="7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9,089</w:t>
            </w:r>
          </w:p>
        </w:tc>
        <w:tc>
          <w:tcPr>
            <w:tcW w:w="0" w:type="dxa"/>
            <w:vAlign w:val="bottom"/>
          </w:tcPr>
          <w:p>
            <w:pPr>
              <w:spacing w:after="0"/>
              <w:rPr>
                <w:sz w:val="1"/>
                <w:szCs w:val="1"/>
                <w:color w:val="auto"/>
              </w:rPr>
            </w:pPr>
          </w:p>
        </w:tc>
      </w:tr>
      <w:tr>
        <w:trPr>
          <w:trHeight w:val="221"/>
        </w:trPr>
        <w:tc>
          <w:tcPr>
            <w:tcW w:w="77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15,263</w:t>
            </w:r>
          </w:p>
        </w:tc>
        <w:tc>
          <w:tcPr>
            <w:tcW w:w="0" w:type="dxa"/>
            <w:vAlign w:val="bottom"/>
          </w:tcPr>
          <w:p>
            <w:pPr>
              <w:spacing w:after="0"/>
              <w:rPr>
                <w:sz w:val="1"/>
                <w:szCs w:val="1"/>
                <w:color w:val="auto"/>
              </w:rPr>
            </w:pPr>
          </w:p>
        </w:tc>
      </w:tr>
      <w:tr>
        <w:trPr>
          <w:trHeight w:val="207"/>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(76,984)</w:t>
            </w:r>
          </w:p>
        </w:tc>
        <w:tc>
          <w:tcPr>
            <w:tcW w:w="0" w:type="dxa"/>
            <w:vAlign w:val="bottom"/>
          </w:tcPr>
          <w:p>
            <w:pPr>
              <w:spacing w:after="0"/>
              <w:rPr>
                <w:sz w:val="1"/>
                <w:szCs w:val="1"/>
                <w:color w:val="auto"/>
              </w:rPr>
            </w:pPr>
          </w:p>
        </w:tc>
      </w:tr>
      <w:tr>
        <w:trPr>
          <w:trHeight w:val="227"/>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(12,828)</w:t>
            </w:r>
          </w:p>
        </w:tc>
        <w:tc>
          <w:tcPr>
            <w:tcW w:w="0" w:type="dxa"/>
            <w:vAlign w:val="bottom"/>
          </w:tcPr>
          <w:p>
            <w:pPr>
              <w:spacing w:after="0"/>
              <w:rPr>
                <w:sz w:val="1"/>
                <w:szCs w:val="1"/>
                <w:color w:val="auto"/>
              </w:rPr>
            </w:pPr>
          </w:p>
        </w:tc>
      </w:tr>
      <w:tr>
        <w:trPr>
          <w:trHeight w:val="227"/>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0" w:type="dxa"/>
            <w:vAlign w:val="bottom"/>
          </w:tcPr>
          <w:p>
            <w:pPr>
              <w:spacing w:after="0"/>
              <w:rPr>
                <w:sz w:val="1"/>
                <w:szCs w:val="1"/>
                <w:color w:val="auto"/>
              </w:rPr>
            </w:pPr>
          </w:p>
        </w:tc>
      </w:tr>
      <w:tr>
        <w:trPr>
          <w:trHeight w:val="221"/>
        </w:trPr>
        <w:tc>
          <w:tcPr>
            <w:tcW w:w="77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26,497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26,914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(90,916)</w:t>
            </w:r>
          </w:p>
        </w:tc>
        <w:tc>
          <w:tcPr>
            <w:tcW w:w="0" w:type="dxa"/>
            <w:vAlign w:val="bottom"/>
          </w:tcPr>
          <w:p>
            <w:pPr>
              <w:spacing w:after="0"/>
              <w:rPr>
                <w:sz w:val="1"/>
                <w:szCs w:val="1"/>
                <w:color w:val="auto"/>
              </w:rPr>
            </w:pPr>
          </w:p>
        </w:tc>
      </w:tr>
      <w:tr>
        <w:trPr>
          <w:trHeight w:val="246"/>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(75,653)</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Deferred income tax expense (benefit) consists of the following significant components: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7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7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center"/>
              <w:ind w:left="451"/>
              <w:spacing w:after="0"/>
              <w:rPr>
                <w:sz w:val="20"/>
                <w:szCs w:val="20"/>
                <w:color w:val="auto"/>
              </w:rPr>
            </w:pPr>
            <w:r>
              <w:rPr>
                <w:rFonts w:ascii="Times New Roman" w:cs="Times New Roman" w:eastAsia="Times New Roman" w:hAnsi="Times New Roman"/>
                <w:sz w:val="18"/>
                <w:szCs w:val="18"/>
                <w:color w:val="auto"/>
                <w:w w:val="97"/>
              </w:rPr>
              <w:t>Year Ended December 31,</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7700" w:type="dxa"/>
            <w:vAlign w:val="bottom"/>
            <w:tcBorders>
              <w:bottom w:val="single" w:sz="8" w:color="CCEEFF"/>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8"/>
                <w:szCs w:val="18"/>
                <w:color w:val="auto"/>
                <w:w w:val="94"/>
              </w:rPr>
              <w:t>2023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07"/>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federal and state: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Property-related items</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237,630</w:t>
            </w:r>
          </w:p>
        </w:tc>
        <w:tc>
          <w:tcPr>
            <w:tcW w:w="12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22,460</w:t>
            </w:r>
          </w:p>
        </w:tc>
        <w:tc>
          <w:tcPr>
            <w:tcW w:w="12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41,191</w:t>
            </w:r>
          </w:p>
        </w:tc>
        <w:tc>
          <w:tcPr>
            <w:tcW w:w="0" w:type="dxa"/>
            <w:vAlign w:val="bottom"/>
          </w:tcPr>
          <w:p>
            <w:pPr>
              <w:spacing w:after="0"/>
              <w:rPr>
                <w:sz w:val="1"/>
                <w:szCs w:val="1"/>
                <w:color w:val="auto"/>
              </w:rPr>
            </w:pPr>
          </w:p>
        </w:tc>
      </w:tr>
      <w:tr>
        <w:trPr>
          <w:trHeight w:val="227"/>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Purchased gas cost adjustments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76,306</w:t>
            </w:r>
          </w:p>
        </w:tc>
        <w:tc>
          <w:tcPr>
            <w:tcW w:w="0" w:type="dxa"/>
            <w:vAlign w:val="bottom"/>
          </w:tcPr>
          <w:p>
            <w:pPr>
              <w:spacing w:after="0"/>
              <w:rPr>
                <w:sz w:val="1"/>
                <w:szCs w:val="1"/>
                <w:color w:val="auto"/>
              </w:rPr>
            </w:pPr>
          </w:p>
        </w:tc>
      </w:tr>
      <w:tr>
        <w:trPr>
          <w:trHeight w:val="227"/>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benefits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12,223</w:t>
            </w:r>
          </w:p>
        </w:tc>
        <w:tc>
          <w:tcPr>
            <w:tcW w:w="0" w:type="dxa"/>
            <w:vAlign w:val="bottom"/>
          </w:tcPr>
          <w:p>
            <w:pPr>
              <w:spacing w:after="0"/>
              <w:rPr>
                <w:sz w:val="1"/>
                <w:szCs w:val="1"/>
                <w:color w:val="auto"/>
              </w:rPr>
            </w:pPr>
          </w:p>
        </w:tc>
      </w:tr>
      <w:tr>
        <w:trPr>
          <w:trHeight w:val="227"/>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Regulatory adjustments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(15,482)</w:t>
            </w:r>
          </w:p>
        </w:tc>
        <w:tc>
          <w:tcPr>
            <w:tcW w:w="0" w:type="dxa"/>
            <w:vAlign w:val="bottom"/>
          </w:tcPr>
          <w:p>
            <w:pPr>
              <w:spacing w:after="0"/>
              <w:rPr>
                <w:sz w:val="1"/>
                <w:szCs w:val="1"/>
                <w:color w:val="auto"/>
              </w:rPr>
            </w:pPr>
          </w:p>
        </w:tc>
      </w:tr>
      <w:tr>
        <w:trPr>
          <w:trHeight w:val="227"/>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payroll taxes</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(6,344)</w:t>
            </w:r>
          </w:p>
        </w:tc>
        <w:tc>
          <w:tcPr>
            <w:tcW w:w="0" w:type="dxa"/>
            <w:vAlign w:val="bottom"/>
          </w:tcPr>
          <w:p>
            <w:pPr>
              <w:spacing w:after="0"/>
              <w:rPr>
                <w:sz w:val="1"/>
                <w:szCs w:val="1"/>
                <w:color w:val="auto"/>
              </w:rPr>
            </w:pPr>
          </w:p>
        </w:tc>
      </w:tr>
      <w:tr>
        <w:trPr>
          <w:trHeight w:val="227"/>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5,751</w:t>
            </w:r>
          </w:p>
        </w:tc>
        <w:tc>
          <w:tcPr>
            <w:tcW w:w="0" w:type="dxa"/>
            <w:vAlign w:val="bottom"/>
          </w:tcPr>
          <w:p>
            <w:pPr>
              <w:spacing w:after="0"/>
              <w:rPr>
                <w:sz w:val="1"/>
                <w:szCs w:val="1"/>
                <w:color w:val="auto"/>
              </w:rPr>
            </w:pPr>
          </w:p>
        </w:tc>
      </w:tr>
      <w:tr>
        <w:trPr>
          <w:trHeight w:val="227"/>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Debt-related costs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27"/>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operating loss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(120,704)</w:t>
            </w:r>
          </w:p>
        </w:tc>
        <w:tc>
          <w:tcPr>
            <w:tcW w:w="0" w:type="dxa"/>
            <w:vAlign w:val="bottom"/>
          </w:tcPr>
          <w:p>
            <w:pPr>
              <w:spacing w:after="0"/>
              <w:rPr>
                <w:sz w:val="1"/>
                <w:szCs w:val="1"/>
                <w:color w:val="auto"/>
              </w:rPr>
            </w:pPr>
          </w:p>
        </w:tc>
      </w:tr>
      <w:tr>
        <w:trPr>
          <w:trHeight w:val="227"/>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MountainWest sale/goodwill impairment</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93,086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(105,507)</w:t>
            </w:r>
          </w:p>
        </w:tc>
        <w:tc>
          <w:tcPr>
            <w:tcW w:w="0" w:type="dxa"/>
            <w:vAlign w:val="bottom"/>
          </w:tcPr>
          <w:p>
            <w:pPr>
              <w:spacing w:after="0"/>
              <w:rPr>
                <w:sz w:val="1"/>
                <w:szCs w:val="1"/>
                <w:color w:val="auto"/>
              </w:rPr>
            </w:pPr>
          </w:p>
        </w:tc>
      </w:tr>
      <w:tr>
        <w:trPr>
          <w:trHeight w:val="227"/>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 other deferred</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21,505</w:t>
            </w:r>
          </w:p>
        </w:tc>
        <w:tc>
          <w:tcPr>
            <w:tcW w:w="0" w:type="dxa"/>
            <w:vAlign w:val="bottom"/>
          </w:tcPr>
          <w:p>
            <w:pPr>
              <w:spacing w:after="0"/>
              <w:rPr>
                <w:sz w:val="1"/>
                <w:szCs w:val="1"/>
                <w:color w:val="auto"/>
              </w:rPr>
            </w:pPr>
          </w:p>
        </w:tc>
      </w:tr>
      <w:tr>
        <w:trPr>
          <w:trHeight w:val="221"/>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federal and state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(90,897)</w:t>
            </w:r>
          </w:p>
        </w:tc>
        <w:tc>
          <w:tcPr>
            <w:tcW w:w="0" w:type="dxa"/>
            <w:vAlign w:val="bottom"/>
          </w:tcPr>
          <w:p>
            <w:pPr>
              <w:spacing w:after="0"/>
              <w:rPr>
                <w:sz w:val="1"/>
                <w:szCs w:val="1"/>
                <w:color w:val="auto"/>
              </w:rPr>
            </w:pPr>
          </w:p>
        </w:tc>
      </w:tr>
      <w:tr>
        <w:trPr>
          <w:trHeight w:val="227"/>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ITC, net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1"/>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income tax expense (benefit)</w:t>
            </w: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26,497</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26,914</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(90,916)</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References above and below to Deferred payroll taxes relate to the employer portion of Social Security tax, for which deferment of remittance was permissible under the CARES Act.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93" w:name="page94"/>
    <w:bookmarkEnd w:id="93"/>
    <w:p>
      <w:pPr>
        <w:spacing w:after="0" w:line="278" w:lineRule="auto"/>
        <w:rPr>
          <w:sz w:val="20"/>
          <w:szCs w:val="20"/>
          <w:color w:val="auto"/>
        </w:rPr>
      </w:pPr>
      <w:r>
        <w:rPr>
          <w:rFonts w:ascii="Times New Roman" w:cs="Times New Roman" w:eastAsia="Times New Roman" w:hAnsi="Times New Roman"/>
          <w:sz w:val="18"/>
          <w:szCs w:val="18"/>
          <w:color w:val="auto"/>
        </w:rPr>
        <w:t>A reconciliation of the U.S. federal statutory rate to the consolidated effective tax rate (and the sources of these differences and the effect of each) are summarized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360" w:type="dxa"/>
            <w:vAlign w:val="bottom"/>
          </w:tcPr>
          <w:p>
            <w:pPr>
              <w:spacing w:after="0"/>
              <w:rPr>
                <w:sz w:val="20"/>
                <w:szCs w:val="20"/>
                <w:color w:val="auto"/>
              </w:rPr>
            </w:pPr>
          </w:p>
        </w:tc>
        <w:tc>
          <w:tcPr>
            <w:tcW w:w="2980" w:type="dxa"/>
            <w:vAlign w:val="bottom"/>
            <w:tcBorders>
              <w:bottom w:val="single" w:sz="8" w:color="auto"/>
            </w:tcBorders>
            <w:gridSpan w:val="8"/>
          </w:tcPr>
          <w:p>
            <w:pPr>
              <w:jc w:val="right"/>
              <w:ind w:right="11"/>
              <w:spacing w:after="0"/>
              <w:rPr>
                <w:sz w:val="20"/>
                <w:szCs w:val="20"/>
                <w:color w:val="auto"/>
              </w:rPr>
            </w:pPr>
            <w:r>
              <w:rPr>
                <w:rFonts w:ascii="Times New Roman" w:cs="Times New Roman" w:eastAsia="Times New Roman" w:hAnsi="Times New Roman"/>
                <w:sz w:val="18"/>
                <w:szCs w:val="18"/>
                <w:color w:val="auto"/>
              </w:rPr>
              <w:t>Year Ended December 31,</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736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1"/>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27"/>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state taxes</w:t>
            </w: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7"/>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credits</w:t>
            </w:r>
          </w:p>
        </w:tc>
        <w:tc>
          <w:tcPr>
            <w:tcW w:w="12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7"/>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Company-owned life insurance</w:t>
            </w:r>
          </w:p>
        </w:tc>
        <w:tc>
          <w:tcPr>
            <w:tcW w:w="12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7"/>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excess deferred taxes</w:t>
            </w:r>
          </w:p>
        </w:tc>
        <w:tc>
          <w:tcPr>
            <w:tcW w:w="12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7"/>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MountainWest sale</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Meals and entertainment expenses</w:t>
            </w: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7"/>
        </w:trPr>
        <w:tc>
          <w:tcPr>
            <w:tcW w:w="7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All other differences</w:t>
            </w:r>
          </w:p>
        </w:tc>
        <w:tc>
          <w:tcPr>
            <w:tcW w:w="12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46"/>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effective income tax rate</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27.7 %</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Deferred tax assets and liabilities consist of the following:</w:t>
            </w: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73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7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5"/>
          </w:tcPr>
          <w:p>
            <w:pPr>
              <w:jc w:val="right"/>
              <w:ind w:right="571"/>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21"/>
        </w:trPr>
        <w:tc>
          <w:tcPr>
            <w:tcW w:w="7360" w:type="dxa"/>
            <w:vAlign w:val="bottom"/>
            <w:tcBorders>
              <w:bottom w:val="single" w:sz="8" w:color="CCEEFF"/>
            </w:tcBorders>
            <w:vMerge w:val="continue"/>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07"/>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taxes for future amortization of ITC and excess deferred taxes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81,802</w:t>
            </w:r>
          </w:p>
        </w:tc>
        <w:tc>
          <w:tcPr>
            <w:tcW w:w="32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87,566</w:t>
            </w:r>
          </w:p>
        </w:tc>
        <w:tc>
          <w:tcPr>
            <w:tcW w:w="0" w:type="dxa"/>
            <w:vAlign w:val="bottom"/>
          </w:tcPr>
          <w:p>
            <w:pPr>
              <w:spacing w:after="0"/>
              <w:rPr>
                <w:sz w:val="1"/>
                <w:szCs w:val="1"/>
                <w:color w:val="auto"/>
              </w:rPr>
            </w:pPr>
          </w:p>
        </w:tc>
      </w:tr>
      <w:tr>
        <w:trPr>
          <w:trHeight w:val="227"/>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benefits</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19,938</w:t>
            </w:r>
          </w:p>
        </w:tc>
        <w:tc>
          <w:tcPr>
            <w:tcW w:w="0" w:type="dxa"/>
            <w:vAlign w:val="bottom"/>
          </w:tcPr>
          <w:p>
            <w:pPr>
              <w:spacing w:after="0"/>
              <w:rPr>
                <w:sz w:val="1"/>
                <w:szCs w:val="1"/>
                <w:color w:val="auto"/>
              </w:rPr>
            </w:pPr>
          </w:p>
        </w:tc>
      </w:tr>
      <w:tr>
        <w:trPr>
          <w:trHeight w:val="227"/>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operating losses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356,880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249,472</w:t>
            </w:r>
          </w:p>
        </w:tc>
        <w:tc>
          <w:tcPr>
            <w:tcW w:w="0" w:type="dxa"/>
            <w:vAlign w:val="bottom"/>
          </w:tcPr>
          <w:p>
            <w:pPr>
              <w:spacing w:after="0"/>
              <w:rPr>
                <w:sz w:val="1"/>
                <w:szCs w:val="1"/>
                <w:color w:val="auto"/>
              </w:rPr>
            </w:pPr>
          </w:p>
        </w:tc>
      </w:tr>
      <w:tr>
        <w:trPr>
          <w:trHeight w:val="227"/>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Lease-related item</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27,239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29,494</w:t>
            </w:r>
          </w:p>
        </w:tc>
        <w:tc>
          <w:tcPr>
            <w:tcW w:w="0" w:type="dxa"/>
            <w:vAlign w:val="bottom"/>
          </w:tcPr>
          <w:p>
            <w:pPr>
              <w:spacing w:after="0"/>
              <w:rPr>
                <w:sz w:val="1"/>
                <w:szCs w:val="1"/>
                <w:color w:val="auto"/>
              </w:rPr>
            </w:pPr>
          </w:p>
        </w:tc>
      </w:tr>
      <w:tr>
        <w:trPr>
          <w:trHeight w:val="227"/>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9,806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7,059</w:t>
            </w:r>
          </w:p>
        </w:tc>
        <w:tc>
          <w:tcPr>
            <w:tcW w:w="0" w:type="dxa"/>
            <w:vAlign w:val="bottom"/>
          </w:tcPr>
          <w:p>
            <w:pPr>
              <w:spacing w:after="0"/>
              <w:rPr>
                <w:sz w:val="1"/>
                <w:szCs w:val="1"/>
                <w:color w:val="auto"/>
              </w:rPr>
            </w:pPr>
          </w:p>
        </w:tc>
      </w:tr>
      <w:tr>
        <w:trPr>
          <w:trHeight w:val="227"/>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Valuation allowance</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(1,659)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0" w:type="dxa"/>
            <w:vAlign w:val="bottom"/>
          </w:tcPr>
          <w:p>
            <w:pPr>
              <w:spacing w:after="0"/>
              <w:rPr>
                <w:sz w:val="1"/>
                <w:szCs w:val="1"/>
                <w:color w:val="auto"/>
              </w:rPr>
            </w:pPr>
          </w:p>
        </w:tc>
      </w:tr>
      <w:tr>
        <w:trPr>
          <w:trHeight w:val="221"/>
        </w:trPr>
        <w:tc>
          <w:tcPr>
            <w:tcW w:w="736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486,586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391,543</w:t>
            </w:r>
          </w:p>
        </w:tc>
        <w:tc>
          <w:tcPr>
            <w:tcW w:w="0" w:type="dxa"/>
            <w:vAlign w:val="bottom"/>
          </w:tcPr>
          <w:p>
            <w:pPr>
              <w:spacing w:after="0"/>
              <w:rPr>
                <w:sz w:val="1"/>
                <w:szCs w:val="1"/>
                <w:color w:val="auto"/>
              </w:rPr>
            </w:pPr>
          </w:p>
        </w:tc>
      </w:tr>
      <w:tr>
        <w:trPr>
          <w:trHeight w:val="207"/>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Property-related items, including accelerated depreciation</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1,134,409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896,167</w:t>
            </w:r>
          </w:p>
        </w:tc>
        <w:tc>
          <w:tcPr>
            <w:tcW w:w="0" w:type="dxa"/>
            <w:vAlign w:val="bottom"/>
          </w:tcPr>
          <w:p>
            <w:pPr>
              <w:spacing w:after="0"/>
              <w:rPr>
                <w:sz w:val="1"/>
                <w:szCs w:val="1"/>
                <w:color w:val="auto"/>
              </w:rPr>
            </w:pPr>
          </w:p>
        </w:tc>
      </w:tr>
      <w:tr>
        <w:trPr>
          <w:trHeight w:val="227"/>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Regulatory balancing accounts</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108,758</w:t>
            </w:r>
          </w:p>
        </w:tc>
        <w:tc>
          <w:tcPr>
            <w:tcW w:w="0" w:type="dxa"/>
            <w:vAlign w:val="bottom"/>
          </w:tcPr>
          <w:p>
            <w:pPr>
              <w:spacing w:after="0"/>
              <w:rPr>
                <w:sz w:val="1"/>
                <w:szCs w:val="1"/>
                <w:color w:val="auto"/>
              </w:rPr>
            </w:pPr>
          </w:p>
        </w:tc>
      </w:tr>
      <w:tr>
        <w:trPr>
          <w:trHeight w:val="227"/>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Debt-related costs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0" w:type="dxa"/>
            <w:vAlign w:val="bottom"/>
          </w:tcPr>
          <w:p>
            <w:pPr>
              <w:spacing w:after="0"/>
              <w:rPr>
                <w:sz w:val="1"/>
                <w:szCs w:val="1"/>
                <w:color w:val="auto"/>
              </w:rPr>
            </w:pPr>
          </w:p>
        </w:tc>
      </w:tr>
      <w:tr>
        <w:trPr>
          <w:trHeight w:val="227"/>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Intangibles</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91,995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93,081</w:t>
            </w:r>
          </w:p>
        </w:tc>
        <w:tc>
          <w:tcPr>
            <w:tcW w:w="0" w:type="dxa"/>
            <w:vAlign w:val="bottom"/>
          </w:tcPr>
          <w:p>
            <w:pPr>
              <w:spacing w:after="0"/>
              <w:rPr>
                <w:sz w:val="1"/>
                <w:szCs w:val="1"/>
                <w:color w:val="auto"/>
              </w:rPr>
            </w:pPr>
          </w:p>
        </w:tc>
      </w:tr>
      <w:tr>
        <w:trPr>
          <w:trHeight w:val="227"/>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Lease-related item</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25,453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27,746</w:t>
            </w:r>
          </w:p>
        </w:tc>
        <w:tc>
          <w:tcPr>
            <w:tcW w:w="0" w:type="dxa"/>
            <w:vAlign w:val="bottom"/>
          </w:tcPr>
          <w:p>
            <w:pPr>
              <w:spacing w:after="0"/>
              <w:rPr>
                <w:sz w:val="1"/>
                <w:szCs w:val="1"/>
                <w:color w:val="auto"/>
              </w:rPr>
            </w:pPr>
          </w:p>
        </w:tc>
      </w:tr>
      <w:tr>
        <w:trPr>
          <w:trHeight w:val="227"/>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34,963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16,611</w:t>
            </w:r>
          </w:p>
        </w:tc>
        <w:tc>
          <w:tcPr>
            <w:tcW w:w="0" w:type="dxa"/>
            <w:vAlign w:val="bottom"/>
          </w:tcPr>
          <w:p>
            <w:pPr>
              <w:spacing w:after="0"/>
              <w:rPr>
                <w:sz w:val="1"/>
                <w:szCs w:val="1"/>
                <w:color w:val="auto"/>
              </w:rPr>
            </w:pPr>
          </w:p>
        </w:tc>
      </w:tr>
      <w:tr>
        <w:trPr>
          <w:trHeight w:val="221"/>
        </w:trPr>
        <w:tc>
          <w:tcPr>
            <w:tcW w:w="736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1,292,192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1,144,077</w:t>
            </w:r>
          </w:p>
        </w:tc>
        <w:tc>
          <w:tcPr>
            <w:tcW w:w="0" w:type="dxa"/>
            <w:vAlign w:val="bottom"/>
          </w:tcPr>
          <w:p>
            <w:pPr>
              <w:spacing w:after="0"/>
              <w:rPr>
                <w:sz w:val="1"/>
                <w:szCs w:val="1"/>
                <w:color w:val="auto"/>
              </w:rPr>
            </w:pPr>
          </w:p>
        </w:tc>
      </w:tr>
      <w:tr>
        <w:trPr>
          <w:trHeight w:val="246"/>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noncurrent deferred tax liabilities</w:t>
            </w: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805,606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752,534</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Net noncurrent deferred tax liabilities above at December 31, 2024 and 2023 are reflected net of $3.2 million and $0.5 million of noncurrent deferred tax assets associated with the Company’s Canadian operations, which are shown separately on the Company’s Consolidated Balance Sheets.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33"/>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7"/>
        </w:trPr>
        <w:tc>
          <w:tcPr>
            <w:tcW w:w="7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right"/>
              <w:ind w:right="571"/>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21"/>
        </w:trPr>
        <w:tc>
          <w:tcPr>
            <w:tcW w:w="7700" w:type="dxa"/>
            <w:vAlign w:val="bottom"/>
            <w:tcBorders>
              <w:bottom w:val="single" w:sz="8" w:color="CCEEFF"/>
            </w:tcBorders>
            <w:vMerge w:val="continue"/>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8"/>
                <w:szCs w:val="18"/>
                <w:color w:val="auto"/>
                <w:w w:val="94"/>
              </w:rPr>
              <w:t>2024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1"/>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at beginning of year</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0" w:type="dxa"/>
            <w:vAlign w:val="bottom"/>
          </w:tcPr>
          <w:p>
            <w:pPr>
              <w:spacing w:after="0"/>
              <w:rPr>
                <w:sz w:val="1"/>
                <w:szCs w:val="1"/>
                <w:color w:val="auto"/>
              </w:rPr>
            </w:pPr>
          </w:p>
        </w:tc>
      </w:tr>
      <w:tr>
        <w:trPr>
          <w:trHeight w:val="227"/>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increases – tax positions in prior period</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7"/>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decreases – tax positions in prior period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7"/>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increases – current period tax positions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Lapse in statute of limitations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tax benefits at end of year</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Southwest Gas Corporation</w:t>
            </w:r>
            <w:r>
              <w:rPr>
                <w:rFonts w:ascii="Times New Roman" w:cs="Times New Roman" w:eastAsia="Times New Roman" w:hAnsi="Times New Roman"/>
                <w:sz w:val="18"/>
                <w:szCs w:val="18"/>
                <w:color w:val="auto"/>
              </w:rPr>
              <w:t>:</w:t>
            </w: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5"/>
        </w:trPr>
        <w:tc>
          <w:tcPr>
            <w:tcW w:w="7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summary of income before taxes: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7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center"/>
              <w:ind w:left="451"/>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7700" w:type="dxa"/>
            <w:vAlign w:val="bottom"/>
            <w:tcBorders>
              <w:bottom w:val="single" w:sz="8" w:color="CCEEFF"/>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8"/>
                <w:szCs w:val="18"/>
                <w:color w:val="auto"/>
                <w:w w:val="94"/>
              </w:rPr>
              <w:t>2023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46"/>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before income taxes</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304,350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279,125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184,921</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Income tax expense (benefit) consists of the following:</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7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7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center"/>
              <w:ind w:left="451"/>
              <w:spacing w:after="0"/>
              <w:rPr>
                <w:sz w:val="20"/>
                <w:szCs w:val="20"/>
                <w:color w:val="auto"/>
              </w:rPr>
            </w:pPr>
            <w:r>
              <w:rPr>
                <w:rFonts w:ascii="Times New Roman" w:cs="Times New Roman" w:eastAsia="Times New Roman" w:hAnsi="Times New Roman"/>
                <w:sz w:val="18"/>
                <w:szCs w:val="18"/>
                <w:color w:val="auto"/>
                <w:w w:val="97"/>
              </w:rPr>
              <w:t>Year Ended December 31,</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7700" w:type="dxa"/>
            <w:vAlign w:val="bottom"/>
            <w:tcBorders>
              <w:bottom w:val="single" w:sz="8" w:color="CCEEFF"/>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8"/>
                <w:szCs w:val="18"/>
                <w:color w:val="auto"/>
                <w:w w:val="94"/>
              </w:rPr>
              <w:t>2023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07"/>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7"/>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7,805</w:t>
            </w:r>
          </w:p>
        </w:tc>
        <w:tc>
          <w:tcPr>
            <w:tcW w:w="0" w:type="dxa"/>
            <w:vAlign w:val="bottom"/>
          </w:tcPr>
          <w:p>
            <w:pPr>
              <w:spacing w:after="0"/>
              <w:rPr>
                <w:sz w:val="1"/>
                <w:szCs w:val="1"/>
                <w:color w:val="auto"/>
              </w:rPr>
            </w:pPr>
          </w:p>
        </w:tc>
      </w:tr>
      <w:tr>
        <w:trPr>
          <w:trHeight w:val="221"/>
        </w:trPr>
        <w:tc>
          <w:tcPr>
            <w:tcW w:w="77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7,727</w:t>
            </w:r>
          </w:p>
        </w:tc>
        <w:tc>
          <w:tcPr>
            <w:tcW w:w="0" w:type="dxa"/>
            <w:vAlign w:val="bottom"/>
          </w:tcPr>
          <w:p>
            <w:pPr>
              <w:spacing w:after="0"/>
              <w:rPr>
                <w:sz w:val="1"/>
                <w:szCs w:val="1"/>
                <w:color w:val="auto"/>
              </w:rPr>
            </w:pPr>
          </w:p>
        </w:tc>
      </w:tr>
      <w:tr>
        <w:trPr>
          <w:trHeight w:val="207"/>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23,710</w:t>
            </w:r>
          </w:p>
        </w:tc>
        <w:tc>
          <w:tcPr>
            <w:tcW w:w="0" w:type="dxa"/>
            <w:vAlign w:val="bottom"/>
          </w:tcPr>
          <w:p>
            <w:pPr>
              <w:spacing w:after="0"/>
              <w:rPr>
                <w:sz w:val="1"/>
                <w:szCs w:val="1"/>
                <w:color w:val="auto"/>
              </w:rPr>
            </w:pPr>
          </w:p>
        </w:tc>
      </w:tr>
      <w:tr>
        <w:trPr>
          <w:trHeight w:val="227"/>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0" w:type="dxa"/>
            <w:vAlign w:val="bottom"/>
          </w:tcPr>
          <w:p>
            <w:pPr>
              <w:spacing w:after="0"/>
              <w:rPr>
                <w:sz w:val="1"/>
                <w:szCs w:val="1"/>
                <w:color w:val="auto"/>
              </w:rPr>
            </w:pPr>
          </w:p>
        </w:tc>
      </w:tr>
      <w:tr>
        <w:trPr>
          <w:trHeight w:val="221"/>
        </w:trPr>
        <w:tc>
          <w:tcPr>
            <w:tcW w:w="77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43,081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36,823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22,814</w:t>
            </w:r>
          </w:p>
        </w:tc>
        <w:tc>
          <w:tcPr>
            <w:tcW w:w="0" w:type="dxa"/>
            <w:vAlign w:val="bottom"/>
          </w:tcPr>
          <w:p>
            <w:pPr>
              <w:spacing w:after="0"/>
              <w:rPr>
                <w:sz w:val="1"/>
                <w:szCs w:val="1"/>
                <w:color w:val="auto"/>
              </w:rPr>
            </w:pPr>
          </w:p>
        </w:tc>
      </w:tr>
      <w:tr>
        <w:trPr>
          <w:trHeight w:val="246"/>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30,541</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Deferred income tax expense (benefit) consists of the following significant components: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7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520" w:type="dxa"/>
            <w:vAlign w:val="bottom"/>
            <w:gridSpan w:val="6"/>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7"/>
        </w:trPr>
        <w:tc>
          <w:tcPr>
            <w:tcW w:w="77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520" w:type="dxa"/>
            <w:vAlign w:val="bottom"/>
            <w:tcBorders>
              <w:bottom w:val="single" w:sz="8" w:color="auto"/>
            </w:tcBorders>
            <w:gridSpan w:val="6"/>
            <w:shd w:val="clear" w:color="auto" w:fill="CCEEFF"/>
          </w:tcPr>
          <w:p>
            <w:pPr>
              <w:jc w:val="center"/>
              <w:ind w:left="451"/>
              <w:spacing w:after="0"/>
              <w:rPr>
                <w:sz w:val="20"/>
                <w:szCs w:val="20"/>
                <w:color w:val="auto"/>
              </w:rPr>
            </w:pPr>
            <w:r>
              <w:rPr>
                <w:rFonts w:ascii="Times New Roman" w:cs="Times New Roman" w:eastAsia="Times New Roman" w:hAnsi="Times New Roman"/>
                <w:sz w:val="18"/>
                <w:szCs w:val="18"/>
                <w:color w:val="auto"/>
                <w:w w:val="97"/>
              </w:rPr>
              <w:t>Year Ended December 31,</w:t>
            </w:r>
          </w:p>
        </w:tc>
        <w:tc>
          <w:tcPr>
            <w:tcW w:w="7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8"/>
                <w:szCs w:val="18"/>
                <w:color w:val="auto"/>
                <w:w w:val="94"/>
              </w:rPr>
              <w:t>2023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07"/>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federal and state: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Property-related items</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247,797</w:t>
            </w:r>
          </w:p>
        </w:tc>
        <w:tc>
          <w:tcPr>
            <w:tcW w:w="12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38,862</w:t>
            </w:r>
          </w:p>
        </w:tc>
        <w:tc>
          <w:tcPr>
            <w:tcW w:w="12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29,633</w:t>
            </w:r>
          </w:p>
        </w:tc>
        <w:tc>
          <w:tcPr>
            <w:tcW w:w="0" w:type="dxa"/>
            <w:vAlign w:val="bottom"/>
          </w:tcPr>
          <w:p>
            <w:pPr>
              <w:spacing w:after="0"/>
              <w:rPr>
                <w:sz w:val="1"/>
                <w:szCs w:val="1"/>
                <w:color w:val="auto"/>
              </w:rPr>
            </w:pPr>
          </w:p>
        </w:tc>
      </w:tr>
      <w:tr>
        <w:trPr>
          <w:trHeight w:val="227"/>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Purchased gas cost adjustments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76,306</w:t>
            </w:r>
          </w:p>
        </w:tc>
        <w:tc>
          <w:tcPr>
            <w:tcW w:w="0" w:type="dxa"/>
            <w:vAlign w:val="bottom"/>
          </w:tcPr>
          <w:p>
            <w:pPr>
              <w:spacing w:after="0"/>
              <w:rPr>
                <w:sz w:val="1"/>
                <w:szCs w:val="1"/>
                <w:color w:val="auto"/>
              </w:rPr>
            </w:pPr>
          </w:p>
        </w:tc>
      </w:tr>
      <w:tr>
        <w:trPr>
          <w:trHeight w:val="227"/>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benefits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5,332</w:t>
            </w:r>
          </w:p>
        </w:tc>
        <w:tc>
          <w:tcPr>
            <w:tcW w:w="0" w:type="dxa"/>
            <w:vAlign w:val="bottom"/>
          </w:tcPr>
          <w:p>
            <w:pPr>
              <w:spacing w:after="0"/>
              <w:rPr>
                <w:sz w:val="1"/>
                <w:szCs w:val="1"/>
                <w:color w:val="auto"/>
              </w:rPr>
            </w:pPr>
          </w:p>
        </w:tc>
      </w:tr>
      <w:tr>
        <w:trPr>
          <w:trHeight w:val="227"/>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Regulatory adjustments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(15,482)</w:t>
            </w:r>
          </w:p>
        </w:tc>
        <w:tc>
          <w:tcPr>
            <w:tcW w:w="0" w:type="dxa"/>
            <w:vAlign w:val="bottom"/>
          </w:tcPr>
          <w:p>
            <w:pPr>
              <w:spacing w:after="0"/>
              <w:rPr>
                <w:sz w:val="1"/>
                <w:szCs w:val="1"/>
                <w:color w:val="auto"/>
              </w:rPr>
            </w:pPr>
          </w:p>
        </w:tc>
      </w:tr>
      <w:tr>
        <w:trPr>
          <w:trHeight w:val="227"/>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payroll taxes</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0" w:type="dxa"/>
            <w:vAlign w:val="bottom"/>
          </w:tcPr>
          <w:p>
            <w:pPr>
              <w:spacing w:after="0"/>
              <w:rPr>
                <w:sz w:val="1"/>
                <w:szCs w:val="1"/>
                <w:color w:val="auto"/>
              </w:rPr>
            </w:pPr>
          </w:p>
        </w:tc>
      </w:tr>
      <w:tr>
        <w:trPr>
          <w:trHeight w:val="227"/>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operating loss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(100,848)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58,739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(76,080)</w:t>
            </w:r>
          </w:p>
        </w:tc>
        <w:tc>
          <w:tcPr>
            <w:tcW w:w="0" w:type="dxa"/>
            <w:vAlign w:val="bottom"/>
          </w:tcPr>
          <w:p>
            <w:pPr>
              <w:spacing w:after="0"/>
              <w:rPr>
                <w:sz w:val="1"/>
                <w:szCs w:val="1"/>
                <w:color w:val="auto"/>
              </w:rPr>
            </w:pPr>
          </w:p>
        </w:tc>
      </w:tr>
      <w:tr>
        <w:trPr>
          <w:trHeight w:val="227"/>
        </w:trPr>
        <w:tc>
          <w:tcPr>
            <w:tcW w:w="7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All other deferred</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0" w:type="dxa"/>
            <w:vAlign w:val="bottom"/>
          </w:tcPr>
          <w:p>
            <w:pPr>
              <w:spacing w:after="0"/>
              <w:rPr>
                <w:sz w:val="1"/>
                <w:szCs w:val="1"/>
                <w:color w:val="auto"/>
              </w:rPr>
            </w:pPr>
          </w:p>
        </w:tc>
      </w:tr>
      <w:tr>
        <w:trPr>
          <w:trHeight w:val="221"/>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federal and state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22,833</w:t>
            </w:r>
          </w:p>
        </w:tc>
        <w:tc>
          <w:tcPr>
            <w:tcW w:w="0" w:type="dxa"/>
            <w:vAlign w:val="bottom"/>
          </w:tcPr>
          <w:p>
            <w:pPr>
              <w:spacing w:after="0"/>
              <w:rPr>
                <w:sz w:val="1"/>
                <w:szCs w:val="1"/>
                <w:color w:val="auto"/>
              </w:rPr>
            </w:pPr>
          </w:p>
        </w:tc>
      </w:tr>
      <w:tr>
        <w:trPr>
          <w:trHeight w:val="227"/>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ITC, net</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6"/>
        </w:trPr>
        <w:tc>
          <w:tcPr>
            <w:tcW w:w="7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income tax expense</w:t>
            </w: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43,081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22,814</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7"/>
        </w:trPr>
        <w:tc>
          <w:tcPr>
            <w:tcW w:w="7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770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8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8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95" w:name="page96"/>
    <w:bookmarkEnd w:id="95"/>
    <w:p>
      <w:pPr>
        <w:jc w:val="both"/>
        <w:spacing w:after="0" w:line="278" w:lineRule="auto"/>
        <w:rPr>
          <w:sz w:val="20"/>
          <w:szCs w:val="20"/>
          <w:color w:val="auto"/>
        </w:rPr>
      </w:pPr>
      <w:r>
        <w:rPr>
          <w:rFonts w:ascii="Times New Roman" w:cs="Times New Roman" w:eastAsia="Times New Roman" w:hAnsi="Times New Roman"/>
          <w:sz w:val="18"/>
          <w:szCs w:val="18"/>
          <w:color w:val="auto"/>
        </w:rPr>
        <w:t>A reconciliation of the U.S. federal statutory rate to the consolidated effective tax rate (and the sources of these differences and the effect of each) are summarized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360" w:type="dxa"/>
            <w:vAlign w:val="bottom"/>
          </w:tcPr>
          <w:p>
            <w:pPr>
              <w:spacing w:after="0"/>
              <w:rPr>
                <w:sz w:val="20"/>
                <w:szCs w:val="20"/>
                <w:color w:val="auto"/>
              </w:rPr>
            </w:pPr>
          </w:p>
        </w:tc>
        <w:tc>
          <w:tcPr>
            <w:tcW w:w="2980" w:type="dxa"/>
            <w:vAlign w:val="bottom"/>
            <w:tcBorders>
              <w:bottom w:val="single" w:sz="8" w:color="auto"/>
            </w:tcBorders>
            <w:gridSpan w:val="9"/>
          </w:tcPr>
          <w:p>
            <w:pPr>
              <w:jc w:val="right"/>
              <w:ind w:right="11"/>
              <w:spacing w:after="0"/>
              <w:rPr>
                <w:sz w:val="20"/>
                <w:szCs w:val="20"/>
                <w:color w:val="auto"/>
              </w:rPr>
            </w:pPr>
            <w:r>
              <w:rPr>
                <w:rFonts w:ascii="Times New Roman" w:cs="Times New Roman" w:eastAsia="Times New Roman" w:hAnsi="Times New Roman"/>
                <w:sz w:val="18"/>
                <w:szCs w:val="18"/>
                <w:color w:val="auto"/>
              </w:rPr>
              <w:t>Year Ended December 31,</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736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1"/>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27"/>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state taxes</w:t>
            </w: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7"/>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credits</w:t>
            </w:r>
          </w:p>
        </w:tc>
        <w:tc>
          <w:tcPr>
            <w:tcW w:w="12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7"/>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Company-owned life insurance</w:t>
            </w:r>
          </w:p>
        </w:tc>
        <w:tc>
          <w:tcPr>
            <w:tcW w:w="12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7"/>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excess deferred taxes</w:t>
            </w:r>
          </w:p>
        </w:tc>
        <w:tc>
          <w:tcPr>
            <w:tcW w:w="12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7"/>
        </w:trPr>
        <w:tc>
          <w:tcPr>
            <w:tcW w:w="7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All other differences</w:t>
            </w:r>
          </w:p>
        </w:tc>
        <w:tc>
          <w:tcPr>
            <w:tcW w:w="12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46"/>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Deferred tax assets and liabilities consist of the following:</w:t>
            </w: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73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7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6"/>
          </w:tcPr>
          <w:p>
            <w:pPr>
              <w:jc w:val="right"/>
              <w:ind w:right="571"/>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21"/>
        </w:trPr>
        <w:tc>
          <w:tcPr>
            <w:tcW w:w="7360" w:type="dxa"/>
            <w:vAlign w:val="bottom"/>
            <w:tcBorders>
              <w:bottom w:val="single" w:sz="8" w:color="CCEEFF"/>
            </w:tcBorders>
            <w:vMerge w:val="continue"/>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07"/>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taxes for future amortization of ITC and excess deferred taxes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81,802</w:t>
            </w:r>
          </w:p>
        </w:tc>
        <w:tc>
          <w:tcPr>
            <w:tcW w:w="320" w:type="dxa"/>
            <w:vAlign w:val="bottom"/>
            <w:gridSpan w:val="3"/>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87,566</w:t>
            </w:r>
          </w:p>
        </w:tc>
        <w:tc>
          <w:tcPr>
            <w:tcW w:w="0" w:type="dxa"/>
            <w:vAlign w:val="bottom"/>
          </w:tcPr>
          <w:p>
            <w:pPr>
              <w:spacing w:after="0"/>
              <w:rPr>
                <w:sz w:val="1"/>
                <w:szCs w:val="1"/>
                <w:color w:val="auto"/>
              </w:rPr>
            </w:pPr>
          </w:p>
        </w:tc>
      </w:tr>
      <w:tr>
        <w:trPr>
          <w:trHeight w:val="227"/>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operating losses</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177,309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76,461</w:t>
            </w:r>
          </w:p>
        </w:tc>
        <w:tc>
          <w:tcPr>
            <w:tcW w:w="0" w:type="dxa"/>
            <w:vAlign w:val="bottom"/>
          </w:tcPr>
          <w:p>
            <w:pPr>
              <w:spacing w:after="0"/>
              <w:rPr>
                <w:sz w:val="1"/>
                <w:szCs w:val="1"/>
                <w:color w:val="auto"/>
              </w:rPr>
            </w:pPr>
          </w:p>
        </w:tc>
      </w:tr>
      <w:tr>
        <w:trPr>
          <w:trHeight w:val="227"/>
        </w:trPr>
        <w:tc>
          <w:tcPr>
            <w:tcW w:w="7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21"/>
        </w:trPr>
        <w:tc>
          <w:tcPr>
            <w:tcW w:w="7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261,219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164,163</w:t>
            </w:r>
          </w:p>
        </w:tc>
        <w:tc>
          <w:tcPr>
            <w:tcW w:w="0" w:type="dxa"/>
            <w:vAlign w:val="bottom"/>
          </w:tcPr>
          <w:p>
            <w:pPr>
              <w:spacing w:after="0"/>
              <w:rPr>
                <w:sz w:val="1"/>
                <w:szCs w:val="1"/>
                <w:color w:val="auto"/>
              </w:rPr>
            </w:pPr>
          </w:p>
        </w:tc>
      </w:tr>
      <w:tr>
        <w:trPr>
          <w:trHeight w:val="207"/>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Property-related items, including accelerated depreciation</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1,020,885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772,124</w:t>
            </w:r>
          </w:p>
        </w:tc>
        <w:tc>
          <w:tcPr>
            <w:tcW w:w="0" w:type="dxa"/>
            <w:vAlign w:val="bottom"/>
          </w:tcPr>
          <w:p>
            <w:pPr>
              <w:spacing w:after="0"/>
              <w:rPr>
                <w:sz w:val="1"/>
                <w:szCs w:val="1"/>
                <w:color w:val="auto"/>
              </w:rPr>
            </w:pPr>
          </w:p>
        </w:tc>
      </w:tr>
      <w:tr>
        <w:trPr>
          <w:trHeight w:val="227"/>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Regulatory balancing accounts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3,988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108,758</w:t>
            </w:r>
          </w:p>
        </w:tc>
        <w:tc>
          <w:tcPr>
            <w:tcW w:w="0" w:type="dxa"/>
            <w:vAlign w:val="bottom"/>
          </w:tcPr>
          <w:p>
            <w:pPr>
              <w:spacing w:after="0"/>
              <w:rPr>
                <w:sz w:val="1"/>
                <w:szCs w:val="1"/>
                <w:color w:val="auto"/>
              </w:rPr>
            </w:pPr>
          </w:p>
        </w:tc>
      </w:tr>
      <w:tr>
        <w:trPr>
          <w:trHeight w:val="227"/>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Debt-related costs</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1,384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0" w:type="dxa"/>
            <w:vAlign w:val="bottom"/>
          </w:tcPr>
          <w:p>
            <w:pPr>
              <w:spacing w:after="0"/>
              <w:rPr>
                <w:sz w:val="1"/>
                <w:szCs w:val="1"/>
                <w:color w:val="auto"/>
              </w:rPr>
            </w:pPr>
          </w:p>
        </w:tc>
      </w:tr>
      <w:tr>
        <w:trPr>
          <w:trHeight w:val="227"/>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benefits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26,225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20,818</w:t>
            </w:r>
          </w:p>
        </w:tc>
        <w:tc>
          <w:tcPr>
            <w:tcW w:w="0" w:type="dxa"/>
            <w:vAlign w:val="bottom"/>
          </w:tcPr>
          <w:p>
            <w:pPr>
              <w:spacing w:after="0"/>
              <w:rPr>
                <w:sz w:val="1"/>
                <w:szCs w:val="1"/>
                <w:color w:val="auto"/>
              </w:rPr>
            </w:pPr>
          </w:p>
        </w:tc>
      </w:tr>
      <w:tr>
        <w:trPr>
          <w:trHeight w:val="227"/>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28,710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10,585</w:t>
            </w:r>
          </w:p>
        </w:tc>
        <w:tc>
          <w:tcPr>
            <w:tcW w:w="0" w:type="dxa"/>
            <w:vAlign w:val="bottom"/>
          </w:tcPr>
          <w:p>
            <w:pPr>
              <w:spacing w:after="0"/>
              <w:rPr>
                <w:sz w:val="1"/>
                <w:szCs w:val="1"/>
                <w:color w:val="auto"/>
              </w:rPr>
            </w:pPr>
          </w:p>
        </w:tc>
      </w:tr>
      <w:tr>
        <w:trPr>
          <w:trHeight w:val="221"/>
        </w:trPr>
        <w:tc>
          <w:tcPr>
            <w:tcW w:w="736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1,081,192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913,999</w:t>
            </w:r>
          </w:p>
        </w:tc>
        <w:tc>
          <w:tcPr>
            <w:tcW w:w="0" w:type="dxa"/>
            <w:vAlign w:val="bottom"/>
          </w:tcPr>
          <w:p>
            <w:pPr>
              <w:spacing w:after="0"/>
              <w:rPr>
                <w:sz w:val="1"/>
                <w:szCs w:val="1"/>
                <w:color w:val="auto"/>
              </w:rPr>
            </w:pPr>
          </w:p>
        </w:tc>
      </w:tr>
      <w:tr>
        <w:trPr>
          <w:trHeight w:val="246"/>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819,973</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749,836</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w:t>
            </w: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73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7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6"/>
          </w:tcPr>
          <w:p>
            <w:pPr>
              <w:jc w:val="right"/>
              <w:ind w:right="571"/>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21"/>
        </w:trPr>
        <w:tc>
          <w:tcPr>
            <w:tcW w:w="7360" w:type="dxa"/>
            <w:vAlign w:val="bottom"/>
            <w:tcBorders>
              <w:bottom w:val="single" w:sz="8" w:color="CCEEFF"/>
            </w:tcBorders>
            <w:vMerge w:val="continue"/>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1"/>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at beginning of year</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2,622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0" w:type="dxa"/>
            <w:vAlign w:val="bottom"/>
          </w:tcPr>
          <w:p>
            <w:pPr>
              <w:spacing w:after="0"/>
              <w:rPr>
                <w:sz w:val="1"/>
                <w:szCs w:val="1"/>
                <w:color w:val="auto"/>
              </w:rPr>
            </w:pPr>
          </w:p>
        </w:tc>
      </w:tr>
      <w:tr>
        <w:trPr>
          <w:trHeight w:val="227"/>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increases – tax positions in prior period</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decreases – tax positions in prior period</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7"/>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increases – current period tax positions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Lapse in statute of limitations</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tax benefits at end of year</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 assessing whether uncertain tax positions should be recognized in its financial statements, management first determines whether it is more-likely-than-not that a tax position will be sustained upon examination, including resolution of any related appeals or litigation processes, based on the technical merits of the position. In evaluations of whether a tax position has met the more-likely-than-not recognition threshold, management presumes that the position will be examined by the appropriate taxing authority that would have full knowledge of all relevant information. For tax positions that meet the more-likely-than-not recognition threshold, management measures the amount of benefit recognized in the financial statements at the largest amount of benefit that is greater than 50% likely of being realized upon ultimate settlement. Unrecognized tax benefits are recognized in the first financial reporting period in which information becomes available indicating that such benefits will more-likely-than-not be realized. For each reporting period, management applies a consistent methodology to measure unrecognized tax benefits, and all unrecognized tax benefits are reviewed periodically and adjusted as circumstances warrant. Measurement of unrecognized tax benefits is based on management’s assessment of all relevant information, including prior audit experience, the status of audits, conclusions of tax audits, lapsing of applicable statutes of limitation, identification of new issues, and any administrative guidance or developments.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sectPr>
      </w:pPr>
    </w:p>
    <w:bookmarkStart w:id="96" w:name="page97"/>
    <w:bookmarkEnd w:id="96"/>
    <w:p>
      <w:pPr>
        <w:jc w:val="both"/>
        <w:ind w:right="20"/>
        <w:spacing w:after="0" w:line="278" w:lineRule="auto"/>
        <w:rPr>
          <w:sz w:val="20"/>
          <w:szCs w:val="20"/>
          <w:color w:val="auto"/>
        </w:rPr>
      </w:pPr>
      <w:r>
        <w:rPr>
          <w:rFonts w:ascii="Times New Roman" w:cs="Times New Roman" w:eastAsia="Times New Roman" w:hAnsi="Times New Roman"/>
          <w:sz w:val="18"/>
          <w:szCs w:val="18"/>
          <w:color w:val="auto"/>
        </w:rPr>
        <w:t>At December 31, 2024, the total amount of unrecognized tax benefits that, if recognized, would impact the effective tax rate was $1.3 million for the Company and $0.8 million for Southwest Gas. No significant increases or decreases in unrecognized tax benefits are expected within the next 12 months.</w:t>
      </w:r>
    </w:p>
    <w:p>
      <w:pPr>
        <w:spacing w:after="0" w:line="55"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color w:val="auto"/>
        </w:rPr>
        <w:t>The Company and Southwest Gas recognize interest expense and income and penalties related to income tax matters in income tax expense. The amount of tax-related interest income for 2022 through 2024 was not significant.</w:t>
      </w:r>
    </w:p>
    <w:p>
      <w:pPr>
        <w:spacing w:after="0" w:line="55"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color w:val="auto"/>
        </w:rPr>
        <w:t>The Company and its subsidiaries file a consolidated federal income tax return in the U.S. and in various states, as well as separate returns in Canada. With few exceptions, the Company is no longer subject to U.S. federal, state and local, or Canadian income tax examinations for years before 2020.</w:t>
      </w:r>
    </w:p>
    <w:p>
      <w:pPr>
        <w:spacing w:after="0" w:line="5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Company and each of its subsidiaries, including Southwest Gas, participate in a tax sharing agreement to establish the method for allocating tax benefits and losses among members of the consolidated group. The consolidated federal income tax is apportioned among the subsidiaries using a separate return method.</w:t>
      </w:r>
    </w:p>
    <w:p>
      <w:pPr>
        <w:spacing w:after="0" w:line="6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 xml:space="preserve">The sale of MountainWest by the Company, which occurred in February 2023, was a taxable transaction for U.S. federal and state income tax purposes. See also </w:t>
      </w:r>
      <w:r>
        <w:rPr>
          <w:rFonts w:ascii="Times New Roman" w:cs="Times New Roman" w:eastAsia="Times New Roman" w:hAnsi="Times New Roman"/>
          <w:sz w:val="18"/>
          <w:szCs w:val="18"/>
          <w:b w:val="1"/>
          <w:bCs w:val="1"/>
          <w:color w:val="auto"/>
        </w:rPr>
        <w:t>Note 15 - Dispositions</w:t>
      </w:r>
      <w:r>
        <w:rPr>
          <w:rFonts w:ascii="Times New Roman" w:cs="Times New Roman" w:eastAsia="Times New Roman" w:hAnsi="Times New Roman"/>
          <w:sz w:val="18"/>
          <w:szCs w:val="18"/>
          <w:color w:val="auto"/>
        </w:rPr>
        <w:t>.</w:t>
      </w:r>
    </w:p>
    <w:p>
      <w:pPr>
        <w:spacing w:after="0" w:line="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April 2023, the IRS issued Revenue Procedure 2023-15, which provides a safe harbor method of accounting that taxpayers may use to determine whether expenditures to repair, maintain, replace, or improve natural gas transmission and distribution property must be capitalized for tax purposes. The Company intends to adopt this change in tax accounting method with its 2024 U.S. federal income tax return filing in 2025, and it expects the safe harbor method to increase tax repair deductions. The Company’s deferred taxes reflect the impacts of this pending adoption and are not material to the consolidated financial statements overall.</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December 31, 2024, the Company has a U.S. federal net operating loss carryforward of $1.5 billion. The Company also has general business credits of $6.5 million, which begin to expire in 2041. The Company has capital loss carryforwards of $5 million, which begin to expire in 2028. At December 31, 2024, the Company has an income tax net operating loss carryforward related to Canadian operations of $42.7 million, which begins to expire in 2040. As of the same date, the Company has $720.8 million of state net operating loss carryforwards. Depending on the jurisdiction in which the state net operating loss was generated, the carryforwards will begin to expire in 2028.</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intends to continue to permanently reinvest any future foreign earnings in Canada.</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Segment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two reportable segments: the natural gas distribution segment (Southwest Gas) and the utility infrastructure services segment (Centuri).</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reportable segments are based on the nature of their activities.</w:t>
      </w:r>
    </w:p>
    <w:p>
      <w:pPr>
        <w:spacing w:after="0" w:line="9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Southwest Gas is engaged in the business of purchasing, distributing, and transporting natural gas. Centuri is primarily engaged in the business of providing gas and electric providers installation, replacement, repair, and maintenance of energy networks. Although the utility infrastructure services operations are geographically dispersed, they are aggregated and reported as a single segment as each reporting unit has similar economic characteristics and customers.</w:t>
      </w:r>
    </w:p>
    <w:p>
      <w:pPr>
        <w:spacing w:after="0" w:line="6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pipeline and storage segment (MountainWest) was sold in 2023 and was primarily engaged in the business of providing interstate transportation and underground storage services.</w:t>
      </w:r>
    </w:p>
    <w:p>
      <w:pPr>
        <w:spacing w:after="0" w:line="5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order to reconcile to net income as disclosed in the Consolidated Statements of Income, an Other column is included below associated with certain unallocated expenses, such as shareholder activism costs, costs related to the Centuri separation, goodwill impairment, and net interest deductions, for corporate and administrative activities related to Southwest Gas Holdings.</w:t>
      </w:r>
    </w:p>
    <w:p>
      <w:pPr>
        <w:spacing w:after="0" w:line="6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 xml:space="preserve">The accounting policies of the reported segments are the same as those described within </w:t>
      </w:r>
      <w:r>
        <w:rPr>
          <w:rFonts w:ascii="Times New Roman" w:cs="Times New Roman" w:eastAsia="Times New Roman" w:hAnsi="Times New Roman"/>
          <w:sz w:val="18"/>
          <w:szCs w:val="18"/>
          <w:b w:val="1"/>
          <w:bCs w:val="1"/>
          <w:color w:val="auto"/>
        </w:rPr>
        <w:t>Note 1 - Background, Organization, and 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Significant Accounting Policies</w:t>
      </w:r>
      <w:r>
        <w:rPr>
          <w:rFonts w:ascii="Times New Roman" w:cs="Times New Roman" w:eastAsia="Times New Roman" w:hAnsi="Times New Roman"/>
          <w:sz w:val="18"/>
          <w:szCs w:val="18"/>
          <w:color w:val="auto"/>
        </w:rPr>
        <w:t>. Centuri accounts for services provided to Southwest Gas at contractual prices at contract inception. Accounts receivable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intercompany profits are not eliminated during consolidation in accordance with accounting treatment for rate-regulated entities.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99% of the total Company’s long-lived assets are in the U.S. with the remainder in Canada.</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Segment information is presented in a similar manner to how the CODM, the Company’s CEO and President, reviews operating results in assessing performance and allocating resources. The CODM evaluates the performance of the reportable segments based on each segment’s net income (loss). The CODM considers budget-to-actual variances when making decisions about allocating capital and personnel to the segments. The CODM also uses net income (loss) to assess the return on assets of each segment including margin earned and in the compensation of certain employees. The CODM reviews capital expenditures by reportable segment rather than by any individual or total asset amount.</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color w:val="auto"/>
        </w:rPr>
        <w:t>Accounts receivable for services provided by Centuri to Southwest Gas are presented in the table below: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7"/>
          </w:tcPr>
          <w:p>
            <w:pPr>
              <w:ind w:left="460"/>
              <w:spacing w:after="0"/>
              <w:rPr>
                <w:sz w:val="20"/>
                <w:szCs w:val="20"/>
                <w:color w:val="auto"/>
              </w:rPr>
            </w:pPr>
            <w:r>
              <w:rPr>
                <w:rFonts w:ascii="Times New Roman" w:cs="Times New Roman" w:eastAsia="Times New Roman" w:hAnsi="Times New Roman"/>
                <w:sz w:val="18"/>
                <w:szCs w:val="18"/>
                <w:color w:val="auto"/>
              </w:rPr>
              <w:t>December 31,</w:t>
            </w:r>
          </w:p>
        </w:tc>
      </w:tr>
      <w:tr>
        <w:trPr>
          <w:trHeight w:val="221"/>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2023</w:t>
            </w:r>
          </w:p>
        </w:tc>
        <w:tc>
          <w:tcPr>
            <w:tcW w:w="40" w:type="dxa"/>
            <w:vAlign w:val="bottom"/>
            <w:tcBorders>
              <w:bottom w:val="single" w:sz="8" w:color="auto"/>
            </w:tcBorders>
          </w:tcPr>
          <w:p>
            <w:pPr>
              <w:spacing w:after="0"/>
              <w:rPr>
                <w:sz w:val="19"/>
                <w:szCs w:val="19"/>
                <w:color w:val="auto"/>
              </w:rPr>
            </w:pPr>
          </w:p>
        </w:tc>
      </w:tr>
      <w:tr>
        <w:trPr>
          <w:trHeight w:val="221"/>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for Centuri services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13,017</w:t>
            </w:r>
          </w:p>
        </w:tc>
        <w:tc>
          <w:tcPr>
            <w:tcW w:w="40" w:type="dxa"/>
            <w:vAlign w:val="bottom"/>
            <w:shd w:val="clear" w:color="auto" w:fill="CCEEFF"/>
          </w:tcPr>
          <w:p>
            <w:pPr>
              <w:spacing w:after="0"/>
              <w:rPr>
                <w:sz w:val="19"/>
                <w:szCs w:val="19"/>
                <w:color w:val="auto"/>
              </w:rPr>
            </w:pPr>
          </w:p>
        </w:tc>
      </w:tr>
      <w:tr>
        <w:trPr>
          <w:trHeight w:val="321"/>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amount of revenues by geographic area:</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34"/>
        </w:trPr>
        <w:tc>
          <w:tcPr>
            <w:tcW w:w="75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December 31,</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21"/>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2022</w:t>
            </w:r>
          </w:p>
        </w:tc>
        <w:tc>
          <w:tcPr>
            <w:tcW w:w="40" w:type="dxa"/>
            <w:vAlign w:val="bottom"/>
          </w:tcPr>
          <w:p>
            <w:pPr>
              <w:spacing w:after="0"/>
              <w:rPr>
                <w:sz w:val="19"/>
                <w:szCs w:val="19"/>
                <w:color w:val="auto"/>
              </w:rPr>
            </w:pPr>
          </w:p>
        </w:tc>
      </w:tr>
      <w:tr>
        <w:trPr>
          <w:trHeight w:val="207"/>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(a)</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7"/>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4,914,574</w:t>
            </w: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5,199,178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4,637,557</w:t>
            </w:r>
          </w:p>
        </w:tc>
        <w:tc>
          <w:tcPr>
            <w:tcW w:w="40" w:type="dxa"/>
            <w:vAlign w:val="bottom"/>
          </w:tcPr>
          <w:p>
            <w:pPr>
              <w:spacing w:after="0"/>
              <w:rPr>
                <w:sz w:val="19"/>
                <w:szCs w:val="19"/>
                <w:color w:val="auto"/>
              </w:rPr>
            </w:pPr>
          </w:p>
        </w:tc>
      </w:tr>
      <w:tr>
        <w:trPr>
          <w:trHeight w:val="227"/>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Canada</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197,871</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234,794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322,452</w:t>
            </w:r>
          </w:p>
        </w:tc>
        <w:tc>
          <w:tcPr>
            <w:tcW w:w="40" w:type="dxa"/>
            <w:vAlign w:val="bottom"/>
          </w:tcPr>
          <w:p>
            <w:pPr>
              <w:spacing w:after="0"/>
              <w:rPr>
                <w:sz w:val="19"/>
                <w:szCs w:val="19"/>
                <w:color w:val="auto"/>
              </w:rPr>
            </w:pPr>
          </w:p>
        </w:tc>
      </w:tr>
      <w:tr>
        <w:trPr>
          <w:trHeight w:val="246"/>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5,112,445</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5,433,972</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4,960,009</w:t>
            </w:r>
          </w:p>
        </w:tc>
        <w:tc>
          <w:tcPr>
            <w:tcW w:w="40" w:type="dxa"/>
            <w:vAlign w:val="bottom"/>
          </w:tcPr>
          <w:p>
            <w:pPr>
              <w:spacing w:after="0"/>
              <w:rPr>
                <w:sz w:val="20"/>
                <w:szCs w:val="20"/>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80" w:lineRule="exact"/>
        <w:rPr>
          <w:sz w:val="20"/>
          <w:szCs w:val="20"/>
          <w:color w:val="auto"/>
        </w:rPr>
      </w:pPr>
    </w:p>
    <w:p>
      <w:pPr>
        <w:ind w:left="120"/>
        <w:spacing w:after="0"/>
        <w:tabs>
          <w:tab w:leader="none" w:pos="420" w:val="left"/>
        </w:tabs>
        <w:rPr>
          <w:sz w:val="20"/>
          <w:szCs w:val="20"/>
          <w:color w:val="auto"/>
        </w:rPr>
      </w:pPr>
      <w:r>
        <w:rPr>
          <w:rFonts w:ascii="Times New Roman" w:cs="Times New Roman" w:eastAsia="Times New Roman" w:hAnsi="Times New Roman"/>
          <w:sz w:val="16"/>
          <w:szCs w:val="16"/>
          <w:color w:val="auto"/>
        </w:rPr>
        <w:t>(a)</w:t>
        <w:tab/>
        <w:t>Revenues are attributed to countries based on the location of customers.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information pertaining to each segment as of and for the three years ended December 31, 2024, 2023, and 2022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6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5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Natural Gas</w:t>
            </w:r>
          </w:p>
        </w:tc>
        <w:tc>
          <w:tcPr>
            <w:tcW w:w="160" w:type="dxa"/>
            <w:vAlign w:val="bottom"/>
          </w:tcPr>
          <w:p>
            <w:pPr>
              <w:spacing w:after="0"/>
              <w:rPr>
                <w:sz w:val="15"/>
                <w:szCs w:val="15"/>
                <w:color w:val="auto"/>
              </w:rPr>
            </w:pPr>
          </w:p>
        </w:tc>
        <w:tc>
          <w:tcPr>
            <w:tcW w:w="12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w w:val="97"/>
              </w:rPr>
              <w:t>Utility</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8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240"/>
              <w:spacing w:after="0" w:line="179" w:lineRule="exact"/>
              <w:rPr>
                <w:sz w:val="20"/>
                <w:szCs w:val="20"/>
                <w:color w:val="auto"/>
              </w:rPr>
            </w:pPr>
            <w:r>
              <w:rPr>
                <w:rFonts w:ascii="Times New Roman" w:cs="Times New Roman" w:eastAsia="Times New Roman" w:hAnsi="Times New Roman"/>
                <w:sz w:val="18"/>
                <w:szCs w:val="18"/>
                <w:color w:val="auto"/>
                <w:w w:val="97"/>
              </w:rPr>
              <w:t>Infrastructure</w:t>
            </w:r>
          </w:p>
        </w:tc>
        <w:tc>
          <w:tcPr>
            <w:tcW w:w="260" w:type="dxa"/>
            <w:vAlign w:val="bottom"/>
          </w:tcPr>
          <w:p>
            <w:pPr>
              <w:spacing w:after="0"/>
              <w:rPr>
                <w:sz w:val="15"/>
                <w:szCs w:val="15"/>
                <w:color w:val="auto"/>
              </w:rPr>
            </w:pPr>
          </w:p>
        </w:tc>
        <w:tc>
          <w:tcPr>
            <w:tcW w:w="11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5"/>
                <w:szCs w:val="15"/>
                <w:color w:val="auto"/>
              </w:rPr>
            </w:pPr>
          </w:p>
        </w:tc>
        <w:tc>
          <w:tcPr>
            <w:tcW w:w="1040" w:type="dxa"/>
            <w:vAlign w:val="bottom"/>
            <w:vMerge w:val="restart"/>
          </w:tcPr>
          <w:p>
            <w:pPr>
              <w:jc w:val="right"/>
              <w:ind w:right="391"/>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7"/>
        </w:trPr>
        <w:tc>
          <w:tcPr>
            <w:tcW w:w="56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Distribution</w:t>
            </w:r>
          </w:p>
        </w:tc>
        <w:tc>
          <w:tcPr>
            <w:tcW w:w="160" w:type="dxa"/>
            <w:vAlign w:val="bottom"/>
          </w:tcPr>
          <w:p>
            <w:pPr>
              <w:spacing w:after="0"/>
              <w:rPr>
                <w:sz w:val="19"/>
                <w:szCs w:val="19"/>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Services</w:t>
            </w:r>
          </w:p>
        </w:tc>
        <w:tc>
          <w:tcPr>
            <w:tcW w:w="26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2,475,216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2,530,394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5,005,610</w:t>
            </w:r>
          </w:p>
        </w:tc>
        <w:tc>
          <w:tcPr>
            <w:tcW w:w="0" w:type="dxa"/>
            <w:vAlign w:val="bottom"/>
          </w:tcPr>
          <w:p>
            <w:pPr>
              <w:spacing w:after="0"/>
              <w:rPr>
                <w:sz w:val="1"/>
                <w:szCs w:val="1"/>
                <w:color w:val="auto"/>
              </w:rPr>
            </w:pPr>
          </w:p>
        </w:tc>
      </w:tr>
      <w:tr>
        <w:trPr>
          <w:trHeight w:val="227"/>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sales</w:t>
            </w: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106,835</w:t>
            </w:r>
          </w:p>
        </w:tc>
        <w:tc>
          <w:tcPr>
            <w:tcW w:w="0" w:type="dxa"/>
            <w:vAlign w:val="bottom"/>
          </w:tcPr>
          <w:p>
            <w:pPr>
              <w:spacing w:after="0"/>
              <w:rPr>
                <w:sz w:val="1"/>
                <w:szCs w:val="1"/>
                <w:color w:val="auto"/>
              </w:rPr>
            </w:pPr>
          </w:p>
        </w:tc>
      </w:tr>
      <w:tr>
        <w:trPr>
          <w:trHeight w:val="221"/>
        </w:trPr>
        <w:tc>
          <w:tcPr>
            <w:tcW w:w="56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segment revenue</w:t>
            </w:r>
          </w:p>
        </w:tc>
        <w:tc>
          <w:tcPr>
            <w:tcW w:w="1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2,475,216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2,637,229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5,112,445</w:t>
            </w:r>
          </w:p>
        </w:tc>
        <w:tc>
          <w:tcPr>
            <w:tcW w:w="0" w:type="dxa"/>
            <w:vAlign w:val="bottom"/>
          </w:tcPr>
          <w:p>
            <w:pPr>
              <w:spacing w:after="0"/>
              <w:rPr>
                <w:sz w:val="1"/>
                <w:szCs w:val="1"/>
                <w:color w:val="auto"/>
              </w:rPr>
            </w:pPr>
          </w:p>
        </w:tc>
      </w:tr>
      <w:tr>
        <w:trPr>
          <w:trHeight w:val="227"/>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cost of gas sold</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1,150,005</w:t>
            </w:r>
          </w:p>
        </w:tc>
        <w:tc>
          <w:tcPr>
            <w:tcW w:w="0" w:type="dxa"/>
            <w:vAlign w:val="bottom"/>
          </w:tcPr>
          <w:p>
            <w:pPr>
              <w:spacing w:after="0"/>
              <w:rPr>
                <w:sz w:val="1"/>
                <w:szCs w:val="1"/>
                <w:color w:val="auto"/>
              </w:rPr>
            </w:pPr>
          </w:p>
        </w:tc>
      </w:tr>
      <w:tr>
        <w:trPr>
          <w:trHeight w:val="227"/>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Operations and maintenance expense</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520,820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536,163</w:t>
            </w:r>
          </w:p>
        </w:tc>
        <w:tc>
          <w:tcPr>
            <w:tcW w:w="0" w:type="dxa"/>
            <w:vAlign w:val="bottom"/>
          </w:tcPr>
          <w:p>
            <w:pPr>
              <w:spacing w:after="0"/>
              <w:rPr>
                <w:sz w:val="1"/>
                <w:szCs w:val="1"/>
                <w:color w:val="auto"/>
              </w:rPr>
            </w:pPr>
          </w:p>
        </w:tc>
      </w:tr>
      <w:tr>
        <w:trPr>
          <w:trHeight w:val="227"/>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Utility infrastructure services expense</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2,415,101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2,415,101</w:t>
            </w:r>
          </w:p>
        </w:tc>
        <w:tc>
          <w:tcPr>
            <w:tcW w:w="0" w:type="dxa"/>
            <w:vAlign w:val="bottom"/>
          </w:tcPr>
          <w:p>
            <w:pPr>
              <w:spacing w:after="0"/>
              <w:rPr>
                <w:sz w:val="1"/>
                <w:szCs w:val="1"/>
                <w:color w:val="auto"/>
              </w:rPr>
            </w:pPr>
          </w:p>
        </w:tc>
      </w:tr>
      <w:tr>
        <w:trPr>
          <w:trHeight w:val="227"/>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segment items (1)</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500,041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225,484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44,355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769,880</w:t>
            </w:r>
          </w:p>
        </w:tc>
        <w:tc>
          <w:tcPr>
            <w:tcW w:w="0" w:type="dxa"/>
            <w:vAlign w:val="bottom"/>
          </w:tcPr>
          <w:p>
            <w:pPr>
              <w:spacing w:after="0"/>
              <w:rPr>
                <w:sz w:val="1"/>
                <w:szCs w:val="1"/>
                <w:color w:val="auto"/>
              </w:rPr>
            </w:pPr>
          </w:p>
        </w:tc>
      </w:tr>
      <w:tr>
        <w:trPr>
          <w:trHeight w:val="221"/>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241,296</w:t>
            </w:r>
          </w:p>
        </w:tc>
        <w:tc>
          <w:tcPr>
            <w:tcW w:w="0" w:type="dxa"/>
            <w:vAlign w:val="bottom"/>
          </w:tcPr>
          <w:p>
            <w:pPr>
              <w:spacing w:after="0"/>
              <w:rPr>
                <w:sz w:val="1"/>
                <w:szCs w:val="1"/>
                <w:color w:val="auto"/>
              </w:rPr>
            </w:pPr>
          </w:p>
        </w:tc>
      </w:tr>
      <w:tr>
        <w:trPr>
          <w:trHeight w:val="227"/>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43,174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36,460</w:t>
            </w:r>
          </w:p>
        </w:tc>
        <w:tc>
          <w:tcPr>
            <w:tcW w:w="0" w:type="dxa"/>
            <w:vAlign w:val="bottom"/>
          </w:tcPr>
          <w:p>
            <w:pPr>
              <w:spacing w:after="0"/>
              <w:rPr>
                <w:sz w:val="1"/>
                <w:szCs w:val="1"/>
                <w:color w:val="auto"/>
              </w:rPr>
            </w:pPr>
          </w:p>
        </w:tc>
      </w:tr>
      <w:tr>
        <w:trPr>
          <w:trHeight w:val="221"/>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204,836</w:t>
            </w:r>
          </w:p>
        </w:tc>
        <w:tc>
          <w:tcPr>
            <w:tcW w:w="0" w:type="dxa"/>
            <w:vAlign w:val="bottom"/>
          </w:tcPr>
          <w:p>
            <w:pPr>
              <w:spacing w:after="0"/>
              <w:rPr>
                <w:sz w:val="1"/>
                <w:szCs w:val="1"/>
                <w:color w:val="auto"/>
              </w:rPr>
            </w:pPr>
          </w:p>
        </w:tc>
      </w:tr>
      <w:tr>
        <w:trPr>
          <w:trHeight w:val="227"/>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6,021</w:t>
            </w:r>
          </w:p>
        </w:tc>
        <w:tc>
          <w:tcPr>
            <w:tcW w:w="0" w:type="dxa"/>
            <w:vAlign w:val="bottom"/>
          </w:tcPr>
          <w:p>
            <w:pPr>
              <w:spacing w:after="0"/>
              <w:rPr>
                <w:sz w:val="1"/>
                <w:szCs w:val="1"/>
                <w:color w:val="auto"/>
              </w:rPr>
            </w:pPr>
          </w:p>
        </w:tc>
      </w:tr>
      <w:tr>
        <w:trPr>
          <w:trHeight w:val="246"/>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Southwest Gas Holdings, Inc.</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198,815</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ind w:left="240" w:hanging="233"/>
        <w:spacing w:after="0"/>
        <w:tabs>
          <w:tab w:leader="none" w:pos="2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segment items for each reportable segment includes:</w:t>
      </w:r>
    </w:p>
    <w:p>
      <w:pPr>
        <w:spacing w:after="0" w:line="29" w:lineRule="exact"/>
        <w:rPr>
          <w:rFonts w:ascii="Times New Roman" w:cs="Times New Roman" w:eastAsia="Times New Roman" w:hAnsi="Times New Roman"/>
          <w:sz w:val="16"/>
          <w:szCs w:val="16"/>
          <w:color w:val="auto"/>
        </w:rPr>
      </w:pPr>
    </w:p>
    <w:p>
      <w:pPr>
        <w:ind w:left="800" w:hanging="151"/>
        <w:spacing w:after="0"/>
        <w:tabs>
          <w:tab w:leader="none" w:pos="800"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Natural Gas Distribution: Depreciation and amortization, Taxes other than income taxes, Net interest deductions, and Other income (deductions).</w:t>
      </w:r>
    </w:p>
    <w:p>
      <w:pPr>
        <w:spacing w:after="0" w:line="29" w:lineRule="exact"/>
        <w:rPr>
          <w:rFonts w:ascii="Times New Roman" w:cs="Times New Roman" w:eastAsia="Times New Roman" w:hAnsi="Times New Roman"/>
          <w:sz w:val="16"/>
          <w:szCs w:val="16"/>
          <w:color w:val="auto"/>
        </w:rPr>
      </w:pPr>
    </w:p>
    <w:p>
      <w:pPr>
        <w:ind w:left="800" w:hanging="151"/>
        <w:spacing w:after="0"/>
        <w:tabs>
          <w:tab w:leader="none" w:pos="800"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Utility Infrastructure Services: Depreciation and amortization, Net interest deductions, and Other income (deductions).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Other segment disclosures</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5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Natural Gas</w:t>
            </w:r>
          </w:p>
        </w:tc>
        <w:tc>
          <w:tcPr>
            <w:tcW w:w="140" w:type="dxa"/>
            <w:vAlign w:val="bottom"/>
          </w:tcPr>
          <w:p>
            <w:pPr>
              <w:spacing w:after="0"/>
              <w:rPr>
                <w:sz w:val="14"/>
                <w:szCs w:val="14"/>
                <w:color w:val="auto"/>
              </w:rPr>
            </w:pPr>
          </w:p>
        </w:tc>
        <w:tc>
          <w:tcPr>
            <w:tcW w:w="1300" w:type="dxa"/>
            <w:vAlign w:val="bottom"/>
            <w:gridSpan w:val="2"/>
          </w:tcPr>
          <w:p>
            <w:pPr>
              <w:jc w:val="center"/>
              <w:ind w:right="240"/>
              <w:spacing w:after="0" w:line="167" w:lineRule="exact"/>
              <w:rPr>
                <w:sz w:val="20"/>
                <w:szCs w:val="20"/>
                <w:color w:val="auto"/>
              </w:rPr>
            </w:pPr>
            <w:r>
              <w:rPr>
                <w:rFonts w:ascii="Times New Roman" w:cs="Times New Roman" w:eastAsia="Times New Roman" w:hAnsi="Times New Roman"/>
                <w:sz w:val="18"/>
                <w:szCs w:val="18"/>
                <w:color w:val="auto"/>
                <w:w w:val="97"/>
              </w:rPr>
              <w:t>Utility</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40"/>
              <w:spacing w:after="0" w:line="174" w:lineRule="exact"/>
              <w:rPr>
                <w:sz w:val="20"/>
                <w:szCs w:val="20"/>
                <w:color w:val="auto"/>
              </w:rPr>
            </w:pPr>
            <w:r>
              <w:rPr>
                <w:rFonts w:ascii="Times New Roman" w:cs="Times New Roman" w:eastAsia="Times New Roman" w:hAnsi="Times New Roman"/>
                <w:sz w:val="18"/>
                <w:szCs w:val="18"/>
                <w:color w:val="auto"/>
                <w:w w:val="99"/>
              </w:rPr>
              <w:t>Infrastructure</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6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Distribution</w:t>
            </w:r>
          </w:p>
        </w:tc>
        <w:tc>
          <w:tcPr>
            <w:tcW w:w="140" w:type="dxa"/>
            <w:vAlign w:val="bottom"/>
          </w:tcPr>
          <w:p>
            <w:pPr>
              <w:spacing w:after="0"/>
              <w:rPr>
                <w:sz w:val="20"/>
                <w:szCs w:val="20"/>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Services</w:t>
            </w:r>
          </w:p>
        </w:tc>
        <w:tc>
          <w:tcPr>
            <w:tcW w:w="280" w:type="dxa"/>
            <w:vAlign w:val="bottom"/>
          </w:tcPr>
          <w:p>
            <w:pPr>
              <w:spacing w:after="0"/>
              <w:rPr>
                <w:sz w:val="20"/>
                <w:szCs w:val="20"/>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0"/>
                <w:szCs w:val="20"/>
                <w:color w:val="auto"/>
              </w:rPr>
            </w:pPr>
          </w:p>
        </w:tc>
        <w:tc>
          <w:tcPr>
            <w:tcW w:w="106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46"/>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33,581</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60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162,257</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90,515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44,271</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1"/>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297,043</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303,095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135,345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438,440</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60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9,533,955</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2,476,134</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13,747</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1"/>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12,023,836</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846,590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99,333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945,923</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2"/>
        </w:trPr>
        <w:tc>
          <w:tcPr>
            <w:tcW w:w="4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center"/>
              <w:ind w:left="671"/>
              <w:spacing w:after="0"/>
              <w:rPr>
                <w:sz w:val="20"/>
                <w:szCs w:val="20"/>
                <w:color w:val="auto"/>
              </w:rPr>
            </w:pPr>
            <w:r>
              <w:rPr>
                <w:rFonts w:ascii="Times New Roman" w:cs="Times New Roman" w:eastAsia="Times New Roman" w:hAnsi="Times New Roman"/>
                <w:sz w:val="18"/>
                <w:szCs w:val="18"/>
                <w:color w:val="auto"/>
                <w:w w:val="98"/>
              </w:rPr>
              <w:t>Year Ended December 31, 2023</w:t>
            </w: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Natural Gas</w:t>
            </w:r>
          </w:p>
        </w:tc>
        <w:tc>
          <w:tcPr>
            <w:tcW w:w="140" w:type="dxa"/>
            <w:vAlign w:val="bottom"/>
          </w:tcPr>
          <w:p>
            <w:pPr>
              <w:spacing w:after="0"/>
              <w:rPr>
                <w:sz w:val="15"/>
                <w:szCs w:val="15"/>
                <w:color w:val="auto"/>
              </w:rPr>
            </w:pPr>
          </w:p>
        </w:tc>
        <w:tc>
          <w:tcPr>
            <w:tcW w:w="128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w w:val="97"/>
              </w:rPr>
              <w:t>Utility</w:t>
            </w:r>
          </w:p>
        </w:tc>
        <w:tc>
          <w:tcPr>
            <w:tcW w:w="180" w:type="dxa"/>
            <w:vAlign w:val="bottom"/>
          </w:tcPr>
          <w:p>
            <w:pPr>
              <w:spacing w:after="0"/>
              <w:rPr>
                <w:sz w:val="15"/>
                <w:szCs w:val="15"/>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color w:val="auto"/>
              </w:rPr>
              <w:t>Pipeline and</w:t>
            </w: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8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220"/>
              <w:spacing w:after="0" w:line="179" w:lineRule="exact"/>
              <w:rPr>
                <w:sz w:val="20"/>
                <w:szCs w:val="20"/>
                <w:color w:val="auto"/>
              </w:rPr>
            </w:pPr>
            <w:r>
              <w:rPr>
                <w:rFonts w:ascii="Times New Roman" w:cs="Times New Roman" w:eastAsia="Times New Roman" w:hAnsi="Times New Roman"/>
                <w:sz w:val="18"/>
                <w:szCs w:val="18"/>
                <w:color w:val="auto"/>
                <w:w w:val="99"/>
              </w:rPr>
              <w:t>Infrastructure</w:t>
            </w:r>
          </w:p>
        </w:tc>
        <w:tc>
          <w:tcPr>
            <w:tcW w:w="1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5"/>
                <w:szCs w:val="15"/>
                <w:color w:val="auto"/>
              </w:rPr>
            </w:pPr>
          </w:p>
        </w:tc>
        <w:tc>
          <w:tcPr>
            <w:tcW w:w="1020" w:type="dxa"/>
            <w:vAlign w:val="bottom"/>
            <w:vMerge w:val="restart"/>
          </w:tcPr>
          <w:p>
            <w:pPr>
              <w:jc w:val="right"/>
              <w:ind w:right="391"/>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7"/>
        </w:trPr>
        <w:tc>
          <w:tcPr>
            <w:tcW w:w="40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Distribution</w:t>
            </w:r>
          </w:p>
        </w:tc>
        <w:tc>
          <w:tcPr>
            <w:tcW w:w="140" w:type="dxa"/>
            <w:vAlign w:val="bottom"/>
          </w:tcPr>
          <w:p>
            <w:pPr>
              <w:spacing w:after="0"/>
              <w:rPr>
                <w:sz w:val="19"/>
                <w:szCs w:val="19"/>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Services</w:t>
            </w:r>
          </w:p>
        </w:tc>
        <w:tc>
          <w:tcPr>
            <w:tcW w:w="180" w:type="dxa"/>
            <w:vAlign w:val="bottom"/>
          </w:tcPr>
          <w:p>
            <w:pPr>
              <w:spacing w:after="0"/>
              <w:rPr>
                <w:sz w:val="19"/>
                <w:szCs w:val="19"/>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6"/>
              </w:rPr>
              <w:t>Storage (2)</w:t>
            </w:r>
          </w:p>
        </w:tc>
        <w:tc>
          <w:tcPr>
            <w:tcW w:w="4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2,499,564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2,782,845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35,132</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5,317,541</w:t>
            </w:r>
          </w:p>
        </w:tc>
        <w:tc>
          <w:tcPr>
            <w:tcW w:w="0" w:type="dxa"/>
            <w:vAlign w:val="bottom"/>
          </w:tcPr>
          <w:p>
            <w:pPr>
              <w:spacing w:after="0"/>
              <w:rPr>
                <w:sz w:val="1"/>
                <w:szCs w:val="1"/>
                <w:color w:val="auto"/>
              </w:rPr>
            </w:pPr>
          </w:p>
        </w:tc>
      </w:tr>
      <w:tr>
        <w:trPr>
          <w:trHeight w:val="227"/>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sales</w:t>
            </w: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116,431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116,431</w:t>
            </w:r>
          </w:p>
        </w:tc>
        <w:tc>
          <w:tcPr>
            <w:tcW w:w="0" w:type="dxa"/>
            <w:vAlign w:val="bottom"/>
          </w:tcPr>
          <w:p>
            <w:pPr>
              <w:spacing w:after="0"/>
              <w:rPr>
                <w:sz w:val="1"/>
                <w:szCs w:val="1"/>
                <w:color w:val="auto"/>
              </w:rPr>
            </w:pPr>
          </w:p>
        </w:tc>
      </w:tr>
      <w:tr>
        <w:trPr>
          <w:trHeight w:val="221"/>
        </w:trPr>
        <w:tc>
          <w:tcPr>
            <w:tcW w:w="40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segment revenue</w:t>
            </w:r>
          </w:p>
        </w:tc>
        <w:tc>
          <w:tcPr>
            <w:tcW w:w="1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2,499,564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2,899,276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35,132</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5,433,972</w:t>
            </w:r>
          </w:p>
        </w:tc>
        <w:tc>
          <w:tcPr>
            <w:tcW w:w="0" w:type="dxa"/>
            <w:vAlign w:val="bottom"/>
          </w:tcPr>
          <w:p>
            <w:pPr>
              <w:spacing w:after="0"/>
              <w:rPr>
                <w:sz w:val="1"/>
                <w:szCs w:val="1"/>
                <w:color w:val="auto"/>
              </w:rPr>
            </w:pPr>
          </w:p>
        </w:tc>
      </w:tr>
      <w:tr>
        <w:trPr>
          <w:trHeight w:val="227"/>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cost of gas sold</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1,246,901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1,253,269</w:t>
            </w:r>
          </w:p>
        </w:tc>
        <w:tc>
          <w:tcPr>
            <w:tcW w:w="0" w:type="dxa"/>
            <w:vAlign w:val="bottom"/>
          </w:tcPr>
          <w:p>
            <w:pPr>
              <w:spacing w:after="0"/>
              <w:rPr>
                <w:sz w:val="1"/>
                <w:szCs w:val="1"/>
                <w:color w:val="auto"/>
              </w:rPr>
            </w:pPr>
          </w:p>
        </w:tc>
      </w:tr>
      <w:tr>
        <w:trPr>
          <w:trHeight w:val="227"/>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Operations and maintenance expense</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511,646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544,082</w:t>
            </w:r>
          </w:p>
        </w:tc>
        <w:tc>
          <w:tcPr>
            <w:tcW w:w="0" w:type="dxa"/>
            <w:vAlign w:val="bottom"/>
          </w:tcPr>
          <w:p>
            <w:pPr>
              <w:spacing w:after="0"/>
              <w:rPr>
                <w:sz w:val="1"/>
                <w:szCs w:val="1"/>
                <w:color w:val="auto"/>
              </w:rPr>
            </w:pPr>
          </w:p>
        </w:tc>
      </w:tr>
      <w:tr>
        <w:trPr>
          <w:trHeight w:val="227"/>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Utility infrastructure services expense</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2,617,402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2,617,402</w:t>
            </w:r>
          </w:p>
        </w:tc>
        <w:tc>
          <w:tcPr>
            <w:tcW w:w="0" w:type="dxa"/>
            <w:vAlign w:val="bottom"/>
          </w:tcPr>
          <w:p>
            <w:pPr>
              <w:spacing w:after="0"/>
              <w:rPr>
                <w:sz w:val="1"/>
                <w:szCs w:val="1"/>
                <w:color w:val="auto"/>
              </w:rPr>
            </w:pPr>
          </w:p>
        </w:tc>
      </w:tr>
      <w:tr>
        <w:trPr>
          <w:trHeight w:val="227"/>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segment items (1)</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461,892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242,858</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24,419</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92,701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821,870</w:t>
            </w:r>
          </w:p>
        </w:tc>
        <w:tc>
          <w:tcPr>
            <w:tcW w:w="0" w:type="dxa"/>
            <w:vAlign w:val="bottom"/>
          </w:tcPr>
          <w:p>
            <w:pPr>
              <w:spacing w:after="0"/>
              <w:rPr>
                <w:sz w:val="1"/>
                <w:szCs w:val="1"/>
                <w:color w:val="auto"/>
              </w:rPr>
            </w:pPr>
          </w:p>
        </w:tc>
      </w:tr>
      <w:tr>
        <w:trPr>
          <w:trHeight w:val="221"/>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(113,759)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197,349</w:t>
            </w:r>
          </w:p>
        </w:tc>
        <w:tc>
          <w:tcPr>
            <w:tcW w:w="0" w:type="dxa"/>
            <w:vAlign w:val="bottom"/>
          </w:tcPr>
          <w:p>
            <w:pPr>
              <w:spacing w:after="0"/>
              <w:rPr>
                <w:sz w:val="1"/>
                <w:szCs w:val="1"/>
                <w:color w:val="auto"/>
              </w:rPr>
            </w:pPr>
          </w:p>
        </w:tc>
      </w:tr>
      <w:tr>
        <w:trPr>
          <w:trHeight w:val="227"/>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36,899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14,736</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9,255</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41,832</w:t>
            </w:r>
          </w:p>
        </w:tc>
        <w:tc>
          <w:tcPr>
            <w:tcW w:w="0" w:type="dxa"/>
            <w:vAlign w:val="bottom"/>
          </w:tcPr>
          <w:p>
            <w:pPr>
              <w:spacing w:after="0"/>
              <w:rPr>
                <w:sz w:val="1"/>
                <w:szCs w:val="1"/>
                <w:color w:val="auto"/>
              </w:rPr>
            </w:pPr>
          </w:p>
        </w:tc>
      </w:tr>
      <w:tr>
        <w:trPr>
          <w:trHeight w:val="221"/>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155,517</w:t>
            </w:r>
          </w:p>
        </w:tc>
        <w:tc>
          <w:tcPr>
            <w:tcW w:w="0" w:type="dxa"/>
            <w:vAlign w:val="bottom"/>
          </w:tcPr>
          <w:p>
            <w:pPr>
              <w:spacing w:after="0"/>
              <w:rPr>
                <w:sz w:val="1"/>
                <w:szCs w:val="1"/>
                <w:color w:val="auto"/>
              </w:rPr>
            </w:pPr>
          </w:p>
        </w:tc>
      </w:tr>
      <w:tr>
        <w:trPr>
          <w:trHeight w:val="227"/>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0" w:type="dxa"/>
            <w:vAlign w:val="bottom"/>
          </w:tcPr>
          <w:p>
            <w:pPr>
              <w:spacing w:after="0"/>
              <w:rPr>
                <w:sz w:val="1"/>
                <w:szCs w:val="1"/>
                <w:color w:val="auto"/>
              </w:rPr>
            </w:pPr>
          </w:p>
        </w:tc>
      </w:tr>
      <w:tr>
        <w:trPr>
          <w:trHeight w:val="162"/>
        </w:trPr>
        <w:tc>
          <w:tcPr>
            <w:tcW w:w="4080" w:type="dxa"/>
            <w:vAlign w:val="bottom"/>
            <w:tcBorders>
              <w:top w:val="single" w:sz="8" w:color="CCEEFF"/>
            </w:tcBorders>
            <w:shd w:val="clear" w:color="auto" w:fill="CCEEFF"/>
          </w:tcPr>
          <w:p>
            <w:pPr>
              <w:ind w:left="20"/>
              <w:spacing w:after="0" w:line="163" w:lineRule="exact"/>
              <w:rPr>
                <w:sz w:val="20"/>
                <w:szCs w:val="20"/>
                <w:color w:val="auto"/>
              </w:rPr>
            </w:pPr>
            <w:r>
              <w:rPr>
                <w:rFonts w:ascii="Times New Roman" w:cs="Times New Roman" w:eastAsia="Times New Roman" w:hAnsi="Times New Roman"/>
                <w:sz w:val="18"/>
                <w:szCs w:val="18"/>
                <w:color w:val="auto"/>
              </w:rPr>
              <w:t>Net income (loss) attributable to Southwest Gas</w:t>
            </w: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242,226</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19,652</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(16,288)</w:t>
            </w:r>
          </w:p>
        </w:tc>
        <w:tc>
          <w:tcPr>
            <w:tcW w:w="8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vMerge w:val="restart"/>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(94,701)</w:t>
            </w:r>
          </w:p>
        </w:tc>
        <w:tc>
          <w:tcPr>
            <w:tcW w:w="1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vMerge w:val="restart"/>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150,889</w:t>
            </w:r>
          </w:p>
        </w:tc>
        <w:tc>
          <w:tcPr>
            <w:tcW w:w="0" w:type="dxa"/>
            <w:vAlign w:val="bottom"/>
          </w:tcPr>
          <w:p>
            <w:pPr>
              <w:spacing w:after="0"/>
              <w:rPr>
                <w:sz w:val="1"/>
                <w:szCs w:val="1"/>
                <w:color w:val="auto"/>
              </w:rPr>
            </w:pPr>
          </w:p>
        </w:tc>
      </w:tr>
      <w:tr>
        <w:trPr>
          <w:trHeight w:val="126"/>
        </w:trPr>
        <w:tc>
          <w:tcPr>
            <w:tcW w:w="4080" w:type="dxa"/>
            <w:vAlign w:val="bottom"/>
            <w:vMerge w:val="restart"/>
            <w:shd w:val="clear" w:color="auto" w:fill="CCEEFF"/>
          </w:tcPr>
          <w:p>
            <w:pPr>
              <w:ind w:left="20"/>
              <w:spacing w:after="0" w:line="206" w:lineRule="exact"/>
              <w:rPr>
                <w:sz w:val="20"/>
                <w:szCs w:val="20"/>
                <w:color w:val="auto"/>
              </w:rPr>
            </w:pPr>
            <w:r>
              <w:rPr>
                <w:rFonts w:ascii="Times New Roman" w:cs="Times New Roman" w:eastAsia="Times New Roman" w:hAnsi="Times New Roman"/>
                <w:sz w:val="18"/>
                <w:szCs w:val="18"/>
                <w:color w:val="auto"/>
              </w:rPr>
              <w:t>Holdings, Inc.</w:t>
            </w:r>
          </w:p>
        </w:tc>
        <w:tc>
          <w:tcPr>
            <w:tcW w:w="180" w:type="dxa"/>
            <w:vAlign w:val="bottom"/>
            <w:vMerge w:val="continue"/>
            <w:shd w:val="clear" w:color="auto" w:fill="CCEEFF"/>
          </w:tcPr>
          <w:p>
            <w:pPr>
              <w:spacing w:after="0"/>
              <w:rPr>
                <w:sz w:val="10"/>
                <w:szCs w:val="10"/>
                <w:color w:val="auto"/>
              </w:rPr>
            </w:pPr>
          </w:p>
        </w:tc>
        <w:tc>
          <w:tcPr>
            <w:tcW w:w="116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vMerge w:val="continue"/>
            <w:shd w:val="clear" w:color="auto" w:fill="CCEEFF"/>
          </w:tcPr>
          <w:p>
            <w:pPr>
              <w:spacing w:after="0"/>
              <w:rPr>
                <w:sz w:val="10"/>
                <w:szCs w:val="10"/>
                <w:color w:val="auto"/>
              </w:rPr>
            </w:pPr>
          </w:p>
        </w:tc>
        <w:tc>
          <w:tcPr>
            <w:tcW w:w="12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vMerge w:val="continue"/>
            <w:shd w:val="clear" w:color="auto" w:fill="CCEEFF"/>
          </w:tcPr>
          <w:p>
            <w:pPr>
              <w:spacing w:after="0"/>
              <w:rPr>
                <w:sz w:val="10"/>
                <w:szCs w:val="10"/>
                <w:color w:val="auto"/>
              </w:rPr>
            </w:pPr>
          </w:p>
        </w:tc>
        <w:tc>
          <w:tcPr>
            <w:tcW w:w="11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vMerge w:val="continue"/>
            <w:shd w:val="clear" w:color="auto" w:fill="CCEEFF"/>
          </w:tcPr>
          <w:p>
            <w:pPr>
              <w:spacing w:after="0"/>
              <w:rPr>
                <w:sz w:val="10"/>
                <w:szCs w:val="10"/>
                <w:color w:val="auto"/>
              </w:rPr>
            </w:pPr>
          </w:p>
        </w:tc>
        <w:tc>
          <w:tcPr>
            <w:tcW w:w="90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vMerge w:val="continue"/>
            <w:shd w:val="clear" w:color="auto" w:fill="CCEEFF"/>
          </w:tcPr>
          <w:p>
            <w:pPr>
              <w:spacing w:after="0"/>
              <w:rPr>
                <w:sz w:val="10"/>
                <w:szCs w:val="10"/>
                <w:color w:val="auto"/>
              </w:rPr>
            </w:pPr>
          </w:p>
        </w:tc>
        <w:tc>
          <w:tcPr>
            <w:tcW w:w="10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4080" w:type="dxa"/>
            <w:vAlign w:val="bottom"/>
            <w:tcBorders>
              <w:bottom w:val="single" w:sz="8" w:color="CCEEFF"/>
            </w:tcBorders>
            <w:vMerge w:val="continue"/>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116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1200" w:type="dxa"/>
            <w:vAlign w:val="bottom"/>
            <w:tcBorders>
              <w:bottom w:val="single" w:sz="8" w:color="auto"/>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1160" w:type="dxa"/>
            <w:vAlign w:val="bottom"/>
            <w:tcBorders>
              <w:bottom w:val="single" w:sz="8" w:color="auto"/>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420" w:type="dxa"/>
            <w:vAlign w:val="bottom"/>
            <w:tcBorders>
              <w:bottom w:val="single" w:sz="8" w:color="auto"/>
            </w:tcBorders>
            <w:shd w:val="clear" w:color="auto" w:fill="CCEEFF"/>
          </w:tcPr>
          <w:p>
            <w:pPr>
              <w:spacing w:after="0"/>
              <w:rPr>
                <w:sz w:val="8"/>
                <w:szCs w:val="8"/>
                <w:color w:val="auto"/>
              </w:rPr>
            </w:pPr>
          </w:p>
        </w:tc>
        <w:tc>
          <w:tcPr>
            <w:tcW w:w="900" w:type="dxa"/>
            <w:vAlign w:val="bottom"/>
            <w:tcBorders>
              <w:bottom w:val="single" w:sz="8" w:color="auto"/>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300" w:type="dxa"/>
            <w:vAlign w:val="bottom"/>
            <w:tcBorders>
              <w:bottom w:val="single" w:sz="8" w:color="auto"/>
            </w:tcBorders>
            <w:shd w:val="clear" w:color="auto" w:fill="CCEEFF"/>
          </w:tcPr>
          <w:p>
            <w:pPr>
              <w:spacing w:after="0"/>
              <w:rPr>
                <w:sz w:val="8"/>
                <w:szCs w:val="8"/>
                <w:color w:val="auto"/>
              </w:rPr>
            </w:pPr>
          </w:p>
        </w:tc>
        <w:tc>
          <w:tcPr>
            <w:tcW w:w="102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ind w:left="240" w:hanging="233"/>
        <w:spacing w:after="0"/>
        <w:tabs>
          <w:tab w:leader="none" w:pos="2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segment items for each reportable segment includes:</w:t>
      </w:r>
    </w:p>
    <w:p>
      <w:pPr>
        <w:spacing w:after="0" w:line="29" w:lineRule="exact"/>
        <w:rPr>
          <w:rFonts w:ascii="Times New Roman" w:cs="Times New Roman" w:eastAsia="Times New Roman" w:hAnsi="Times New Roman"/>
          <w:sz w:val="16"/>
          <w:szCs w:val="16"/>
          <w:color w:val="auto"/>
        </w:rPr>
      </w:pPr>
    </w:p>
    <w:p>
      <w:pPr>
        <w:ind w:left="800" w:hanging="151"/>
        <w:spacing w:after="0"/>
        <w:tabs>
          <w:tab w:leader="none" w:pos="800"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Natural Gas Distribution: Depreciation and amortization, Taxes other than income taxes, Net interest deductions, and Other income (deductions).</w:t>
      </w:r>
    </w:p>
    <w:p>
      <w:pPr>
        <w:spacing w:after="0" w:line="29" w:lineRule="exact"/>
        <w:rPr>
          <w:rFonts w:ascii="Times New Roman" w:cs="Times New Roman" w:eastAsia="Times New Roman" w:hAnsi="Times New Roman"/>
          <w:sz w:val="16"/>
          <w:szCs w:val="16"/>
          <w:color w:val="auto"/>
        </w:rPr>
      </w:pPr>
    </w:p>
    <w:p>
      <w:pPr>
        <w:ind w:left="800" w:hanging="151"/>
        <w:spacing w:after="0"/>
        <w:tabs>
          <w:tab w:leader="none" w:pos="800"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Utility Infrastructure Services: Depreciation and amortization, Net interest deductions, and Other income (deductions).</w:t>
      </w:r>
    </w:p>
    <w:p>
      <w:pPr>
        <w:spacing w:after="0" w:line="25" w:lineRule="exact"/>
        <w:rPr>
          <w:rFonts w:ascii="Times New Roman" w:cs="Times New Roman" w:eastAsia="Times New Roman" w:hAnsi="Times New Roman"/>
          <w:sz w:val="16"/>
          <w:szCs w:val="16"/>
          <w:color w:val="auto"/>
        </w:rPr>
      </w:pPr>
    </w:p>
    <w:p>
      <w:pPr>
        <w:ind w:left="800" w:hanging="151"/>
        <w:spacing w:after="0"/>
        <w:tabs>
          <w:tab w:leader="none" w:pos="800"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Pipeline and Storage: Taxes other than income taxes, Goodwill impairment and loss on sale, Net interest deductions, and Other income (deductions).</w:t>
      </w:r>
    </w:p>
    <w:p>
      <w:pPr>
        <w:spacing w:after="0" w:line="21" w:lineRule="exact"/>
        <w:rPr>
          <w:rFonts w:ascii="Times New Roman" w:cs="Times New Roman" w:eastAsia="Times New Roman" w:hAnsi="Times New Roman"/>
          <w:sz w:val="16"/>
          <w:szCs w:val="16"/>
          <w:color w:val="auto"/>
        </w:rPr>
      </w:pPr>
    </w:p>
    <w:p>
      <w:pPr>
        <w:ind w:firstLine="7"/>
        <w:spacing w:after="0" w:line="294" w:lineRule="auto"/>
        <w:tabs>
          <w:tab w:leader="none" w:pos="232"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for the year ended December 31, 2023 presented for MountainWest reflects activity from January 1, 2023 through February 13, 2023 (the last full day of its ownership by the Company).</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Other segment disclosures</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center"/>
              <w:ind w:left="671"/>
              <w:spacing w:after="0"/>
              <w:rPr>
                <w:sz w:val="20"/>
                <w:szCs w:val="20"/>
                <w:color w:val="auto"/>
              </w:rPr>
            </w:pPr>
            <w:r>
              <w:rPr>
                <w:rFonts w:ascii="Times New Roman" w:cs="Times New Roman" w:eastAsia="Times New Roman" w:hAnsi="Times New Roman"/>
                <w:sz w:val="18"/>
                <w:szCs w:val="18"/>
                <w:color w:val="auto"/>
                <w:w w:val="98"/>
              </w:rPr>
              <w:t>Year Ended December 31, 2023</w:t>
            </w: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4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Natural Gas</w:t>
            </w:r>
          </w:p>
        </w:tc>
        <w:tc>
          <w:tcPr>
            <w:tcW w:w="140" w:type="dxa"/>
            <w:vAlign w:val="bottom"/>
          </w:tcPr>
          <w:p>
            <w:pPr>
              <w:spacing w:after="0"/>
              <w:rPr>
                <w:sz w:val="14"/>
                <w:szCs w:val="14"/>
                <w:color w:val="auto"/>
              </w:rPr>
            </w:pPr>
          </w:p>
        </w:tc>
        <w:tc>
          <w:tcPr>
            <w:tcW w:w="1280" w:type="dxa"/>
            <w:vAlign w:val="bottom"/>
            <w:gridSpan w:val="2"/>
          </w:tcPr>
          <w:p>
            <w:pPr>
              <w:jc w:val="center"/>
              <w:ind w:right="240"/>
              <w:spacing w:after="0" w:line="167" w:lineRule="exact"/>
              <w:rPr>
                <w:sz w:val="20"/>
                <w:szCs w:val="20"/>
                <w:color w:val="auto"/>
              </w:rPr>
            </w:pPr>
            <w:r>
              <w:rPr>
                <w:rFonts w:ascii="Times New Roman" w:cs="Times New Roman" w:eastAsia="Times New Roman" w:hAnsi="Times New Roman"/>
                <w:sz w:val="18"/>
                <w:szCs w:val="18"/>
                <w:color w:val="auto"/>
              </w:rPr>
              <w:t>Utility</w:t>
            </w:r>
          </w:p>
        </w:tc>
        <w:tc>
          <w:tcPr>
            <w:tcW w:w="160" w:type="dxa"/>
            <w:vAlign w:val="bottom"/>
          </w:tcPr>
          <w:p>
            <w:pPr>
              <w:spacing w:after="0"/>
              <w:rPr>
                <w:sz w:val="14"/>
                <w:szCs w:val="14"/>
                <w:color w:val="auto"/>
              </w:rPr>
            </w:pPr>
          </w:p>
        </w:tc>
        <w:tc>
          <w:tcPr>
            <w:tcW w:w="12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color w:val="auto"/>
                <w:w w:val="98"/>
              </w:rPr>
              <w:t>Pipeline and</w:t>
            </w: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240"/>
              <w:spacing w:after="0" w:line="174" w:lineRule="exact"/>
              <w:rPr>
                <w:sz w:val="20"/>
                <w:szCs w:val="20"/>
                <w:color w:val="auto"/>
              </w:rPr>
            </w:pPr>
            <w:r>
              <w:rPr>
                <w:rFonts w:ascii="Times New Roman" w:cs="Times New Roman" w:eastAsia="Times New Roman" w:hAnsi="Times New Roman"/>
                <w:sz w:val="18"/>
                <w:szCs w:val="18"/>
                <w:color w:val="auto"/>
                <w:w w:val="97"/>
              </w:rPr>
              <w:t>Infrastructure</w:t>
            </w:r>
          </w:p>
        </w:tc>
        <w:tc>
          <w:tcPr>
            <w:tcW w:w="1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6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Distribution</w:t>
            </w:r>
          </w:p>
        </w:tc>
        <w:tc>
          <w:tcPr>
            <w:tcW w:w="140" w:type="dxa"/>
            <w:vAlign w:val="bottom"/>
          </w:tcPr>
          <w:p>
            <w:pPr>
              <w:spacing w:after="0"/>
              <w:rPr>
                <w:sz w:val="20"/>
                <w:szCs w:val="20"/>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Services</w:t>
            </w:r>
          </w:p>
        </w:tc>
        <w:tc>
          <w:tcPr>
            <w:tcW w:w="160" w:type="dxa"/>
            <w:vAlign w:val="bottom"/>
          </w:tcPr>
          <w:p>
            <w:pPr>
              <w:spacing w:after="0"/>
              <w:rPr>
                <w:sz w:val="20"/>
                <w:szCs w:val="20"/>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Storage (1)</w:t>
            </w:r>
          </w:p>
        </w:tc>
        <w:tc>
          <w:tcPr>
            <w:tcW w:w="420" w:type="dxa"/>
            <w:vAlign w:val="bottom"/>
          </w:tcPr>
          <w:p>
            <w:pPr>
              <w:spacing w:after="0"/>
              <w:rPr>
                <w:sz w:val="20"/>
                <w:szCs w:val="20"/>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0"/>
                <w:szCs w:val="20"/>
                <w:color w:val="auto"/>
              </w:rPr>
            </w:pPr>
          </w:p>
        </w:tc>
        <w:tc>
          <w:tcPr>
            <w:tcW w:w="104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46"/>
        </w:trPr>
        <w:tc>
          <w:tcPr>
            <w:tcW w:w="4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50,757</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10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149,830</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97,476</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2,200</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3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42,780</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292,286</w:t>
            </w:r>
          </w:p>
        </w:tc>
        <w:tc>
          <w:tcPr>
            <w:tcW w:w="0" w:type="dxa"/>
            <w:vAlign w:val="bottom"/>
          </w:tcPr>
          <w:p>
            <w:pPr>
              <w:spacing w:after="0"/>
              <w:rPr>
                <w:sz w:val="1"/>
                <w:szCs w:val="1"/>
                <w:color w:val="auto"/>
              </w:rPr>
            </w:pP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295,462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145,446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440,908</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Goodwill impairment and loss on sale</w:t>
            </w: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100" w:type="dxa"/>
            <w:vAlign w:val="bottom"/>
            <w:tcBorders>
              <w:top w:val="single" w:sz="8" w:color="CCEEFF"/>
            </w:tcBorders>
            <w:vMerge w:val="continue"/>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21,215</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3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50,015</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71,230</w:t>
            </w:r>
          </w:p>
        </w:tc>
        <w:tc>
          <w:tcPr>
            <w:tcW w:w="0" w:type="dxa"/>
            <w:vAlign w:val="bottom"/>
          </w:tcPr>
          <w:p>
            <w:pPr>
              <w:spacing w:after="0"/>
              <w:rPr>
                <w:sz w:val="1"/>
                <w:szCs w:val="1"/>
                <w:color w:val="auto"/>
              </w:rPr>
            </w:pP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9,268,571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2,592,590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11,869,896</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100" w:type="dxa"/>
            <w:vAlign w:val="bottom"/>
            <w:tcBorders>
              <w:top w:val="single" w:sz="8" w:color="CCEEFF"/>
            </w:tcBorders>
            <w:vMerge w:val="continue"/>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762,081</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106,650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3,790</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3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872,521</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firstLine="7"/>
        <w:spacing w:after="0" w:line="276" w:lineRule="auto"/>
        <w:tabs>
          <w:tab w:leader="none" w:pos="232"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for the year ended December 31, 2023 presented for MountainWest reflects activity from January 1, 2023 through February 13, 2023 (the last full day of its ownership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32"/>
        </w:trPr>
        <w:tc>
          <w:tcPr>
            <w:tcW w:w="4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center"/>
              <w:ind w:left="671"/>
              <w:spacing w:after="0"/>
              <w:rPr>
                <w:sz w:val="20"/>
                <w:szCs w:val="20"/>
                <w:color w:val="auto"/>
              </w:rPr>
            </w:pPr>
            <w:r>
              <w:rPr>
                <w:rFonts w:ascii="Times New Roman" w:cs="Times New Roman" w:eastAsia="Times New Roman" w:hAnsi="Times New Roman"/>
                <w:sz w:val="18"/>
                <w:szCs w:val="18"/>
                <w:color w:val="auto"/>
                <w:w w:val="98"/>
              </w:rPr>
              <w:t>Year Ended December 31, 2022</w:t>
            </w: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Natural Gas</w:t>
            </w:r>
          </w:p>
        </w:tc>
        <w:tc>
          <w:tcPr>
            <w:tcW w:w="140" w:type="dxa"/>
            <w:vAlign w:val="bottom"/>
          </w:tcPr>
          <w:p>
            <w:pPr>
              <w:spacing w:after="0"/>
              <w:rPr>
                <w:sz w:val="15"/>
                <w:szCs w:val="15"/>
                <w:color w:val="auto"/>
              </w:rPr>
            </w:pPr>
          </w:p>
        </w:tc>
        <w:tc>
          <w:tcPr>
            <w:tcW w:w="128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w w:val="97"/>
              </w:rPr>
              <w:t>Utility</w:t>
            </w:r>
          </w:p>
        </w:tc>
        <w:tc>
          <w:tcPr>
            <w:tcW w:w="180" w:type="dxa"/>
            <w:vAlign w:val="bottom"/>
          </w:tcPr>
          <w:p>
            <w:pPr>
              <w:spacing w:after="0"/>
              <w:rPr>
                <w:sz w:val="15"/>
                <w:szCs w:val="15"/>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color w:val="auto"/>
              </w:rPr>
              <w:t>Pipeline and</w:t>
            </w: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8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220"/>
              <w:spacing w:after="0" w:line="179" w:lineRule="exact"/>
              <w:rPr>
                <w:sz w:val="20"/>
                <w:szCs w:val="20"/>
                <w:color w:val="auto"/>
              </w:rPr>
            </w:pPr>
            <w:r>
              <w:rPr>
                <w:rFonts w:ascii="Times New Roman" w:cs="Times New Roman" w:eastAsia="Times New Roman" w:hAnsi="Times New Roman"/>
                <w:sz w:val="18"/>
                <w:szCs w:val="18"/>
                <w:color w:val="auto"/>
                <w:w w:val="99"/>
              </w:rPr>
              <w:t>Infrastructure</w:t>
            </w:r>
          </w:p>
        </w:tc>
        <w:tc>
          <w:tcPr>
            <w:tcW w:w="1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5"/>
                <w:szCs w:val="15"/>
                <w:color w:val="auto"/>
              </w:rPr>
            </w:pPr>
          </w:p>
        </w:tc>
        <w:tc>
          <w:tcPr>
            <w:tcW w:w="1020" w:type="dxa"/>
            <w:vAlign w:val="bottom"/>
            <w:vMerge w:val="restart"/>
          </w:tcPr>
          <w:p>
            <w:pPr>
              <w:jc w:val="right"/>
              <w:ind w:right="391"/>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7"/>
        </w:trPr>
        <w:tc>
          <w:tcPr>
            <w:tcW w:w="40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Distribution</w:t>
            </w:r>
          </w:p>
        </w:tc>
        <w:tc>
          <w:tcPr>
            <w:tcW w:w="140" w:type="dxa"/>
            <w:vAlign w:val="bottom"/>
          </w:tcPr>
          <w:p>
            <w:pPr>
              <w:spacing w:after="0"/>
              <w:rPr>
                <w:sz w:val="19"/>
                <w:szCs w:val="19"/>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Services</w:t>
            </w:r>
          </w:p>
        </w:tc>
        <w:tc>
          <w:tcPr>
            <w:tcW w:w="180" w:type="dxa"/>
            <w:vAlign w:val="bottom"/>
          </w:tcPr>
          <w:p>
            <w:pPr>
              <w:spacing w:after="0"/>
              <w:rPr>
                <w:sz w:val="19"/>
                <w:szCs w:val="19"/>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Storage</w:t>
            </w:r>
          </w:p>
        </w:tc>
        <w:tc>
          <w:tcPr>
            <w:tcW w:w="4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1,935,069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2,625,669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264,613</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4,825,351</w:t>
            </w:r>
          </w:p>
        </w:tc>
        <w:tc>
          <w:tcPr>
            <w:tcW w:w="0" w:type="dxa"/>
            <w:vAlign w:val="bottom"/>
          </w:tcPr>
          <w:p>
            <w:pPr>
              <w:spacing w:after="0"/>
              <w:rPr>
                <w:sz w:val="1"/>
                <w:szCs w:val="1"/>
                <w:color w:val="auto"/>
              </w:rPr>
            </w:pPr>
          </w:p>
        </w:tc>
      </w:tr>
      <w:tr>
        <w:trPr>
          <w:trHeight w:val="227"/>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sales</w:t>
            </w: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134,658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134,658</w:t>
            </w:r>
          </w:p>
        </w:tc>
        <w:tc>
          <w:tcPr>
            <w:tcW w:w="0" w:type="dxa"/>
            <w:vAlign w:val="bottom"/>
          </w:tcPr>
          <w:p>
            <w:pPr>
              <w:spacing w:after="0"/>
              <w:rPr>
                <w:sz w:val="1"/>
                <w:szCs w:val="1"/>
                <w:color w:val="auto"/>
              </w:rPr>
            </w:pPr>
          </w:p>
        </w:tc>
      </w:tr>
      <w:tr>
        <w:trPr>
          <w:trHeight w:val="221"/>
        </w:trPr>
        <w:tc>
          <w:tcPr>
            <w:tcW w:w="40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segment revenue</w:t>
            </w:r>
          </w:p>
        </w:tc>
        <w:tc>
          <w:tcPr>
            <w:tcW w:w="1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1,935,069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2,760,327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264,613</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4,960,009</w:t>
            </w:r>
          </w:p>
        </w:tc>
        <w:tc>
          <w:tcPr>
            <w:tcW w:w="0" w:type="dxa"/>
            <w:vAlign w:val="bottom"/>
          </w:tcPr>
          <w:p>
            <w:pPr>
              <w:spacing w:after="0"/>
              <w:rPr>
                <w:sz w:val="1"/>
                <w:szCs w:val="1"/>
                <w:color w:val="auto"/>
              </w:rPr>
            </w:pPr>
          </w:p>
        </w:tc>
      </w:tr>
      <w:tr>
        <w:trPr>
          <w:trHeight w:val="227"/>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cost of gas sold</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789,216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799,060</w:t>
            </w:r>
          </w:p>
        </w:tc>
        <w:tc>
          <w:tcPr>
            <w:tcW w:w="0" w:type="dxa"/>
            <w:vAlign w:val="bottom"/>
          </w:tcPr>
          <w:p>
            <w:pPr>
              <w:spacing w:after="0"/>
              <w:rPr>
                <w:sz w:val="1"/>
                <w:szCs w:val="1"/>
                <w:color w:val="auto"/>
              </w:rPr>
            </w:pPr>
          </w:p>
        </w:tc>
      </w:tr>
      <w:tr>
        <w:trPr>
          <w:trHeight w:val="227"/>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Operations and maintenance expense</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491,928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100,263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44,575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636,766</w:t>
            </w:r>
          </w:p>
        </w:tc>
        <w:tc>
          <w:tcPr>
            <w:tcW w:w="0" w:type="dxa"/>
            <w:vAlign w:val="bottom"/>
          </w:tcPr>
          <w:p>
            <w:pPr>
              <w:spacing w:after="0"/>
              <w:rPr>
                <w:sz w:val="1"/>
                <w:szCs w:val="1"/>
                <w:color w:val="auto"/>
              </w:rPr>
            </w:pPr>
          </w:p>
        </w:tc>
      </w:tr>
      <w:tr>
        <w:trPr>
          <w:trHeight w:val="227"/>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Utility infrastructure services expense</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2,529,318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2,529,318</w:t>
            </w:r>
          </w:p>
        </w:tc>
        <w:tc>
          <w:tcPr>
            <w:tcW w:w="0" w:type="dxa"/>
            <w:vAlign w:val="bottom"/>
          </w:tcPr>
          <w:p>
            <w:pPr>
              <w:spacing w:after="0"/>
              <w:rPr>
                <w:sz w:val="1"/>
                <w:szCs w:val="1"/>
                <w:color w:val="auto"/>
              </w:rPr>
            </w:pPr>
          </w:p>
        </w:tc>
      </w:tr>
      <w:tr>
        <w:trPr>
          <w:trHeight w:val="227"/>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segment items (1)</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469,004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217,611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527,907</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53,680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1,268,202</w:t>
            </w:r>
          </w:p>
        </w:tc>
        <w:tc>
          <w:tcPr>
            <w:tcW w:w="0" w:type="dxa"/>
            <w:vAlign w:val="bottom"/>
          </w:tcPr>
          <w:p>
            <w:pPr>
              <w:spacing w:after="0"/>
              <w:rPr>
                <w:sz w:val="1"/>
                <w:szCs w:val="1"/>
                <w:color w:val="auto"/>
              </w:rPr>
            </w:pPr>
          </w:p>
        </w:tc>
      </w:tr>
      <w:tr>
        <w:trPr>
          <w:trHeight w:val="221"/>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(373,401)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(273,337)</w:t>
            </w:r>
          </w:p>
        </w:tc>
        <w:tc>
          <w:tcPr>
            <w:tcW w:w="0" w:type="dxa"/>
            <w:vAlign w:val="bottom"/>
          </w:tcPr>
          <w:p>
            <w:pPr>
              <w:spacing w:after="0"/>
              <w:rPr>
                <w:sz w:val="1"/>
                <w:szCs w:val="1"/>
                <w:color w:val="auto"/>
              </w:rPr>
            </w:pPr>
          </w:p>
        </w:tc>
      </w:tr>
      <w:tr>
        <w:trPr>
          <w:trHeight w:val="227"/>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30,541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(89,668)</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(22,253)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(75,653)</w:t>
            </w:r>
          </w:p>
        </w:tc>
        <w:tc>
          <w:tcPr>
            <w:tcW w:w="0" w:type="dxa"/>
            <w:vAlign w:val="bottom"/>
          </w:tcPr>
          <w:p>
            <w:pPr>
              <w:spacing w:after="0"/>
              <w:rPr>
                <w:sz w:val="1"/>
                <w:szCs w:val="1"/>
                <w:color w:val="auto"/>
              </w:rPr>
            </w:pPr>
          </w:p>
        </w:tc>
      </w:tr>
      <w:tr>
        <w:trPr>
          <w:trHeight w:val="221"/>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(283,733)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(197,684)</w:t>
            </w:r>
          </w:p>
        </w:tc>
        <w:tc>
          <w:tcPr>
            <w:tcW w:w="0" w:type="dxa"/>
            <w:vAlign w:val="bottom"/>
          </w:tcPr>
          <w:p>
            <w:pPr>
              <w:spacing w:after="0"/>
              <w:rPr>
                <w:sz w:val="1"/>
                <w:szCs w:val="1"/>
                <w:color w:val="auto"/>
              </w:rPr>
            </w:pPr>
          </w:p>
        </w:tc>
      </w:tr>
      <w:tr>
        <w:trPr>
          <w:trHeight w:val="227"/>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5,606</w:t>
            </w:r>
          </w:p>
        </w:tc>
        <w:tc>
          <w:tcPr>
            <w:tcW w:w="0" w:type="dxa"/>
            <w:vAlign w:val="bottom"/>
          </w:tcPr>
          <w:p>
            <w:pPr>
              <w:spacing w:after="0"/>
              <w:rPr>
                <w:sz w:val="1"/>
                <w:szCs w:val="1"/>
                <w:color w:val="auto"/>
              </w:rPr>
            </w:pPr>
          </w:p>
        </w:tc>
      </w:tr>
      <w:tr>
        <w:trPr>
          <w:trHeight w:val="162"/>
        </w:trPr>
        <w:tc>
          <w:tcPr>
            <w:tcW w:w="4080" w:type="dxa"/>
            <w:vAlign w:val="bottom"/>
            <w:tcBorders>
              <w:top w:val="single" w:sz="8" w:color="CCEEFF"/>
            </w:tcBorders>
            <w:shd w:val="clear" w:color="auto" w:fill="CCEEFF"/>
          </w:tcPr>
          <w:p>
            <w:pPr>
              <w:ind w:left="20"/>
              <w:spacing w:after="0" w:line="163" w:lineRule="exact"/>
              <w:rPr>
                <w:sz w:val="20"/>
                <w:szCs w:val="20"/>
                <w:color w:val="auto"/>
              </w:rPr>
            </w:pPr>
            <w:r>
              <w:rPr>
                <w:rFonts w:ascii="Times New Roman" w:cs="Times New Roman" w:eastAsia="Times New Roman" w:hAnsi="Times New Roman"/>
                <w:sz w:val="18"/>
                <w:szCs w:val="18"/>
                <w:color w:val="auto"/>
              </w:rPr>
              <w:t>Net income (loss) attributable to Southwest Gas</w:t>
            </w: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154,380</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(283,733)</w:t>
            </w:r>
          </w:p>
        </w:tc>
        <w:tc>
          <w:tcPr>
            <w:tcW w:w="8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vMerge w:val="restart"/>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(76,002)</w:t>
            </w:r>
          </w:p>
        </w:tc>
        <w:tc>
          <w:tcPr>
            <w:tcW w:w="1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vMerge w:val="restart"/>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(203,290)</w:t>
            </w:r>
          </w:p>
        </w:tc>
        <w:tc>
          <w:tcPr>
            <w:tcW w:w="0" w:type="dxa"/>
            <w:vAlign w:val="bottom"/>
          </w:tcPr>
          <w:p>
            <w:pPr>
              <w:spacing w:after="0"/>
              <w:rPr>
                <w:sz w:val="1"/>
                <w:szCs w:val="1"/>
                <w:color w:val="auto"/>
              </w:rPr>
            </w:pPr>
          </w:p>
        </w:tc>
      </w:tr>
      <w:tr>
        <w:trPr>
          <w:trHeight w:val="226"/>
        </w:trPr>
        <w:tc>
          <w:tcPr>
            <w:tcW w:w="4080" w:type="dxa"/>
            <w:vAlign w:val="bottom"/>
            <w:tcBorders>
              <w:bottom w:val="single" w:sz="8" w:color="CCEEFF"/>
            </w:tcBorders>
            <w:shd w:val="clear" w:color="auto" w:fill="CCEEFF"/>
          </w:tcPr>
          <w:p>
            <w:pPr>
              <w:ind w:left="20"/>
              <w:spacing w:after="0" w:line="206" w:lineRule="exact"/>
              <w:rPr>
                <w:sz w:val="20"/>
                <w:szCs w:val="20"/>
                <w:color w:val="auto"/>
              </w:rPr>
            </w:pPr>
            <w:r>
              <w:rPr>
                <w:rFonts w:ascii="Times New Roman" w:cs="Times New Roman" w:eastAsia="Times New Roman" w:hAnsi="Times New Roman"/>
                <w:sz w:val="18"/>
                <w:szCs w:val="18"/>
                <w:color w:val="auto"/>
              </w:rPr>
              <w:t>Holdings, Inc.</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ind w:left="240" w:hanging="233"/>
        <w:spacing w:after="0"/>
        <w:tabs>
          <w:tab w:leader="none" w:pos="2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segment items for each reportable segment includes:</w:t>
      </w:r>
    </w:p>
    <w:p>
      <w:pPr>
        <w:spacing w:after="0" w:line="29" w:lineRule="exact"/>
        <w:rPr>
          <w:rFonts w:ascii="Times New Roman" w:cs="Times New Roman" w:eastAsia="Times New Roman" w:hAnsi="Times New Roman"/>
          <w:sz w:val="16"/>
          <w:szCs w:val="16"/>
          <w:color w:val="auto"/>
        </w:rPr>
      </w:pPr>
    </w:p>
    <w:p>
      <w:pPr>
        <w:ind w:left="800" w:hanging="151"/>
        <w:spacing w:after="0"/>
        <w:tabs>
          <w:tab w:leader="none" w:pos="800"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Natural Gas Distribution: Depreciation and amortization, Taxes other than income taxes, Net interest deductions, and Other income (deductions).</w:t>
      </w:r>
    </w:p>
    <w:p>
      <w:pPr>
        <w:spacing w:after="0" w:line="29" w:lineRule="exact"/>
        <w:rPr>
          <w:rFonts w:ascii="Times New Roman" w:cs="Times New Roman" w:eastAsia="Times New Roman" w:hAnsi="Times New Roman"/>
          <w:sz w:val="16"/>
          <w:szCs w:val="16"/>
          <w:color w:val="auto"/>
        </w:rPr>
      </w:pPr>
    </w:p>
    <w:p>
      <w:pPr>
        <w:ind w:left="800" w:hanging="151"/>
        <w:spacing w:after="0"/>
        <w:tabs>
          <w:tab w:leader="none" w:pos="800"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Utility Infrastructure Services: Depreciation and amortization, Net interest deductions, and Other income (deductions).</w:t>
      </w:r>
    </w:p>
    <w:p>
      <w:pPr>
        <w:spacing w:after="0" w:line="25" w:lineRule="exact"/>
        <w:rPr>
          <w:rFonts w:ascii="Times New Roman" w:cs="Times New Roman" w:eastAsia="Times New Roman" w:hAnsi="Times New Roman"/>
          <w:sz w:val="16"/>
          <w:szCs w:val="16"/>
          <w:color w:val="auto"/>
        </w:rPr>
      </w:pPr>
    </w:p>
    <w:p>
      <w:pPr>
        <w:ind w:left="800" w:hanging="151"/>
        <w:spacing w:after="0" w:line="283" w:lineRule="auto"/>
        <w:tabs>
          <w:tab w:leader="none" w:pos="789"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Pipeline and Storage: Depreciation and amortization, Taxes other than income taxes, Goodwill impairment and loss on sale, Net interest deductions, and Other income (deductions).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Other segment disclosures</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center"/>
              <w:ind w:left="671"/>
              <w:spacing w:after="0"/>
              <w:rPr>
                <w:sz w:val="20"/>
                <w:szCs w:val="20"/>
                <w:color w:val="auto"/>
              </w:rPr>
            </w:pPr>
            <w:r>
              <w:rPr>
                <w:rFonts w:ascii="Times New Roman" w:cs="Times New Roman" w:eastAsia="Times New Roman" w:hAnsi="Times New Roman"/>
                <w:sz w:val="18"/>
                <w:szCs w:val="18"/>
                <w:color w:val="auto"/>
                <w:w w:val="98"/>
              </w:rPr>
              <w:t>Year Ended December 31, 2022</w:t>
            </w: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4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Natural Gas</w:t>
            </w:r>
          </w:p>
        </w:tc>
        <w:tc>
          <w:tcPr>
            <w:tcW w:w="140" w:type="dxa"/>
            <w:vAlign w:val="bottom"/>
          </w:tcPr>
          <w:p>
            <w:pPr>
              <w:spacing w:after="0"/>
              <w:rPr>
                <w:sz w:val="14"/>
                <w:szCs w:val="14"/>
                <w:color w:val="auto"/>
              </w:rPr>
            </w:pPr>
          </w:p>
        </w:tc>
        <w:tc>
          <w:tcPr>
            <w:tcW w:w="1280" w:type="dxa"/>
            <w:vAlign w:val="bottom"/>
            <w:gridSpan w:val="2"/>
          </w:tcPr>
          <w:p>
            <w:pPr>
              <w:jc w:val="center"/>
              <w:ind w:right="240"/>
              <w:spacing w:after="0" w:line="167" w:lineRule="exact"/>
              <w:rPr>
                <w:sz w:val="20"/>
                <w:szCs w:val="20"/>
                <w:color w:val="auto"/>
              </w:rPr>
            </w:pPr>
            <w:r>
              <w:rPr>
                <w:rFonts w:ascii="Times New Roman" w:cs="Times New Roman" w:eastAsia="Times New Roman" w:hAnsi="Times New Roman"/>
                <w:sz w:val="18"/>
                <w:szCs w:val="18"/>
                <w:color w:val="auto"/>
              </w:rPr>
              <w:t>Utility</w:t>
            </w:r>
          </w:p>
        </w:tc>
        <w:tc>
          <w:tcPr>
            <w:tcW w:w="160" w:type="dxa"/>
            <w:vAlign w:val="bottom"/>
          </w:tcPr>
          <w:p>
            <w:pPr>
              <w:spacing w:after="0"/>
              <w:rPr>
                <w:sz w:val="14"/>
                <w:szCs w:val="14"/>
                <w:color w:val="auto"/>
              </w:rPr>
            </w:pPr>
          </w:p>
        </w:tc>
        <w:tc>
          <w:tcPr>
            <w:tcW w:w="12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color w:val="auto"/>
                <w:w w:val="98"/>
              </w:rPr>
              <w:t>Pipeline and</w:t>
            </w: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240"/>
              <w:spacing w:after="0" w:line="174" w:lineRule="exact"/>
              <w:rPr>
                <w:sz w:val="20"/>
                <w:szCs w:val="20"/>
                <w:color w:val="auto"/>
              </w:rPr>
            </w:pPr>
            <w:r>
              <w:rPr>
                <w:rFonts w:ascii="Times New Roman" w:cs="Times New Roman" w:eastAsia="Times New Roman" w:hAnsi="Times New Roman"/>
                <w:sz w:val="18"/>
                <w:szCs w:val="18"/>
                <w:color w:val="auto"/>
                <w:w w:val="97"/>
              </w:rPr>
              <w:t>Infrastructure</w:t>
            </w:r>
          </w:p>
        </w:tc>
        <w:tc>
          <w:tcPr>
            <w:tcW w:w="1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6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Distribution</w:t>
            </w:r>
          </w:p>
        </w:tc>
        <w:tc>
          <w:tcPr>
            <w:tcW w:w="140" w:type="dxa"/>
            <w:vAlign w:val="bottom"/>
          </w:tcPr>
          <w:p>
            <w:pPr>
              <w:spacing w:after="0"/>
              <w:rPr>
                <w:sz w:val="20"/>
                <w:szCs w:val="20"/>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Services</w:t>
            </w:r>
          </w:p>
        </w:tc>
        <w:tc>
          <w:tcPr>
            <w:tcW w:w="160" w:type="dxa"/>
            <w:vAlign w:val="bottom"/>
          </w:tcPr>
          <w:p>
            <w:pPr>
              <w:spacing w:after="0"/>
              <w:rPr>
                <w:sz w:val="20"/>
                <w:szCs w:val="20"/>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Storage</w:t>
            </w:r>
          </w:p>
        </w:tc>
        <w:tc>
          <w:tcPr>
            <w:tcW w:w="420" w:type="dxa"/>
            <w:vAlign w:val="bottom"/>
          </w:tcPr>
          <w:p>
            <w:pPr>
              <w:spacing w:after="0"/>
              <w:rPr>
                <w:sz w:val="20"/>
                <w:szCs w:val="20"/>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0"/>
                <w:szCs w:val="20"/>
                <w:color w:val="auto"/>
              </w:rPr>
            </w:pPr>
          </w:p>
        </w:tc>
        <w:tc>
          <w:tcPr>
            <w:tcW w:w="104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46"/>
        </w:trPr>
        <w:tc>
          <w:tcPr>
            <w:tcW w:w="4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16,183</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10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115,880</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61,371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18,185</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3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47,314</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242,750</w:t>
            </w:r>
          </w:p>
        </w:tc>
        <w:tc>
          <w:tcPr>
            <w:tcW w:w="0" w:type="dxa"/>
            <w:vAlign w:val="bottom"/>
          </w:tcPr>
          <w:p>
            <w:pPr>
              <w:spacing w:after="0"/>
              <w:rPr>
                <w:sz w:val="1"/>
                <w:szCs w:val="1"/>
                <w:color w:val="auto"/>
              </w:rPr>
            </w:pP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263,043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155,353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52,059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470,455</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Goodwill impairment and loss on sale</w:t>
            </w: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100" w:type="dxa"/>
            <w:vAlign w:val="bottom"/>
            <w:tcBorders>
              <w:top w:val="single" w:sz="8" w:color="CCEEFF"/>
            </w:tcBorders>
            <w:vMerge w:val="continue"/>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449,606</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3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5,819</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455,425</w:t>
            </w:r>
          </w:p>
        </w:tc>
        <w:tc>
          <w:tcPr>
            <w:tcW w:w="0" w:type="dxa"/>
            <w:vAlign w:val="bottom"/>
          </w:tcPr>
          <w:p>
            <w:pPr>
              <w:spacing w:after="0"/>
              <w:rPr>
                <w:sz w:val="1"/>
                <w:szCs w:val="1"/>
                <w:color w:val="auto"/>
              </w:rPr>
            </w:pP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8,803,681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2,642,272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1,743,349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13,196,614</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100" w:type="dxa"/>
            <w:vAlign w:val="bottom"/>
            <w:tcBorders>
              <w:top w:val="single" w:sz="8" w:color="CCEEFF"/>
            </w:tcBorders>
            <w:vMerge w:val="continue"/>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683,131</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130,166</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46,124</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3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859,421</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Redeemable Noncontrolling Interests</w:t>
      </w:r>
    </w:p>
    <w:p>
      <w:pPr>
        <w:spacing w:after="0" w:line="11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 xml:space="preserve">Separate from the noncontrolling ownership interests in Centuri following the Centuri IPO (see </w:t>
      </w:r>
      <w:r>
        <w:rPr>
          <w:rFonts w:ascii="Times New Roman" w:cs="Times New Roman" w:eastAsia="Times New Roman" w:hAnsi="Times New Roman"/>
          <w:sz w:val="18"/>
          <w:szCs w:val="18"/>
          <w:b w:val="1"/>
          <w:bCs w:val="1"/>
          <w:color w:val="auto"/>
        </w:rPr>
        <w:t>Note 15 - Dispositions</w:t>
      </w:r>
      <w:r>
        <w:rPr>
          <w:rFonts w:ascii="Times New Roman" w:cs="Times New Roman" w:eastAsia="Times New Roman" w:hAnsi="Times New Roman"/>
          <w:sz w:val="18"/>
          <w:szCs w:val="18"/>
          <w:color w:val="auto"/>
        </w:rPr>
        <w:t xml:space="preserve"> below), redeemable noncontrolling interests have been established in association with certain business acquisitions by Centuri. These interests (redeemable at fair value) reflect interests retained by noncontrolling parties in Centuri subsidiaries.</w:t>
      </w:r>
    </w:p>
    <w:p>
      <w:pPr>
        <w:spacing w:after="0" w:line="6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connection with Centuri’s earlier acquisition of Linetec in November 2018, the previous Linetec owner initially retained a 20% equity interest in Linetec, with redemption of that interest being subject to certain rights based on the passage of time or upon the occurrence of certain triggering events. Effective in 2022, the Company, by means of Centuri, had the right, but not the obligation, to purchase at fair value (subject to a floor) a portion of the interest held by the noncontrolling party, and in incremental amounts each year thereafter. In March 2022, the parties agreed to a partial redemption, reducing the noncontrolling interest to 15%, and in March 2023, agreed to a partial 5% redemption (of the 15% then remaining). Then, in April 2023, Centuri paid $39.9 million to the previous Linetec owner, thereby reducing the balance continuing to be redeemable at that time to 10% under the terms of the original agreement. In March 2024, the parties entered into an agreement to redeem the remaining 10% equity interest for $92 million, which resulted in Centuri owning all of the equity interest in Linetec as of March 31, 2024. Centuri paid (in April 2024) the total amount payable under the terms of the redemption agreement.</w:t>
      </w:r>
    </w:p>
    <w:p>
      <w:pPr>
        <w:spacing w:after="0" w:line="8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Separately, in November 2021, certain members of Riggs Distler management acquired a noncontrolling interest in Drum, which is subject to certain rights based on the passage of time or upon the occurrence of certain triggering events. Effective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100" w:name="page101"/>
    <w:bookmarkEnd w:id="100"/>
    <w:p>
      <w:pPr>
        <w:jc w:val="both"/>
        <w:spacing w:after="0" w:line="253" w:lineRule="auto"/>
        <w:rPr>
          <w:sz w:val="20"/>
          <w:szCs w:val="20"/>
          <w:color w:val="auto"/>
        </w:rPr>
      </w:pPr>
      <w:r>
        <w:rPr>
          <w:rFonts w:ascii="Times New Roman" w:cs="Times New Roman" w:eastAsia="Times New Roman" w:hAnsi="Times New Roman"/>
          <w:sz w:val="18"/>
          <w:szCs w:val="18"/>
          <w:color w:val="auto"/>
        </w:rPr>
        <w:t>January 2027 and each calendar year thereafter or upon the occurrence of certain triggering events, Centuri has the right, but not the obligation, to purchase all of the interest held by the noncontrolling party at fair value. If the rights are not exercised in accordance with the timeline noted, or upon the occurrence of certain other triggering events, the noncontrolling party has the ability, but not the obligation, to exit their investment retained by requiring Centuri to purchase all of their outstanding interest. The outstanding noncontrolling interest is not subject to minimum purchase provisions and, following the eligibility dates for the election, they do not expire. The redemption price represents the fair value of the ownership interest to be redeemed on the redemption date under the terms of the agreement. A portion of the redeemable noncontrolling interest acquired was funded through promissory notes made to noncontrolling interest holders bearing interest at the prime rate plus 2%.</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first quarter of 2024, Centuri forgave all outstanding promissory notes and unpaid interest owed from the Riggs Distler noncontrolling interest holders and in exchange obtained a 0.47% portion of the equity interest in Drum that had been funded through these notes. This comprises most of the change noted below as redemption of Drum interests during the year. Additionally, in 2024, Centuri reached an agreement to purchase 0.14% of the noncontrolling interest in Drum for $0.9 million. The remaining noncontrolling interest in Drum outstanding as of December 31, 2024 was 0.80%, with Centuri owning over 99% of Drum following these events.</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Significant changes in the value of the redeemable noncontrolling interests, above a floor determined at the establishment date, are recognized as they occur, and the carrying value is adjusted as necessary at each reporting date. The fair value is estimated using a market approach that utilizes certain financial metrics from guideline public companies of similar industry and operating characteristics. Adjustment to the redemption value also impact retained earnings, as reflected in the Company’s Consolidated Statement of Equity, but do not impact net income.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depicts changes to the balances of the redeemable noncontrolling interests: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40" w:type="dxa"/>
            <w:vAlign w:val="bottom"/>
          </w:tcPr>
          <w:p>
            <w:pPr>
              <w:spacing w:after="0"/>
              <w:rPr>
                <w:sz w:val="20"/>
                <w:szCs w:val="20"/>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Linetec</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Drum</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51"/>
              <w:spacing w:after="0"/>
              <w:rPr>
                <w:sz w:val="20"/>
                <w:szCs w:val="20"/>
                <w:color w:val="auto"/>
              </w:rPr>
            </w:pPr>
            <w:r>
              <w:rPr>
                <w:rFonts w:ascii="Times New Roman" w:cs="Times New Roman" w:eastAsia="Times New Roman" w:hAnsi="Times New Roman"/>
                <w:sz w:val="18"/>
                <w:szCs w:val="18"/>
                <w:color w:val="auto"/>
              </w:rPr>
              <w:t>Total</w:t>
            </w:r>
          </w:p>
        </w:tc>
      </w:tr>
      <w:tr>
        <w:trPr>
          <w:trHeight w:val="221"/>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146,765</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7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12,584</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159,349</w:t>
            </w:r>
          </w:p>
        </w:tc>
      </w:tr>
      <w:tr>
        <w:trPr>
          <w:trHeight w:val="227"/>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redeemable noncontrolling interests</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4,473</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4,628</w:t>
            </w:r>
          </w:p>
        </w:tc>
      </w:tr>
      <w:tr>
        <w:trPr>
          <w:trHeight w:val="227"/>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Redemption value adjustments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(19,366)</w:t>
            </w:r>
          </w:p>
        </w:tc>
      </w:tr>
      <w:tr>
        <w:trPr>
          <w:trHeight w:val="227"/>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Redemption of redeemable noncontrolling interest</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(39,894)</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(39,944)</w:t>
            </w:r>
          </w:p>
        </w:tc>
      </w:tr>
      <w:tr>
        <w:trPr>
          <w:trHeight w:val="221"/>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91,978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104,667</w:t>
            </w:r>
          </w:p>
        </w:tc>
      </w:tr>
      <w:tr>
        <w:trPr>
          <w:trHeight w:val="227"/>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redeemable noncontrolling interests</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7"/>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Redemption value adjustments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27"/>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Redemption of redeemable noncontrolling interest</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(91,979)</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(97,103)</w:t>
            </w:r>
          </w:p>
        </w:tc>
      </w:tr>
      <w:tr>
        <w:trPr>
          <w:trHeight w:val="246"/>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7,660</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Dispositions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2022, the Company announced that the Board unanimously determined to take strategic actions to simplify the Company’s portfolio of businesses. These actions included entering into a definitive agreement to sell 100% of MountainWest in an all-cash transaction to Williams for $1.5 billion in total enterprise value, subject to certain adjustments, which closed in the first quarter of 2023. Additionally, the Company determined it would pursue a separation of Centuri, including forming a new independent publicly traded utility infrastructure services company.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Centuri</w:t>
      </w:r>
    </w:p>
    <w:p>
      <w:pPr>
        <w:spacing w:after="0" w:line="1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April 2024, the Company and Centuri announced the completion of the Centuri IPO of 12,400,000 shares of Centuri’s common stock at a price of $21.00 per share. Centuri granted the underwriters a 30-day option to purchase up to an additional 1,860,000 shares of its common stock, which was exercised. In addition, Centuri announced a concurrent private placement of an additional 2,591,929 shares at a price equal to the Centuri IPO price, with Icahn Partners LP and Icahn Partners Master Fund LP, investment entities associated with Carl C. Icahn. Centuri’s common stock is listed on the NYSE under the symbol “CTRI” and began trading on April 18, 2024. The net proceeds to Centuri from the Centuri IPO and the concurrent private placement, after deducting underwriting discounts and commissions of $18 million and offering expenses, were approximately $328 million. Centuri used the proceeds to repay a portion (approximately $316 million) of outstanding indebtedness under its revolving credit and term loan facility, with the remainder for general corporate purposes. As part of the Centuri IPO and related undertakings, and to ultimately facilitate a full separation of Centuri over periods ahead, multiple agreements were executed between the Company and Centuri, including a Separation Agreement, a Tax Matters Agreement, and a Registration Rights Agreement. Centuri’s Board formed in association with these events includes certain overlapping members with the Company, including Andrew W. Evans, Anne L. Mariucci, and Karen S. Haller (the Company’s CEO).</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sectPr>
      </w:pPr>
    </w:p>
    <w:bookmarkStart w:id="101" w:name="page102"/>
    <w:bookmarkEnd w:id="101"/>
    <w:p>
      <w:pPr>
        <w:jc w:val="both"/>
        <w:spacing w:after="0" w:line="251" w:lineRule="auto"/>
        <w:rPr>
          <w:sz w:val="20"/>
          <w:szCs w:val="20"/>
          <w:color w:val="auto"/>
        </w:rPr>
      </w:pPr>
      <w:r>
        <w:rPr>
          <w:rFonts w:ascii="Times New Roman" w:cs="Times New Roman" w:eastAsia="Times New Roman" w:hAnsi="Times New Roman"/>
          <w:sz w:val="18"/>
          <w:szCs w:val="18"/>
          <w:color w:val="auto"/>
        </w:rPr>
        <w:t>After completion of the Centuri IPO, the Company owns approximately 81% of all ownership interests in Centuri, and continues to consolidate the financial results of Centuri. As of the IPO date, management determined the carrying value of the noncontrolling interest based on the relationship of the ownership interest of the new investors to the carrying value (net assets) of Centuri (as reflected in the Company’s consolidated financial information). The difference between the fair value of proceeds from the Centuri IPO and the carrying value of the noncontrolling interest was recorded as a reduction in Additional paid-in capital of the Company. As of December 31, 2024, $177 million is reflected as equity attributable to noncontrolling interest in the Company’s Consolidated Balance Sheet. Net income attributable to the noncontrolling interest for the year ended December 31, 2024 was $6.1 million, related to the approximately 19% noncontrolling interest in Centuri from the time of the closing of the Centuri IPO on April 22, 2024 through the end of the year. Refer to the Company’s Consolidated Statement of Income and the Consolidated Statement of Equity for impacts associated with the noncontrolling interest in Centuri.</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reflects the effects of changes in the Company’s ownership interest in Centuri on the Company’s equity:</w:t>
            </w:r>
          </w:p>
        </w:tc>
        <w:tc>
          <w:tcPr>
            <w:tcW w:w="56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361"/>
        </w:trPr>
        <w:tc>
          <w:tcPr>
            <w:tcW w:w="8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5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ind w:right="951"/>
              <w:spacing w:after="0"/>
              <w:rPr>
                <w:sz w:val="20"/>
                <w:szCs w:val="20"/>
                <w:color w:val="auto"/>
              </w:rPr>
            </w:pPr>
            <w:r>
              <w:rPr>
                <w:rFonts w:ascii="Times New Roman" w:cs="Times New Roman" w:eastAsia="Times New Roman" w:hAnsi="Times New Roman"/>
                <w:sz w:val="18"/>
                <w:szCs w:val="18"/>
                <w:color w:val="auto"/>
              </w:rPr>
              <w:t>2024</w:t>
            </w:r>
          </w:p>
        </w:tc>
      </w:tr>
      <w:tr>
        <w:trPr>
          <w:trHeight w:val="221"/>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Southwest Gas Holdings, Inc.</w:t>
            </w:r>
          </w:p>
        </w:tc>
        <w:tc>
          <w:tcPr>
            <w:tcW w:w="56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198,815</w:t>
            </w:r>
          </w:p>
        </w:tc>
      </w:tr>
      <w:tr>
        <w:trPr>
          <w:trHeight w:val="227"/>
        </w:trPr>
        <w:tc>
          <w:tcPr>
            <w:tcW w:w="8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Increase in additional paid-in capital as a result of Centuri IPO</w:t>
            </w:r>
          </w:p>
        </w:tc>
        <w:tc>
          <w:tcPr>
            <w:tcW w:w="5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154,006</w:t>
            </w:r>
          </w:p>
        </w:tc>
      </w:tr>
      <w:tr>
        <w:trPr>
          <w:trHeight w:val="246"/>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from net income attributable to Southwest Gas Holdings, Inc. and transfers from noncontrolling interest</w:t>
            </w:r>
          </w:p>
        </w:tc>
        <w:tc>
          <w:tcPr>
            <w:tcW w:w="560" w:type="dxa"/>
            <w:vAlign w:val="bottom"/>
            <w:tcBorders>
              <w:bottom w:val="single" w:sz="8" w:color="auto"/>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352,821</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Company intends to fully dispose of its ownership in Centuri in one or more disposition transactions, including by way of sales of its shares of Centuri common stock, one or more exchange offers for Company shares, or distributions, or any combination thereof.</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MountainWest</w:t>
      </w:r>
    </w:p>
    <w:p>
      <w:pPr>
        <w:spacing w:after="0" w:line="1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As noted above, the MountainWest sale was completed in 2023. The MountainWest sale did not meet the criteria for reporting discontinued operations as the sale did not represent a strategic shift that would have a major effect on the Company’s operations or financial results. As a result of MountainWest being classified as held-for-sale as of December 31, 2022, the Company recorded an impairment loss of $449.6 million in 2022. The Company recognized an additional loss on sale of $21 million during the quarter ended March 31, 2023. This reflected an accrued post-closing payment of $7.4 million related to cash and net working capital balances above/below a contractual benchmark, with the remaining charge associated with other changes in the assets and liabilities that were not subject to post-closing payment true-up provisions. As disclosed in </w:t>
      </w:r>
      <w:r>
        <w:rPr>
          <w:rFonts w:ascii="Times New Roman" w:cs="Times New Roman" w:eastAsia="Times New Roman" w:hAnsi="Times New Roman"/>
          <w:sz w:val="18"/>
          <w:szCs w:val="18"/>
          <w:b w:val="1"/>
          <w:bCs w:val="1"/>
          <w:color w:val="auto"/>
        </w:rPr>
        <w:t>Note 1 - Background, Organization, and 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color w:val="auto"/>
        </w:rPr>
        <w:t>the $21 million additional loss noted above was identified as a misstatement related to its initial estimation of the loss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recorded upon reclassifying MountainWest as an asset held for sale during the year ended December 31, 2022. Consequently, the impairment loss for the year ended December 31, 2022 was understated by that amount and corrected in the first quarter of 2023.</w:t>
      </w:r>
    </w:p>
    <w:p>
      <w:pPr>
        <w:spacing w:after="0" w:line="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Prior to the sale of MountainWest, in September 2022, the FERC issued an order initiating an investigation, pursuant to section 5 of the Natural Gas Act, to determine whether rates charged by MountainWest Overthrust Pipeline, LLC, a subsidiary of MountainWest, were just and reasonable and setting the matter for hearing. Pursuant with terms of the sale, in March 2023, the parties agreed to a settlement related to this matter, and as a result, the Company recorded an additional loss of $28.4 million from the disposal of MountainWest in the first quarter of 2023, which was included in Goodwill impairment and loss on sale in the Company’s Consolidated Statement of Income. The $28.4 million was paid in the third quarter of 2023 and the matter is now closed. The $28.4 million reduced Proceeds from the sale of businesses, net of cash sold in the Company’s Consolidated Statements of Cash Flows. Other contingent commitments were part of the agreement as well, expenses for which have been immaterial to date and are expected to continue to be immaterial overall.</w:t>
      </w:r>
    </w:p>
    <w:p>
      <w:pPr>
        <w:spacing w:after="0" w:line="102"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0"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of the Southwest Gas Holdings, Inc. and Southwest Gas has established disclosure controls and procedures (as defined in Rules 13a-15(e) and 15d-15(e) under the Securities Exchange Act of 1934, as amended (the “Exchange Act”)) that are designed to provide reasonable assurance that information required to be disclosed in their respective reports filed or submitted under the Exchange Act is recorded, processed, summarized, and reported within the time periods specified in the SEC’s rules and forms and to provide reasonable assurance that such information is accumulated and communicated to management of each company, including each respective Chief Executive Officer and Chief Financial Officer, as appropriate,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02" w:name="page103"/>
    <w:bookmarkEnd w:id="102"/>
    <w:p>
      <w:pPr>
        <w:jc w:val="both"/>
        <w:spacing w:after="0" w:line="255" w:lineRule="auto"/>
        <w:rPr>
          <w:sz w:val="20"/>
          <w:szCs w:val="20"/>
          <w:color w:val="auto"/>
        </w:rPr>
      </w:pPr>
      <w:r>
        <w:rPr>
          <w:rFonts w:ascii="Times New Roman" w:cs="Times New Roman" w:eastAsia="Times New Roman" w:hAnsi="Times New Roman"/>
          <w:sz w:val="18"/>
          <w:szCs w:val="18"/>
          <w:color w:val="auto"/>
        </w:rPr>
        <w:t>to allow timely decisions regarding required disclosures. A control system, no matter how well conceived and operated, can provide only reasonable, not absolute, assurance that the objectives of the control system are met. Further, the design of a control system must reflect the fact that there are resource constraints, and benefits of controls must be considered relative to their costs. Additionally, controls can be circumvented by the individual acts of some persons, by collusion of two or more people, or management override of the control. Because of the inherent limitations in a cost-effective control system, misstatements due to error or fraud may occur and may not be detected.</w:t>
      </w:r>
    </w:p>
    <w:p>
      <w:pPr>
        <w:spacing w:after="0" w:line="7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Based on the most recent evaluation, as of December 31, 2024, management of Southwest Gas Holdings, Inc., including the Chief Executive Officer and Chief Financial Officer, believes the Company’s disclosure controls and procedures are effective at attaining the level of reasonable assurance noted above.</w:t>
      </w:r>
    </w:p>
    <w:p>
      <w:pPr>
        <w:spacing w:after="0" w:line="55"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color w:val="auto"/>
        </w:rPr>
        <w:t>Based on the most recent evaluation, as of December 31, 2024, management of Southwest Gas including the Chief Executive Officer and Chief Financial Officer, believes Southwest Gas’ disclosure controls and procedures are effective at attaining the level of reasonable assurance noted above.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Reports on Internal Control Over Financial Reporting</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Management of Southwest Gas Holdings, Inc. is responsible for establishing and maintaining adequate internal control over financial reporting, as such term is defined by Rule 13a-15(f) and 15d-15(f) under the Securities Exchange Act of 1934. Under the supervision and with the participation of Southwest Gas Holdings, Inc. management, including the principal executive officer and principal financial officer, an evaluation was conducted of the effectiveness of internal control over financial reporting based on the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Based upon management’s evaluation under such framework, management concluded that internal control over financial reporting was effective as of December 31, 2024. The effectiveness of internal control over financial reporting as of December 31, 2024 has been audited by PricewaterhouseCoopers, LLP, an independent registered public accounting firm, as stated in their report which is included herein.</w:t>
      </w:r>
    </w:p>
    <w:p>
      <w:pPr>
        <w:spacing w:after="0" w:line="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Management of Southwest Gas is responsible for establishing and maintaining adequate internal control over financial reporting as defined in Rules 13a-15(f) and 15d-15(f) under the Securities Exchange Act of 1934. Under the supervision and with the participation of Southwest Gas management, including the principal executive officer and principal financial officer, an evaluation was conducted of the effectiveness of internal control over financial reporting based on the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Based upon management’s evaluation under such framework, management concluded that Southwest Gas’ internal control over financial reporting was effective as of December 31, 2024. This annual report does not include a report of Southwest Gas’ registered public accounting firm regarding internal control over financial reporting pursuant to rules of the Securities and Exchange Commission that permit Southwest Gas to provide only this management’s report in this annual report.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(as defined in Rules 13a-15(f) and 15d-15(f) of the Exchange Act) during the fourth quarter of 2024 that have materially affected, or are likely to materially affect, the Company’s internal control over financial reporting.</w:t>
      </w:r>
    </w:p>
    <w:p>
      <w:pPr>
        <w:spacing w:after="0" w:line="5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There have been no changes in Southwest Gas’ internal control over financial reporting (as defined in Rules 13a-15(f) and 15d-15(f) of the Exchange Act) during the fourth quarter of 2024 that have materially affected, or are likely to materially affect Southwest Gas’ internal control over financial reporting.</w:t>
      </w:r>
    </w:p>
    <w:p>
      <w:pPr>
        <w:spacing w:after="0" w:line="92"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18"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7"/>
          <w:szCs w:val="17"/>
          <w:color w:val="auto"/>
        </w:rPr>
        <w:t>During the fiscal quarter ended December 31, 2024, none of our directors or officers (as defined in Rule 16a-1(f) of the Exchange Act) adopted, modified, or terminated a “Rule 10b5-1 trading arrangement” or “non-Rule 10b5-1 trading arrangement,” as those terms are defined under Item 408 of Regulation S-K.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Assets Agreement with Centuri</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24, 2025, we entered into a Tax Assets Agreement with Centuri and its wholly owned subsidiary, Centuri Group, Inc. (collectively, the “Centuri Parties”). The Tax Assets Agreement addresses our arrangements with the Centuri Parties with respect to certain unutilized tax assets (the “Tax Assets”) that the Centuri Parties will retain following any deconsolidation from us for U.S. federal and relevant state income tax laws. Under the terms of the Tax Assets Agreement, the balance of the Tax Assets at tax deconsolidation, subject to true-up and including the impact of any payments or deemed payments that we make in respect of the Tax Assets, will be treated as deemed capital contributions, which will result in an increase in the tax basis of our ownership of our Centuri common stock. Deconsolidation for federal income tax purposes occurs at the time when we no longer own at least 80% of the outstanding Centuri common stock, and the deconsolidation for state law purposes occurs at various points depending on the relevant tax law of each state.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03" w:name="page104"/>
    <w:bookmarkEnd w:id="103"/>
    <w:p>
      <w:pPr>
        <w:jc w:val="both"/>
        <w:spacing w:after="0" w:line="278" w:lineRule="auto"/>
        <w:rPr>
          <w:sz w:val="20"/>
          <w:szCs w:val="20"/>
          <w:color w:val="auto"/>
        </w:rPr>
      </w:pPr>
      <w:r>
        <w:rPr>
          <w:rFonts w:ascii="Times New Roman" w:cs="Times New Roman" w:eastAsia="Times New Roman" w:hAnsi="Times New Roman"/>
          <w:sz w:val="18"/>
          <w:szCs w:val="18"/>
          <w:color w:val="auto"/>
        </w:rPr>
        <w:t>The foregoing description of the Tax Assets Agreement is qualified in its entirety by the full text of the Tax Assets Agreement, which is filed as exhibit 10.56 to this Annual Report on Form 10-K.</w:t>
      </w:r>
    </w:p>
    <w:p>
      <w:pPr>
        <w:spacing w:after="0" w:line="92"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54"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required by this item will be included under the headings "Board of Directors," “Executive Officers,” “Delinquent Section 16(a) Reports,” “Audit Committee Report,” “Audit Committee,” “Insider Trading Policy,” and “Selection of Directors" in the Company's definitive proxy statement for the 2025 Annual Meeting, and such required information is incorporated herein by reference. There have been no material changes to the procedures by which security holders may recommend nominees to the Company’s Board.</w:t>
      </w:r>
    </w:p>
    <w:p>
      <w:pPr>
        <w:spacing w:after="0" w:line="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Southwest Gas Holdings, Inc. has adopted a code of ethics that applies to its principal executive officer, principal financial officer, and principal accounting officer and other persons performing similar functions. That code is part of the Company’s Code of Business Conduct and Ethics which is available free of charge through the Company’s investor relations website (https://www.swgasholdings.com/corporate-governance/governance-documents). The Company intends to include on its website any amendment to, or waiver from, a provision of its code of ethics that applies to the Company’s principal executive officer, principal financial officer, principal accounting officer or persons performing similar functions that relates to any element of the code of ethics definition enumerated in Item 406(b) of Regulation S-K.</w:t>
      </w:r>
    </w:p>
    <w:p>
      <w:pPr>
        <w:spacing w:after="0" w:line="113"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1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Information with respect to Item 11 will be included under the headings “Compensation Discussion and Analysis,” “Executive Compensation Tables (except for the Pay versus Performance section),” “Director Compensation,” and “Policies and Practices Regarding Equity Grants” set forth in the definitive 2025 Proxy Statement, which will be filed with the SEC within 120 days after December 31, 2024 and by this reference is incorporated herein.</w:t>
      </w:r>
    </w:p>
    <w:p>
      <w:pPr>
        <w:spacing w:after="0" w:line="105" w:lineRule="exact"/>
        <w:rPr>
          <w:sz w:val="20"/>
          <w:szCs w:val="20"/>
          <w:color w:val="auto"/>
        </w:rPr>
      </w:pPr>
    </w:p>
    <w:p>
      <w:pPr>
        <w:ind w:left="1260" w:right="40" w:hanging="1229"/>
        <w:spacing w:after="0" w:line="238" w:lineRule="auto"/>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100" w:lineRule="exact"/>
        <w:rPr>
          <w:sz w:val="20"/>
          <w:szCs w:val="20"/>
          <w:color w:val="auto"/>
        </w:rPr>
      </w:pPr>
    </w:p>
    <w:p>
      <w:pPr>
        <w:jc w:val="both"/>
        <w:ind w:firstLine="7"/>
        <w:spacing w:after="0" w:line="264" w:lineRule="auto"/>
        <w:tabs>
          <w:tab w:leader="none" w:pos="26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Security Ownership of Certain Beneficial Owners. </w:t>
      </w:r>
      <w:r>
        <w:rPr>
          <w:rFonts w:ascii="Times New Roman" w:cs="Times New Roman" w:eastAsia="Times New Roman" w:hAnsi="Times New Roman"/>
          <w:sz w:val="18"/>
          <w:szCs w:val="18"/>
          <w:color w:val="auto"/>
        </w:rPr>
        <w:t>Information with respect to security ownership of certain beneficial owners is set forth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heading “Securities Ownership by Directors, Director Nominees, Named Executive Officers, and Certain Beneficial Owners” in the definitive 2025 Proxy Statement, which will be filed with the SEC within 120 days after December 31, 2024 and by this reference is incorporated herein.</w:t>
      </w:r>
    </w:p>
    <w:p>
      <w:pPr>
        <w:spacing w:after="0" w:line="65" w:lineRule="exact"/>
        <w:rPr>
          <w:rFonts w:ascii="Times New Roman" w:cs="Times New Roman" w:eastAsia="Times New Roman" w:hAnsi="Times New Roman"/>
          <w:sz w:val="18"/>
          <w:szCs w:val="18"/>
          <w:color w:val="auto"/>
        </w:rPr>
      </w:pPr>
    </w:p>
    <w:p>
      <w:pPr>
        <w:jc w:val="both"/>
        <w:ind w:firstLine="7"/>
        <w:spacing w:after="0" w:line="264" w:lineRule="auto"/>
        <w:tabs>
          <w:tab w:leader="none" w:pos="25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Security Ownership of Management. </w:t>
      </w:r>
      <w:r>
        <w:rPr>
          <w:rFonts w:ascii="Times New Roman" w:cs="Times New Roman" w:eastAsia="Times New Roman" w:hAnsi="Times New Roman"/>
          <w:sz w:val="18"/>
          <w:szCs w:val="18"/>
          <w:color w:val="auto"/>
        </w:rPr>
        <w:t>Information with respect to security ownership of management is set forth under the heading “Securities Ownership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Directors, Director Nominees, Named Executive Officers, and Certain Beneficial Owners” in the definitive 2025 Proxy Statement, which will be filed with the SEC within 120 days after December 31, 2024 and by this reference is incorporated herein.</w:t>
      </w:r>
    </w:p>
    <w:p>
      <w:pPr>
        <w:spacing w:after="0" w:line="65" w:lineRule="exact"/>
        <w:rPr>
          <w:rFonts w:ascii="Times New Roman" w:cs="Times New Roman" w:eastAsia="Times New Roman" w:hAnsi="Times New Roman"/>
          <w:sz w:val="18"/>
          <w:szCs w:val="18"/>
          <w:color w:val="auto"/>
        </w:rPr>
      </w:pPr>
    </w:p>
    <w:p>
      <w:pPr>
        <w:ind w:left="240" w:hanging="233"/>
        <w:spacing w:after="0"/>
        <w:tabs>
          <w:tab w:leader="none" w:pos="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Control. </w:t>
      </w:r>
      <w:r>
        <w:rPr>
          <w:rFonts w:ascii="Times New Roman" w:cs="Times New Roman" w:eastAsia="Times New Roman" w:hAnsi="Times New Roman"/>
          <w:sz w:val="18"/>
          <w:szCs w:val="18"/>
          <w:color w:val="auto"/>
        </w:rPr>
        <w:t>None.</w:t>
      </w:r>
    </w:p>
    <w:p>
      <w:pPr>
        <w:spacing w:after="0" w:line="113"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Securities Authorized for Issuance Under Equity Compensation Plans.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number of securities authorized for issuance under the Company’s equity compensation plans at December 31,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Number of securities</w:t>
            </w:r>
          </w:p>
        </w:tc>
        <w:tc>
          <w:tcPr>
            <w:tcW w:w="0" w:type="dxa"/>
            <w:vAlign w:val="bottom"/>
          </w:tcPr>
          <w:p>
            <w:pPr>
              <w:spacing w:after="0"/>
              <w:rPr>
                <w:sz w:val="1"/>
                <w:szCs w:val="1"/>
                <w:color w:val="auto"/>
              </w:rPr>
            </w:pPr>
          </w:p>
        </w:tc>
      </w:tr>
      <w:tr>
        <w:trPr>
          <w:trHeight w:val="138"/>
        </w:trPr>
        <w:tc>
          <w:tcPr>
            <w:tcW w:w="5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Weighted-average</w:t>
            </w:r>
          </w:p>
        </w:tc>
        <w:tc>
          <w:tcPr>
            <w:tcW w:w="200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color w:val="auto"/>
              </w:rPr>
              <w:t>remaining available</w:t>
            </w:r>
          </w:p>
        </w:tc>
        <w:tc>
          <w:tcPr>
            <w:tcW w:w="0" w:type="dxa"/>
            <w:vAlign w:val="bottom"/>
          </w:tcPr>
          <w:p>
            <w:pPr>
              <w:spacing w:after="0"/>
              <w:rPr>
                <w:sz w:val="1"/>
                <w:szCs w:val="1"/>
                <w:color w:val="auto"/>
              </w:rPr>
            </w:pPr>
          </w:p>
        </w:tc>
      </w:tr>
      <w:tr>
        <w:trPr>
          <w:trHeight w:val="143"/>
        </w:trPr>
        <w:tc>
          <w:tcPr>
            <w:tcW w:w="5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Number of securities to be issued</w:t>
            </w:r>
          </w:p>
        </w:tc>
        <w:tc>
          <w:tcPr>
            <w:tcW w:w="1620" w:type="dxa"/>
            <w:vAlign w:val="bottom"/>
            <w:gridSpan w:val="2"/>
            <w:vMerge w:val="continue"/>
          </w:tcPr>
          <w:p>
            <w:pPr>
              <w:spacing w:after="0"/>
              <w:rPr>
                <w:sz w:val="12"/>
                <w:szCs w:val="12"/>
                <w:color w:val="auto"/>
              </w:rPr>
            </w:pPr>
          </w:p>
        </w:tc>
        <w:tc>
          <w:tcPr>
            <w:tcW w:w="20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color w:val="auto"/>
              </w:rPr>
              <w:t>for future issuance under equity</w:t>
            </w:r>
          </w:p>
        </w:tc>
        <w:tc>
          <w:tcPr>
            <w:tcW w:w="0" w:type="dxa"/>
            <w:vAlign w:val="bottom"/>
          </w:tcPr>
          <w:p>
            <w:pPr>
              <w:spacing w:after="0"/>
              <w:rPr>
                <w:sz w:val="1"/>
                <w:szCs w:val="1"/>
                <w:color w:val="auto"/>
              </w:rPr>
            </w:pPr>
          </w:p>
        </w:tc>
      </w:tr>
      <w:tr>
        <w:trPr>
          <w:trHeight w:val="147"/>
        </w:trPr>
        <w:tc>
          <w:tcPr>
            <w:tcW w:w="5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620" w:type="dxa"/>
            <w:vAlign w:val="bottom"/>
            <w:gridSpan w:val="2"/>
          </w:tcPr>
          <w:p>
            <w:pPr>
              <w:jc w:val="center"/>
              <w:ind w:right="120"/>
              <w:spacing w:after="0" w:line="147" w:lineRule="exact"/>
              <w:rPr>
                <w:sz w:val="20"/>
                <w:szCs w:val="20"/>
                <w:color w:val="auto"/>
              </w:rPr>
            </w:pPr>
            <w:r>
              <w:rPr>
                <w:rFonts w:ascii="Times New Roman" w:cs="Times New Roman" w:eastAsia="Times New Roman" w:hAnsi="Times New Roman"/>
                <w:sz w:val="14"/>
                <w:szCs w:val="14"/>
                <w:color w:val="auto"/>
              </w:rPr>
              <w:t>exercise price of</w:t>
            </w:r>
          </w:p>
        </w:tc>
        <w:tc>
          <w:tcPr>
            <w:tcW w:w="20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compensation plans</w:t>
            </w:r>
          </w:p>
        </w:tc>
        <w:tc>
          <w:tcPr>
            <w:tcW w:w="0" w:type="dxa"/>
            <w:vAlign w:val="bottom"/>
          </w:tcPr>
          <w:p>
            <w:pPr>
              <w:spacing w:after="0"/>
              <w:rPr>
                <w:sz w:val="1"/>
                <w:szCs w:val="1"/>
                <w:color w:val="auto"/>
              </w:rPr>
            </w:pPr>
          </w:p>
        </w:tc>
      </w:tr>
      <w:tr>
        <w:trPr>
          <w:trHeight w:val="138"/>
        </w:trPr>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Plan category</w:t>
            </w:r>
          </w:p>
        </w:tc>
        <w:tc>
          <w:tcPr>
            <w:tcW w:w="120" w:type="dxa"/>
            <w:vAlign w:val="bottom"/>
            <w:vMerge w:val="restart"/>
          </w:tcPr>
          <w:p>
            <w:pPr>
              <w:spacing w:after="0"/>
              <w:rPr>
                <w:sz w:val="11"/>
                <w:szCs w:val="11"/>
                <w:color w:val="auto"/>
              </w:rPr>
            </w:pPr>
          </w:p>
        </w:tc>
        <w:tc>
          <w:tcPr>
            <w:tcW w:w="2040" w:type="dxa"/>
            <w:vAlign w:val="bottom"/>
            <w:gridSpan w:val="2"/>
          </w:tcPr>
          <w:p>
            <w:pPr>
              <w:jc w:val="center"/>
              <w:ind w:right="120"/>
              <w:spacing w:after="0" w:line="138" w:lineRule="exact"/>
              <w:rPr>
                <w:sz w:val="20"/>
                <w:szCs w:val="20"/>
                <w:color w:val="auto"/>
              </w:rPr>
            </w:pPr>
            <w:r>
              <w:rPr>
                <w:rFonts w:ascii="Times New Roman" w:cs="Times New Roman" w:eastAsia="Times New Roman" w:hAnsi="Times New Roman"/>
                <w:sz w:val="14"/>
                <w:szCs w:val="14"/>
                <w:color w:val="auto"/>
              </w:rPr>
              <w:t>upon exercise of outstanding</w:t>
            </w:r>
          </w:p>
        </w:tc>
        <w:tc>
          <w:tcPr>
            <w:tcW w:w="1620" w:type="dxa"/>
            <w:vAlign w:val="bottom"/>
            <w:gridSpan w:val="2"/>
          </w:tcPr>
          <w:p>
            <w:pPr>
              <w:jc w:val="center"/>
              <w:ind w:right="100"/>
              <w:spacing w:after="0" w:line="138" w:lineRule="exact"/>
              <w:rPr>
                <w:sz w:val="20"/>
                <w:szCs w:val="20"/>
                <w:color w:val="auto"/>
              </w:rPr>
            </w:pPr>
            <w:r>
              <w:rPr>
                <w:rFonts w:ascii="Times New Roman" w:cs="Times New Roman" w:eastAsia="Times New Roman" w:hAnsi="Times New Roman"/>
                <w:sz w:val="14"/>
                <w:szCs w:val="14"/>
                <w:color w:val="auto"/>
              </w:rPr>
              <w:t>outstanding options,</w:t>
            </w:r>
          </w:p>
        </w:tc>
        <w:tc>
          <w:tcPr>
            <w:tcW w:w="200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color w:val="auto"/>
              </w:rPr>
              <w:t>(excluding securities</w:t>
            </w:r>
          </w:p>
        </w:tc>
        <w:tc>
          <w:tcPr>
            <w:tcW w:w="0" w:type="dxa"/>
            <w:vAlign w:val="bottom"/>
          </w:tcPr>
          <w:p>
            <w:pPr>
              <w:spacing w:after="0"/>
              <w:rPr>
                <w:sz w:val="1"/>
                <w:szCs w:val="1"/>
                <w:color w:val="auto"/>
              </w:rPr>
            </w:pPr>
          </w:p>
        </w:tc>
      </w:tr>
      <w:tr>
        <w:trPr>
          <w:trHeight w:val="207"/>
        </w:trPr>
        <w:tc>
          <w:tcPr>
            <w:tcW w:w="546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options, warrants and rights</w:t>
            </w:r>
          </w:p>
        </w:tc>
        <w:tc>
          <w:tcPr>
            <w:tcW w:w="120" w:type="dxa"/>
            <w:vAlign w:val="bottom"/>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warrants and rights (2)</w:t>
            </w:r>
          </w:p>
        </w:tc>
        <w:tc>
          <w:tcPr>
            <w:tcW w:w="100" w:type="dxa"/>
            <w:vAlign w:val="bottom"/>
          </w:tcPr>
          <w:p>
            <w:pPr>
              <w:spacing w:after="0"/>
              <w:rPr>
                <w:sz w:val="18"/>
                <w:szCs w:val="18"/>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reflected in column a)</w:t>
            </w:r>
          </w:p>
        </w:tc>
        <w:tc>
          <w:tcPr>
            <w:tcW w:w="0" w:type="dxa"/>
            <w:vAlign w:val="bottom"/>
          </w:tcPr>
          <w:p>
            <w:pPr>
              <w:spacing w:after="0"/>
              <w:rPr>
                <w:sz w:val="1"/>
                <w:szCs w:val="1"/>
                <w:color w:val="auto"/>
              </w:rPr>
            </w:pPr>
          </w:p>
        </w:tc>
      </w:tr>
      <w:tr>
        <w:trPr>
          <w:trHeight w:val="208"/>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(Thousands of shares)</w:t>
            </w:r>
          </w:p>
        </w:tc>
        <w:tc>
          <w:tcPr>
            <w:tcW w:w="120" w:type="dxa"/>
            <w:vAlign w:val="bottom"/>
          </w:tcPr>
          <w:p>
            <w:pPr>
              <w:spacing w:after="0"/>
              <w:rPr>
                <w:sz w:val="18"/>
                <w:szCs w:val="18"/>
                <w:color w:val="auto"/>
              </w:rPr>
            </w:pP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(a)</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7"/>
              </w:rPr>
              <w:t>(b)</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w:t>
            </w:r>
          </w:p>
        </w:tc>
        <w:tc>
          <w:tcPr>
            <w:tcW w:w="0" w:type="dxa"/>
            <w:vAlign w:val="bottom"/>
          </w:tcPr>
          <w:p>
            <w:pPr>
              <w:spacing w:after="0"/>
              <w:rPr>
                <w:sz w:val="1"/>
                <w:szCs w:val="1"/>
                <w:color w:val="auto"/>
              </w:rPr>
            </w:pPr>
          </w:p>
        </w:tc>
      </w:tr>
      <w:tr>
        <w:trPr>
          <w:trHeight w:val="230"/>
        </w:trPr>
        <w:tc>
          <w:tcPr>
            <w:tcW w:w="5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Equity compensation plans approved by security holders (1)</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2,278</w:t>
            </w:r>
          </w:p>
        </w:tc>
        <w:tc>
          <w:tcPr>
            <w:tcW w:w="0" w:type="dxa"/>
            <w:vAlign w:val="bottom"/>
          </w:tcPr>
          <w:p>
            <w:pPr>
              <w:spacing w:after="0"/>
              <w:rPr>
                <w:sz w:val="1"/>
                <w:szCs w:val="1"/>
                <w:color w:val="auto"/>
              </w:rPr>
            </w:pPr>
          </w:p>
        </w:tc>
      </w:tr>
      <w:tr>
        <w:trPr>
          <w:trHeight w:val="227"/>
        </w:trPr>
        <w:tc>
          <w:tcPr>
            <w:tcW w:w="55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Equity compensation plans not approved by security holders</w:t>
            </w:r>
          </w:p>
        </w:tc>
        <w:tc>
          <w:tcPr>
            <w:tcW w:w="2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6"/>
        </w:trPr>
        <w:tc>
          <w:tcPr>
            <w:tcW w:w="558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2,278</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jc w:val="both"/>
        <w:ind w:left="160" w:firstLine="7"/>
        <w:spacing w:after="0" w:line="260" w:lineRule="auto"/>
        <w:tabs>
          <w:tab w:leader="none" w:pos="641"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securities to be issued upon vesting of awards includes 326,000 performance stock units, which was derived by assuming that target performance will be achieved during the relevant performance period. The number of securities remaining available for future issuance includes shares relating to the Omnibus Incentive Plan. Actual securities issued will be net of tax.</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sectPr>
      </w:pPr>
    </w:p>
    <w:bookmarkStart w:id="104" w:name="page105"/>
    <w:bookmarkEnd w:id="104"/>
    <w:p>
      <w:pPr>
        <w:ind w:left="160" w:firstLine="7"/>
        <w:spacing w:after="0" w:line="294" w:lineRule="auto"/>
        <w:tabs>
          <w:tab w:leader="none" w:pos="641"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weighted-average exercise price relates to outstanding stock options only. The Company’s restricted stock unit awards, director deferred stock unit awards, and performance stock unit awards have no exercise price. There were no stock options outstanding as of December 31, 2024.</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Additional information regarding the equity compensation plans is included in </w:t>
      </w:r>
      <w:r>
        <w:rPr>
          <w:rFonts w:ascii="Times New Roman" w:cs="Times New Roman" w:eastAsia="Times New Roman" w:hAnsi="Times New Roman"/>
          <w:sz w:val="18"/>
          <w:szCs w:val="18"/>
          <w:b w:val="1"/>
          <w:bCs w:val="1"/>
          <w:color w:val="auto"/>
        </w:rPr>
        <w:t>Note 9 - Share-Based Compensation</w:t>
      </w:r>
      <w:r>
        <w:rPr>
          <w:rFonts w:ascii="Times New Roman" w:cs="Times New Roman" w:eastAsia="Times New Roman" w:hAnsi="Times New Roman"/>
          <w:sz w:val="18"/>
          <w:szCs w:val="18"/>
          <w:color w:val="auto"/>
        </w:rPr>
        <w:t xml:space="preserve"> of this Annual Report on Form 10-K.</w:t>
      </w:r>
    </w:p>
    <w:p>
      <w:pPr>
        <w:spacing w:after="0" w:line="154"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18"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Information with respect to Item 13 will be set forth in the definitive 2025 Proxy Statement, which will be filed with the SEC within 120 days after December 31, 2024 and by this reference is incorporated herein.</w:t>
      </w:r>
    </w:p>
    <w:p>
      <w:pPr>
        <w:spacing w:after="0" w:line="92"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118"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Information with respect to Item 14 will be set forth in the definitive 2025 Proxy Statement, which will be filed with the SEC within 120 days after December 31, 2024 and by this reference is incorporated herein.</w:t>
      </w:r>
    </w:p>
    <w:p>
      <w:pPr>
        <w:spacing w:after="0" w:line="5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54"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118" w:lineRule="exact"/>
        <w:rPr>
          <w:sz w:val="20"/>
          <w:szCs w:val="20"/>
          <w:color w:val="auto"/>
        </w:rPr>
      </w:pPr>
    </w:p>
    <w:p>
      <w:pPr>
        <w:ind w:left="240" w:hanging="233"/>
        <w:spacing w:after="0"/>
        <w:tabs>
          <w:tab w:leader="none" w:pos="2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filed as part of this report</w:t>
      </w:r>
    </w:p>
    <w:p>
      <w:pPr>
        <w:spacing w:after="0" w:line="25" w:lineRule="exact"/>
        <w:rPr>
          <w:rFonts w:ascii="Times New Roman" w:cs="Times New Roman" w:eastAsia="Times New Roman" w:hAnsi="Times New Roman"/>
          <w:sz w:val="18"/>
          <w:szCs w:val="18"/>
          <w:color w:val="auto"/>
        </w:rPr>
      </w:pPr>
    </w:p>
    <w:p>
      <w:pPr>
        <w:ind w:left="640" w:firstLine="9"/>
        <w:spacing w:after="0" w:line="260" w:lineRule="auto"/>
        <w:tabs>
          <w:tab w:leader="none" w:pos="90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of the Company and Southwest Gas required under this item are included in Item 8 of Part II in this Annual Report on Form 10-K.</w:t>
      </w:r>
    </w:p>
    <w:p>
      <w:pPr>
        <w:ind w:left="640" w:firstLine="9"/>
        <w:spacing w:after="0" w:line="259" w:lineRule="auto"/>
        <w:tabs>
          <w:tab w:leader="none" w:pos="90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schedules have been omitted because the required information is either inapplicable or included in the notes to the consolidated financial statements.</w:t>
      </w:r>
    </w:p>
    <w:p>
      <w:pPr>
        <w:ind w:left="900" w:hanging="251"/>
        <w:spacing w:after="0"/>
        <w:tabs>
          <w:tab w:leader="none" w:pos="9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00" w:type="dxa"/>
            <w:vAlign w:val="bottom"/>
          </w:tcPr>
          <w:p>
            <w:pPr>
              <w:spacing w:after="0"/>
              <w:rPr>
                <w:sz w:val="16"/>
                <w:szCs w:val="16"/>
                <w:color w:val="auto"/>
              </w:rPr>
            </w:pPr>
          </w:p>
        </w:tc>
        <w:tc>
          <w:tcPr>
            <w:tcW w:w="1860" w:type="dxa"/>
            <w:vAlign w:val="bottom"/>
            <w:gridSpan w:val="2"/>
          </w:tcPr>
          <w:p>
            <w:pPr>
              <w:jc w:val="center"/>
              <w:ind w:right="13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40" w:type="dxa"/>
            <w:vAlign w:val="bottom"/>
            <w:gridSpan w:val="19"/>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Description of Document</w:t>
            </w:r>
          </w:p>
        </w:tc>
        <w:tc>
          <w:tcPr>
            <w:tcW w:w="0" w:type="dxa"/>
            <w:vAlign w:val="bottom"/>
          </w:tcPr>
          <w:p>
            <w:pPr>
              <w:spacing w:after="0"/>
              <w:rPr>
                <w:sz w:val="1"/>
                <w:szCs w:val="1"/>
                <w:color w:val="auto"/>
              </w:rPr>
            </w:pPr>
          </w:p>
        </w:tc>
      </w:tr>
      <w:tr>
        <w:trPr>
          <w:trHeight w:val="174"/>
        </w:trPr>
        <w:tc>
          <w:tcPr>
            <w:tcW w:w="600" w:type="dxa"/>
            <w:vAlign w:val="bottom"/>
          </w:tcPr>
          <w:p>
            <w:pPr>
              <w:spacing w:after="0"/>
              <w:rPr>
                <w:sz w:val="15"/>
                <w:szCs w:val="15"/>
                <w:color w:val="auto"/>
              </w:rPr>
            </w:pPr>
          </w:p>
        </w:tc>
        <w:tc>
          <w:tcPr>
            <w:tcW w:w="1860" w:type="dxa"/>
            <w:vAlign w:val="bottom"/>
            <w:gridSpan w:val="2"/>
          </w:tcPr>
          <w:p>
            <w:pPr>
              <w:jc w:val="center"/>
              <w:ind w:right="1300"/>
              <w:spacing w:after="0" w:line="174"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1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40" w:type="dxa"/>
            <w:vAlign w:val="bottom"/>
            <w:gridSpan w:val="1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3(i)</w:t>
            </w:r>
          </w:p>
        </w:tc>
        <w:tc>
          <w:tcPr>
            <w:tcW w:w="5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960" w:type="dxa"/>
            <w:vAlign w:val="bottom"/>
            <w:gridSpan w:val="22"/>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Certificate of Incorporation of Southwest Gas Holdings, Inc., a Delaware corporation. Incorporated herein by reference to</w:t>
              </w:r>
            </w:hyperlink>
          </w:p>
        </w:tc>
        <w:tc>
          <w:tcPr>
            <w:tcW w:w="0" w:type="dxa"/>
            <w:vAlign w:val="bottom"/>
          </w:tcPr>
          <w:p>
            <w:pPr>
              <w:spacing w:after="0"/>
              <w:rPr>
                <w:sz w:val="1"/>
                <w:szCs w:val="1"/>
                <w:color w:val="auto"/>
              </w:rPr>
            </w:pPr>
          </w:p>
        </w:tc>
      </w:tr>
      <w:tr>
        <w:trPr>
          <w:trHeight w:val="154"/>
        </w:trPr>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460" w:type="dxa"/>
            <w:vAlign w:val="bottom"/>
            <w:tcBorders>
              <w:top w:val="single" w:sz="8" w:color="0000FF"/>
              <w:bottom w:val="single" w:sz="8" w:color="0000FF"/>
            </w:tcBorders>
            <w:gridSpan w:val="7"/>
          </w:tcPr>
          <w:p>
            <w:pPr>
              <w:spacing w:after="0" w:line="154" w:lineRule="exact"/>
              <w:rPr>
                <w:rFonts w:ascii="Times New Roman" w:cs="Times New Roman" w:eastAsia="Times New Roman" w:hAnsi="Times New Roman"/>
                <w:sz w:val="17"/>
                <w:szCs w:val="17"/>
                <w:color w:val="0000FF"/>
              </w:rPr>
            </w:pPr>
            <w:hyperlink r:id="rId134">
              <w:r>
                <w:rPr>
                  <w:rFonts w:ascii="Times New Roman" w:cs="Times New Roman" w:eastAsia="Times New Roman" w:hAnsi="Times New Roman"/>
                  <w:sz w:val="17"/>
                  <w:szCs w:val="17"/>
                  <w:color w:val="0000FF"/>
                </w:rPr>
                <w:t>Exhibit 3.1 to Form 8-K12B dated September 20, 2019, File No. 001-37976.</w:t>
              </w:r>
            </w:hyperlink>
          </w:p>
        </w:tc>
        <w:tc>
          <w:tcPr>
            <w:tcW w:w="332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4"/>
        </w:trPr>
        <w:tc>
          <w:tcPr>
            <w:tcW w:w="2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3(ii)</w:t>
            </w:r>
          </w:p>
        </w:tc>
        <w:tc>
          <w:tcPr>
            <w:tcW w:w="8960" w:type="dxa"/>
            <w:vAlign w:val="bottom"/>
            <w:gridSpan w:val="22"/>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Amended and Restated Bylaws of Southwest Gas Holdings, Inc., effective October 18, 2021. Incorporated herein by</w:t>
              </w:r>
            </w:hyperlink>
          </w:p>
        </w:tc>
        <w:tc>
          <w:tcPr>
            <w:tcW w:w="0" w:type="dxa"/>
            <w:vAlign w:val="bottom"/>
          </w:tcPr>
          <w:p>
            <w:pPr>
              <w:spacing w:after="0"/>
              <w:rPr>
                <w:sz w:val="1"/>
                <w:szCs w:val="1"/>
                <w:color w:val="auto"/>
              </w:rPr>
            </w:pPr>
          </w:p>
        </w:tc>
      </w:tr>
      <w:tr>
        <w:trPr>
          <w:trHeight w:val="154"/>
        </w:trPr>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860" w:type="dxa"/>
            <w:vAlign w:val="bottom"/>
            <w:tcBorders>
              <w:top w:val="single" w:sz="8" w:color="0000FF"/>
            </w:tcBorders>
            <w:gridSpan w:val="17"/>
          </w:tcPr>
          <w:p>
            <w:pPr>
              <w:spacing w:after="0" w:line="154" w:lineRule="exact"/>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reference to Exhibit 3.1 to Form 8-K dated October 18, 2021, File No. 001-37976.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60" w:type="dxa"/>
            <w:vAlign w:val="bottom"/>
            <w:gridSpan w:val="3"/>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2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3(iii)</w:t>
            </w:r>
          </w:p>
        </w:tc>
        <w:tc>
          <w:tcPr>
            <w:tcW w:w="8960" w:type="dxa"/>
            <w:vAlign w:val="bottom"/>
            <w:gridSpan w:val="22"/>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Amendment to Amended and Restated Bylaws of Southwest Gas Holdings, Inc., effective October 20, 2023. Incorporated</w:t>
              </w:r>
            </w:hyperlink>
          </w:p>
        </w:tc>
        <w:tc>
          <w:tcPr>
            <w:tcW w:w="0" w:type="dxa"/>
            <w:vAlign w:val="bottom"/>
          </w:tcPr>
          <w:p>
            <w:pPr>
              <w:spacing w:after="0"/>
              <w:rPr>
                <w:sz w:val="1"/>
                <w:szCs w:val="1"/>
                <w:color w:val="auto"/>
              </w:rPr>
            </w:pPr>
          </w:p>
        </w:tc>
      </w:tr>
      <w:tr>
        <w:trPr>
          <w:trHeight w:val="154"/>
        </w:trPr>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580" w:type="dxa"/>
            <w:vAlign w:val="bottom"/>
            <w:tcBorders>
              <w:top w:val="single" w:sz="8" w:color="0000FF"/>
              <w:bottom w:val="single" w:sz="8" w:color="0000FF"/>
            </w:tcBorders>
            <w:gridSpan w:val="9"/>
          </w:tcPr>
          <w:p>
            <w:pPr>
              <w:spacing w:after="0" w:line="154" w:lineRule="exact"/>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herein by reference to Exhibit 3.1 to Form 8-K dated October 25, 2023, File No. 001-37976.</w:t>
              </w:r>
            </w:hyperlink>
          </w:p>
        </w:tc>
        <w:tc>
          <w:tcPr>
            <w:tcW w:w="2180" w:type="dxa"/>
            <w:vAlign w:val="bottom"/>
            <w:tcBorders>
              <w:top w:val="single" w:sz="8" w:color="0000FF"/>
            </w:tcBorders>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4"/>
        </w:trPr>
        <w:tc>
          <w:tcPr>
            <w:tcW w:w="2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3(iv)</w:t>
            </w:r>
          </w:p>
        </w:tc>
        <w:tc>
          <w:tcPr>
            <w:tcW w:w="8960" w:type="dxa"/>
            <w:vAlign w:val="bottom"/>
            <w:gridSpan w:val="22"/>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Certificate of Elimination of the Series A Junior Participating Preferred Stock. Incorporated herein by reference to Exhibit</w:t>
              </w:r>
            </w:hyperlink>
          </w:p>
        </w:tc>
        <w:tc>
          <w:tcPr>
            <w:tcW w:w="0" w:type="dxa"/>
            <w:vAlign w:val="bottom"/>
          </w:tcPr>
          <w:p>
            <w:pPr>
              <w:spacing w:after="0"/>
              <w:rPr>
                <w:sz w:val="1"/>
                <w:szCs w:val="1"/>
                <w:color w:val="auto"/>
              </w:rPr>
            </w:pPr>
          </w:p>
        </w:tc>
      </w:tr>
      <w:tr>
        <w:trPr>
          <w:trHeight w:val="154"/>
        </w:trPr>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820" w:type="dxa"/>
            <w:vAlign w:val="bottom"/>
            <w:tcBorders>
              <w:top w:val="single" w:sz="8" w:color="0000FF"/>
            </w:tcBorders>
            <w:gridSpan w:val="15"/>
          </w:tcPr>
          <w:p>
            <w:pPr>
              <w:spacing w:after="0" w:line="154" w:lineRule="exact"/>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1</w:t>
              </w:r>
              <w:r>
                <w:rPr>
                  <w:rFonts w:ascii="Times New Roman" w:cs="Times New Roman" w:eastAsia="Times New Roman" w:hAnsi="Times New Roman"/>
                  <w:sz w:val="17"/>
                  <w:szCs w:val="17"/>
                  <w:color w:val="0000FF"/>
                </w:rPr>
                <w:t xml:space="preserve"> to Form 8-K dated January 13, 2023, File No. 001-37976.</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60" w:type="dxa"/>
            <w:vAlign w:val="bottom"/>
            <w:gridSpan w:val="3"/>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2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3(v)</w:t>
            </w:r>
          </w:p>
        </w:tc>
        <w:tc>
          <w:tcPr>
            <w:tcW w:w="8960" w:type="dxa"/>
            <w:vAlign w:val="bottom"/>
            <w:gridSpan w:val="22"/>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Certificate of Designations of the Series A Junior Participating Preferred Stock. Incorporated herein by reference to</w:t>
              </w:r>
            </w:hyperlink>
          </w:p>
        </w:tc>
        <w:tc>
          <w:tcPr>
            <w:tcW w:w="0" w:type="dxa"/>
            <w:vAlign w:val="bottom"/>
          </w:tcPr>
          <w:p>
            <w:pPr>
              <w:spacing w:after="0"/>
              <w:rPr>
                <w:sz w:val="1"/>
                <w:szCs w:val="1"/>
                <w:color w:val="auto"/>
              </w:rPr>
            </w:pPr>
          </w:p>
        </w:tc>
      </w:tr>
      <w:tr>
        <w:trPr>
          <w:trHeight w:val="154"/>
        </w:trPr>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860" w:type="dxa"/>
            <w:vAlign w:val="bottom"/>
            <w:tcBorders>
              <w:top w:val="single" w:sz="8" w:color="0000FF"/>
            </w:tcBorders>
            <w:gridSpan w:val="17"/>
          </w:tcPr>
          <w:p>
            <w:pPr>
              <w:spacing w:after="0" w:line="154" w:lineRule="exact"/>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Exhibit 3.1 to Form 8-K dated November 6, 2023, File No. 001-37976.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4.01</w:t>
            </w:r>
          </w:p>
        </w:tc>
        <w:tc>
          <w:tcPr>
            <w:tcW w:w="5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960" w:type="dxa"/>
            <w:vAlign w:val="bottom"/>
            <w:gridSpan w:val="22"/>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Indenture between City of Big Bear Lake, California, and Harris Trust and Savings Bank as Trustee, dated December 1,</w:t>
              </w:r>
            </w:hyperlink>
          </w:p>
        </w:tc>
        <w:tc>
          <w:tcPr>
            <w:tcW w:w="0" w:type="dxa"/>
            <w:vAlign w:val="bottom"/>
          </w:tcPr>
          <w:p>
            <w:pPr>
              <w:spacing w:after="0"/>
              <w:rPr>
                <w:sz w:val="1"/>
                <w:szCs w:val="1"/>
                <w:color w:val="auto"/>
              </w:rPr>
            </w:pPr>
          </w:p>
        </w:tc>
      </w:tr>
      <w:tr>
        <w:trPr>
          <w:trHeight w:val="154"/>
        </w:trPr>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800" w:type="dxa"/>
            <w:vAlign w:val="bottom"/>
            <w:tcBorders>
              <w:top w:val="single" w:sz="8" w:color="0000FF"/>
              <w:bottom w:val="single" w:sz="8" w:color="0000FF"/>
            </w:tcBorders>
            <w:gridSpan w:val="14"/>
          </w:tcPr>
          <w:p>
            <w:pPr>
              <w:spacing w:after="0" w:line="154" w:lineRule="exact"/>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 xml:space="preserve">1993, with respect to the issuance of </w:t>
              </w:r>
              <w:r>
                <w:rPr>
                  <w:rFonts w:ascii="Times New Roman" w:cs="Times New Roman" w:eastAsia="Times New Roman" w:hAnsi="Times New Roman"/>
                  <w:sz w:val="17"/>
                  <w:szCs w:val="17"/>
                  <w:u w:val="single" w:color="auto"/>
                  <w:color w:val="0000FF"/>
                </w:rPr>
                <w:t>$</w:t>
              </w:r>
              <w:r>
                <w:rPr>
                  <w:rFonts w:ascii="Times New Roman" w:cs="Times New Roman" w:eastAsia="Times New Roman" w:hAnsi="Times New Roman"/>
                  <w:sz w:val="17"/>
                  <w:szCs w:val="17"/>
                  <w:color w:val="0000FF"/>
                </w:rPr>
                <w:t>50,000,000 Industrial Development Revenue Bonds (Southwest Gas Corporation</w:t>
              </w:r>
            </w:hyperlink>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940" w:type="dxa"/>
            <w:vAlign w:val="bottom"/>
            <w:gridSpan w:val="21"/>
          </w:tcPr>
          <w:p>
            <w:pPr>
              <w:spacing w:after="0" w:line="167"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Project), 1993 Series A, due 2028. Incorporated herein by reference to Exhibit 4.11 to Form 10-K for the year ended</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740" w:type="dxa"/>
            <w:vAlign w:val="bottom"/>
            <w:tcBorders>
              <w:top w:val="single" w:sz="8" w:color="0000FF"/>
            </w:tcBorders>
            <w:gridSpan w:val="11"/>
          </w:tcPr>
          <w:p>
            <w:pPr>
              <w:spacing w:after="0" w:line="154" w:lineRule="exact"/>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December 31, 1993, File No. 001-07850.</w:t>
              </w:r>
            </w:hyperlink>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5640" w:type="dxa"/>
            <w:vAlign w:val="bottom"/>
            <w:gridSpan w:val="8"/>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4.02</w:t>
            </w:r>
          </w:p>
        </w:tc>
        <w:tc>
          <w:tcPr>
            <w:tcW w:w="5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960" w:type="dxa"/>
            <w:vAlign w:val="bottom"/>
            <w:gridSpan w:val="22"/>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Indenture between Southwest Gas Corporation and Harris Trust and Savings Bank dated July 15, 1996, with respect to</w:t>
              </w:r>
            </w:hyperlink>
          </w:p>
        </w:tc>
        <w:tc>
          <w:tcPr>
            <w:tcW w:w="0" w:type="dxa"/>
            <w:vAlign w:val="bottom"/>
          </w:tcPr>
          <w:p>
            <w:pPr>
              <w:spacing w:after="0"/>
              <w:rPr>
                <w:sz w:val="1"/>
                <w:szCs w:val="1"/>
                <w:color w:val="auto"/>
              </w:rPr>
            </w:pPr>
          </w:p>
        </w:tc>
      </w:tr>
      <w:tr>
        <w:trPr>
          <w:trHeight w:val="154"/>
        </w:trPr>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560" w:type="dxa"/>
            <w:vAlign w:val="bottom"/>
            <w:tcBorders>
              <w:top w:val="single" w:sz="8" w:color="0000FF"/>
              <w:bottom w:val="single" w:sz="8" w:color="0000FF"/>
            </w:tcBorders>
            <w:gridSpan w:val="10"/>
          </w:tcPr>
          <w:p>
            <w:pPr>
              <w:spacing w:after="0" w:line="154"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Debt Securities. Incorporated herein by reference to Exhibit 4.04 to Form 8-K dated July 26, 1996, File No. 001–07850.</w:t>
              </w:r>
            </w:hyperlink>
          </w:p>
        </w:tc>
        <w:tc>
          <w:tcPr>
            <w:tcW w:w="34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4.03</w:t>
            </w:r>
          </w:p>
        </w:tc>
        <w:tc>
          <w:tcPr>
            <w:tcW w:w="5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960" w:type="dxa"/>
            <w:vAlign w:val="bottom"/>
            <w:gridSpan w:val="22"/>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First Supplemental Indenture of Southwest Gas Corporation to Harris Trust and Savings Bank dated August 1, 1996,</w:t>
              </w:r>
            </w:hyperlink>
          </w:p>
        </w:tc>
        <w:tc>
          <w:tcPr>
            <w:tcW w:w="0" w:type="dxa"/>
            <w:vAlign w:val="bottom"/>
          </w:tcPr>
          <w:p>
            <w:pPr>
              <w:spacing w:after="0"/>
              <w:rPr>
                <w:sz w:val="1"/>
                <w:szCs w:val="1"/>
                <w:color w:val="auto"/>
              </w:rPr>
            </w:pPr>
          </w:p>
        </w:tc>
      </w:tr>
      <w:tr>
        <w:trPr>
          <w:trHeight w:val="154"/>
        </w:trPr>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920" w:type="dxa"/>
            <w:vAlign w:val="bottom"/>
            <w:tcBorders>
              <w:top w:val="single" w:sz="8" w:color="0000FF"/>
            </w:tcBorders>
            <w:gridSpan w:val="20"/>
          </w:tcPr>
          <w:p>
            <w:pPr>
              <w:spacing w:after="0" w:line="154"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supplementing and amending the Indenture dated as of July 15, 1996, with respect to 7 1/2% and 8% Debentures, due</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840" w:type="dxa"/>
            <w:vAlign w:val="bottom"/>
            <w:tcBorders>
              <w:top w:val="single" w:sz="8" w:color="0000FF"/>
              <w:bottom w:val="single" w:sz="8" w:color="0000FF"/>
            </w:tcBorders>
            <w:gridSpan w:val="16"/>
          </w:tcPr>
          <w:p>
            <w:pPr>
              <w:spacing w:after="0" w:line="167"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2006 and 2026, respectively. Incorporated herein by reference to Exhibit 4.11 to Form 8-K dated July 31, 1996, File</w:t>
              </w:r>
            </w:hyperlink>
          </w:p>
        </w:tc>
        <w:tc>
          <w:tcPr>
            <w:tcW w:w="40" w:type="dxa"/>
            <w:vAlign w:val="bottom"/>
            <w:tcBorders>
              <w:bottom w:val="single" w:sz="8" w:color="0000FF"/>
            </w:tcBorders>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20" w:type="dxa"/>
            <w:vAlign w:val="bottom"/>
            <w:tcBorders>
              <w:bottom w:val="single" w:sz="8" w:color="0000FF"/>
            </w:tcBorders>
          </w:tcPr>
          <w:p>
            <w:pPr>
              <w:spacing w:after="0" w:line="154"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No. 001-07850.</w:t>
              </w:r>
            </w:hyperlink>
          </w:p>
        </w:tc>
        <w:tc>
          <w:tcPr>
            <w:tcW w:w="7760" w:type="dxa"/>
            <w:vAlign w:val="bottom"/>
            <w:gridSpan w:val="17"/>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6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4.04</w:t>
            </w:r>
          </w:p>
        </w:tc>
        <w:tc>
          <w:tcPr>
            <w:tcW w:w="5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960" w:type="dxa"/>
            <w:vAlign w:val="bottom"/>
            <w:gridSpan w:val="22"/>
          </w:tcPr>
          <w:p>
            <w:pPr>
              <w:spacing w:after="0"/>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Second Supplemental Indenture of Southwest Gas Corporation to Harris Trust and Savings Bank dated December 30,</w:t>
              </w:r>
            </w:hyperlink>
          </w:p>
        </w:tc>
        <w:tc>
          <w:tcPr>
            <w:tcW w:w="0" w:type="dxa"/>
            <w:vAlign w:val="bottom"/>
          </w:tcPr>
          <w:p>
            <w:pPr>
              <w:spacing w:after="0"/>
              <w:rPr>
                <w:sz w:val="1"/>
                <w:szCs w:val="1"/>
                <w:color w:val="auto"/>
              </w:rPr>
            </w:pPr>
          </w:p>
        </w:tc>
      </w:tr>
    </w:tbl>
    <w:p>
      <w:pPr>
        <w:ind w:left="2480"/>
        <w:spacing w:after="0" w:line="217" w:lineRule="auto"/>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1996, supplementing and amending the Indenture dated as of July 15, 1996, with respect to Medium-Term Notes.</w:t>
        </w:r>
      </w:hyperlink>
    </w:p>
    <w:p>
      <w:pPr>
        <w:ind w:left="2480"/>
        <w:spacing w:after="0"/>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Incorporated herein by reference to Exhibit 4.04 to Form 8-K dated December 30, 1996, File No. 001–07850.</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07"/>
        </w:trPr>
        <w:tc>
          <w:tcPr>
            <w:tcW w:w="2480" w:type="dxa"/>
            <w:vAlign w:val="bottom"/>
          </w:tcPr>
          <w:p>
            <w:pPr>
              <w:jc w:val="right"/>
              <w:ind w:right="2051"/>
              <w:spacing w:after="0"/>
              <w:rPr>
                <w:sz w:val="20"/>
                <w:szCs w:val="20"/>
                <w:color w:val="auto"/>
              </w:rPr>
            </w:pPr>
            <w:r>
              <w:rPr>
                <w:rFonts w:ascii="Times New Roman" w:cs="Times New Roman" w:eastAsia="Times New Roman" w:hAnsi="Times New Roman"/>
                <w:sz w:val="18"/>
                <w:szCs w:val="18"/>
                <w:color w:val="auto"/>
              </w:rPr>
              <w:t>4.05</w:t>
            </w:r>
          </w:p>
        </w:tc>
        <w:tc>
          <w:tcPr>
            <w:tcW w:w="9060" w:type="dxa"/>
            <w:vAlign w:val="bottom"/>
            <w:gridSpan w:val="32"/>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Indenture of Trust between Clark County, Nevada, and the BNY Midwest Trust Company, as Trustee, dated as of</w:t>
              </w:r>
            </w:hyperlink>
          </w:p>
        </w:tc>
      </w:tr>
      <w:tr>
        <w:trPr>
          <w:trHeight w:val="154"/>
        </w:trPr>
        <w:tc>
          <w:tcPr>
            <w:tcW w:w="2480" w:type="dxa"/>
            <w:vAlign w:val="bottom"/>
          </w:tcPr>
          <w:p>
            <w:pPr>
              <w:spacing w:after="0"/>
              <w:rPr>
                <w:sz w:val="13"/>
                <w:szCs w:val="13"/>
                <w:color w:val="auto"/>
              </w:rPr>
            </w:pPr>
          </w:p>
        </w:tc>
        <w:tc>
          <w:tcPr>
            <w:tcW w:w="8780" w:type="dxa"/>
            <w:vAlign w:val="bottom"/>
            <w:tcBorders>
              <w:top w:val="single" w:sz="8" w:color="0000FF"/>
              <w:bottom w:val="single" w:sz="8" w:color="0000FF"/>
            </w:tcBorders>
            <w:gridSpan w:val="18"/>
          </w:tcPr>
          <w:p>
            <w:pPr>
              <w:spacing w:after="0" w:line="154" w:lineRule="exact"/>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March 1, 2003, relating to Clark County, Nevada Industrial Development Revenue Bonds Series 2003. Incorporated</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2480" w:type="dxa"/>
            <w:vAlign w:val="bottom"/>
          </w:tcPr>
          <w:p>
            <w:pPr>
              <w:spacing w:after="0"/>
              <w:rPr>
                <w:sz w:val="14"/>
                <w:szCs w:val="14"/>
                <w:color w:val="auto"/>
              </w:rPr>
            </w:pPr>
          </w:p>
        </w:tc>
        <w:tc>
          <w:tcPr>
            <w:tcW w:w="8140" w:type="dxa"/>
            <w:vAlign w:val="bottom"/>
            <w:tcBorders>
              <w:bottom w:val="single" w:sz="8" w:color="0000FF"/>
            </w:tcBorders>
            <w:gridSpan w:val="15"/>
          </w:tcPr>
          <w:p>
            <w:pPr>
              <w:spacing w:after="0" w:line="167" w:lineRule="exact"/>
              <w:rPr>
                <w:rFonts w:ascii="Times New Roman" w:cs="Times New Roman" w:eastAsia="Times New Roman" w:hAnsi="Times New Roman"/>
                <w:sz w:val="18"/>
                <w:szCs w:val="18"/>
                <w:color w:val="0000FF"/>
                <w:w w:val="98"/>
              </w:rPr>
            </w:pPr>
            <w:hyperlink r:id="rId143">
              <w:r>
                <w:rPr>
                  <w:rFonts w:ascii="Times New Roman" w:cs="Times New Roman" w:eastAsia="Times New Roman" w:hAnsi="Times New Roman"/>
                  <w:sz w:val="18"/>
                  <w:szCs w:val="18"/>
                  <w:color w:val="0000FF"/>
                  <w:w w:val="98"/>
                </w:rPr>
                <w:t>herein by reference to Exhibit 10.01 to Form 10-Q for the quarter ended September 30, 2008, File No. 001-07850.</w:t>
              </w:r>
            </w:hyperlink>
          </w:p>
        </w:tc>
        <w:tc>
          <w:tcPr>
            <w:tcW w:w="66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1"/>
        </w:trPr>
        <w:tc>
          <w:tcPr>
            <w:tcW w:w="2480" w:type="dxa"/>
            <w:vAlign w:val="bottom"/>
          </w:tcPr>
          <w:p>
            <w:pPr>
              <w:jc w:val="right"/>
              <w:ind w:right="2051"/>
              <w:spacing w:after="0"/>
              <w:rPr>
                <w:sz w:val="20"/>
                <w:szCs w:val="20"/>
                <w:color w:val="auto"/>
              </w:rPr>
            </w:pPr>
            <w:r>
              <w:rPr>
                <w:rFonts w:ascii="Times New Roman" w:cs="Times New Roman" w:eastAsia="Times New Roman" w:hAnsi="Times New Roman"/>
                <w:sz w:val="18"/>
                <w:szCs w:val="18"/>
                <w:color w:val="auto"/>
              </w:rPr>
              <w:t>4.06</w:t>
            </w:r>
          </w:p>
        </w:tc>
        <w:tc>
          <w:tcPr>
            <w:tcW w:w="9060" w:type="dxa"/>
            <w:vAlign w:val="bottom"/>
            <w:gridSpan w:val="32"/>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Indenture of Trust between Clark County, Nevada and The Bank of New York Mellon Trust Company, N.A., as Trustee,</w:t>
              </w:r>
            </w:hyperlink>
          </w:p>
        </w:tc>
      </w:tr>
      <w:tr>
        <w:trPr>
          <w:trHeight w:val="154"/>
        </w:trPr>
        <w:tc>
          <w:tcPr>
            <w:tcW w:w="2480" w:type="dxa"/>
            <w:vAlign w:val="bottom"/>
          </w:tcPr>
          <w:p>
            <w:pPr>
              <w:spacing w:after="0"/>
              <w:rPr>
                <w:sz w:val="13"/>
                <w:szCs w:val="13"/>
                <w:color w:val="auto"/>
              </w:rPr>
            </w:pPr>
          </w:p>
        </w:tc>
        <w:tc>
          <w:tcPr>
            <w:tcW w:w="9040" w:type="dxa"/>
            <w:vAlign w:val="bottom"/>
            <w:tcBorders>
              <w:top w:val="single" w:sz="8" w:color="0000FF"/>
            </w:tcBorders>
            <w:gridSpan w:val="31"/>
          </w:tcPr>
          <w:p>
            <w:pPr>
              <w:spacing w:after="0" w:line="154" w:lineRule="exact"/>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dated as of September 1, 2008, relating to Clark County, Nevada Industrial Development Revenue Bonds Series 2008A.</w:t>
              </w:r>
            </w:hyperlink>
          </w:p>
        </w:tc>
        <w:tc>
          <w:tcPr>
            <w:tcW w:w="20" w:type="dxa"/>
            <w:vAlign w:val="bottom"/>
          </w:tcPr>
          <w:p>
            <w:pPr>
              <w:spacing w:after="0"/>
              <w:rPr>
                <w:sz w:val="13"/>
                <w:szCs w:val="13"/>
                <w:color w:val="auto"/>
              </w:rPr>
            </w:pPr>
          </w:p>
        </w:tc>
      </w:tr>
      <w:tr>
        <w:trPr>
          <w:trHeight w:val="167"/>
        </w:trPr>
        <w:tc>
          <w:tcPr>
            <w:tcW w:w="2480" w:type="dxa"/>
            <w:vAlign w:val="bottom"/>
          </w:tcPr>
          <w:p>
            <w:pPr>
              <w:spacing w:after="0"/>
              <w:rPr>
                <w:sz w:val="14"/>
                <w:szCs w:val="14"/>
                <w:color w:val="auto"/>
              </w:rPr>
            </w:pPr>
          </w:p>
        </w:tc>
        <w:tc>
          <w:tcPr>
            <w:tcW w:w="9020" w:type="dxa"/>
            <w:vAlign w:val="bottom"/>
            <w:tcBorders>
              <w:top w:val="single" w:sz="8" w:color="0000FF"/>
            </w:tcBorders>
            <w:gridSpan w:val="30"/>
          </w:tcPr>
          <w:p>
            <w:pPr>
              <w:spacing w:after="0" w:line="167"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Incorporated herein by reference to Exhibit 10.02 to Form 10-Q for the quarter ended September 30, 2008, File No. 001-</w:t>
              </w:r>
            </w:hyperlink>
          </w:p>
        </w:tc>
        <w:tc>
          <w:tcPr>
            <w:tcW w:w="40" w:type="dxa"/>
            <w:vAlign w:val="bottom"/>
            <w:gridSpan w:val="2"/>
          </w:tcPr>
          <w:p>
            <w:pPr>
              <w:spacing w:after="0"/>
              <w:rPr>
                <w:sz w:val="14"/>
                <w:szCs w:val="14"/>
                <w:color w:val="auto"/>
              </w:rPr>
            </w:pPr>
          </w:p>
        </w:tc>
      </w:tr>
      <w:tr>
        <w:trPr>
          <w:trHeight w:val="154"/>
        </w:trPr>
        <w:tc>
          <w:tcPr>
            <w:tcW w:w="2480" w:type="dxa"/>
            <w:vAlign w:val="bottom"/>
          </w:tcPr>
          <w:p>
            <w:pPr>
              <w:spacing w:after="0"/>
              <w:rPr>
                <w:sz w:val="13"/>
                <w:szCs w:val="13"/>
                <w:color w:val="auto"/>
              </w:rPr>
            </w:pPr>
          </w:p>
        </w:tc>
        <w:tc>
          <w:tcPr>
            <w:tcW w:w="480" w:type="dxa"/>
            <w:vAlign w:val="bottom"/>
            <w:tcBorders>
              <w:top w:val="single" w:sz="8" w:color="0000FF"/>
              <w:bottom w:val="single" w:sz="8" w:color="0000FF"/>
            </w:tcBorders>
          </w:tcPr>
          <w:p>
            <w:pPr>
              <w:spacing w:after="0" w:line="154" w:lineRule="exact"/>
              <w:rPr>
                <w:rFonts w:ascii="Times New Roman" w:cs="Times New Roman" w:eastAsia="Times New Roman" w:hAnsi="Times New Roman"/>
                <w:sz w:val="17"/>
                <w:szCs w:val="17"/>
                <w:color w:val="0000FF"/>
                <w:w w:val="98"/>
              </w:rPr>
            </w:pPr>
            <w:hyperlink r:id="rId144">
              <w:r>
                <w:rPr>
                  <w:rFonts w:ascii="Times New Roman" w:cs="Times New Roman" w:eastAsia="Times New Roman" w:hAnsi="Times New Roman"/>
                  <w:sz w:val="17"/>
                  <w:szCs w:val="17"/>
                  <w:color w:val="0000FF"/>
                  <w:w w:val="98"/>
                </w:rPr>
                <w:t>07850.</w:t>
              </w:r>
            </w:hyperlink>
          </w:p>
        </w:tc>
        <w:tc>
          <w:tcPr>
            <w:tcW w:w="6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228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1"/>
        </w:trPr>
        <w:tc>
          <w:tcPr>
            <w:tcW w:w="2480" w:type="dxa"/>
            <w:vAlign w:val="bottom"/>
          </w:tcPr>
          <w:p>
            <w:pPr>
              <w:jc w:val="right"/>
              <w:ind w:right="2051"/>
              <w:spacing w:after="0"/>
              <w:rPr>
                <w:sz w:val="20"/>
                <w:szCs w:val="20"/>
                <w:color w:val="auto"/>
              </w:rPr>
            </w:pPr>
            <w:r>
              <w:rPr>
                <w:rFonts w:ascii="Times New Roman" w:cs="Times New Roman" w:eastAsia="Times New Roman" w:hAnsi="Times New Roman"/>
                <w:sz w:val="18"/>
                <w:szCs w:val="18"/>
                <w:color w:val="auto"/>
              </w:rPr>
              <w:t>4.07</w:t>
            </w:r>
          </w:p>
        </w:tc>
        <w:tc>
          <w:tcPr>
            <w:tcW w:w="9060" w:type="dxa"/>
            <w:vAlign w:val="bottom"/>
            <w:gridSpan w:val="32"/>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Indenture of Trust between Clark County, Nevada and The Bank of New York Mellon Trust Company, N.A., as Trustee,</w:t>
              </w:r>
            </w:hyperlink>
          </w:p>
        </w:tc>
      </w:tr>
      <w:tr>
        <w:trPr>
          <w:trHeight w:val="154"/>
        </w:trPr>
        <w:tc>
          <w:tcPr>
            <w:tcW w:w="2480" w:type="dxa"/>
            <w:vAlign w:val="bottom"/>
          </w:tcPr>
          <w:p>
            <w:pPr>
              <w:spacing w:after="0"/>
              <w:rPr>
                <w:sz w:val="13"/>
                <w:szCs w:val="13"/>
                <w:color w:val="auto"/>
              </w:rPr>
            </w:pPr>
          </w:p>
        </w:tc>
        <w:tc>
          <w:tcPr>
            <w:tcW w:w="9040" w:type="dxa"/>
            <w:vAlign w:val="bottom"/>
            <w:tcBorders>
              <w:top w:val="single" w:sz="8" w:color="0000FF"/>
            </w:tcBorders>
            <w:gridSpan w:val="31"/>
          </w:tcPr>
          <w:p>
            <w:pPr>
              <w:spacing w:after="0" w:line="154" w:lineRule="exact"/>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dated December 1, 2009, relating to Clark County, Nevada Industrial Development Revenue Bonds Series 2009A.</w:t>
              </w:r>
            </w:hyperlink>
          </w:p>
        </w:tc>
        <w:tc>
          <w:tcPr>
            <w:tcW w:w="20" w:type="dxa"/>
            <w:vAlign w:val="bottom"/>
          </w:tcPr>
          <w:p>
            <w:pPr>
              <w:spacing w:after="0"/>
              <w:rPr>
                <w:sz w:val="13"/>
                <w:szCs w:val="13"/>
                <w:color w:val="auto"/>
              </w:rPr>
            </w:pPr>
          </w:p>
        </w:tc>
      </w:tr>
      <w:tr>
        <w:trPr>
          <w:trHeight w:val="167"/>
        </w:trPr>
        <w:tc>
          <w:tcPr>
            <w:tcW w:w="2480" w:type="dxa"/>
            <w:vAlign w:val="bottom"/>
          </w:tcPr>
          <w:p>
            <w:pPr>
              <w:spacing w:after="0"/>
              <w:rPr>
                <w:sz w:val="14"/>
                <w:szCs w:val="14"/>
                <w:color w:val="auto"/>
              </w:rPr>
            </w:pPr>
          </w:p>
        </w:tc>
        <w:tc>
          <w:tcPr>
            <w:tcW w:w="8980" w:type="dxa"/>
            <w:vAlign w:val="bottom"/>
            <w:tcBorders>
              <w:top w:val="single" w:sz="8" w:color="0000FF"/>
            </w:tcBorders>
            <w:gridSpan w:val="28"/>
          </w:tcPr>
          <w:p>
            <w:pPr>
              <w:spacing w:after="0" w:line="167"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Incorporated herein by reference to Exhibit 4.27 to Form 10-K for the year ended December 31, 2009, File No. 001-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4"/>
        </w:trPr>
        <w:tc>
          <w:tcPr>
            <w:tcW w:w="2480" w:type="dxa"/>
            <w:vAlign w:val="bottom"/>
          </w:tcPr>
          <w:p>
            <w:pPr>
              <w:spacing w:after="0"/>
              <w:rPr>
                <w:sz w:val="13"/>
                <w:szCs w:val="13"/>
                <w:color w:val="auto"/>
              </w:rPr>
            </w:pPr>
          </w:p>
        </w:tc>
        <w:tc>
          <w:tcPr>
            <w:tcW w:w="480" w:type="dxa"/>
            <w:vAlign w:val="bottom"/>
            <w:tcBorders>
              <w:top w:val="single" w:sz="8" w:color="0000FF"/>
              <w:bottom w:val="single" w:sz="8" w:color="0000FF"/>
            </w:tcBorders>
          </w:tcPr>
          <w:p>
            <w:pPr>
              <w:spacing w:after="0" w:line="154" w:lineRule="exact"/>
              <w:rPr>
                <w:rFonts w:ascii="Times New Roman" w:cs="Times New Roman" w:eastAsia="Times New Roman" w:hAnsi="Times New Roman"/>
                <w:sz w:val="17"/>
                <w:szCs w:val="17"/>
                <w:color w:val="0000FF"/>
                <w:w w:val="98"/>
              </w:rPr>
            </w:pPr>
            <w:hyperlink r:id="rId145">
              <w:r>
                <w:rPr>
                  <w:rFonts w:ascii="Times New Roman" w:cs="Times New Roman" w:eastAsia="Times New Roman" w:hAnsi="Times New Roman"/>
                  <w:sz w:val="17"/>
                  <w:szCs w:val="17"/>
                  <w:color w:val="0000FF"/>
                  <w:w w:val="98"/>
                </w:rPr>
                <w:t>07850.</w:t>
              </w:r>
            </w:hyperlink>
          </w:p>
        </w:tc>
        <w:tc>
          <w:tcPr>
            <w:tcW w:w="6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228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1"/>
        </w:trPr>
        <w:tc>
          <w:tcPr>
            <w:tcW w:w="2480" w:type="dxa"/>
            <w:vAlign w:val="bottom"/>
          </w:tcPr>
          <w:p>
            <w:pPr>
              <w:jc w:val="right"/>
              <w:ind w:right="2051"/>
              <w:spacing w:after="0"/>
              <w:rPr>
                <w:sz w:val="20"/>
                <w:szCs w:val="20"/>
                <w:color w:val="auto"/>
              </w:rPr>
            </w:pPr>
            <w:r>
              <w:rPr>
                <w:rFonts w:ascii="Times New Roman" w:cs="Times New Roman" w:eastAsia="Times New Roman" w:hAnsi="Times New Roman"/>
                <w:sz w:val="18"/>
                <w:szCs w:val="18"/>
                <w:color w:val="auto"/>
              </w:rPr>
              <w:t>4.08</w:t>
            </w:r>
          </w:p>
        </w:tc>
        <w:tc>
          <w:tcPr>
            <w:tcW w:w="9060" w:type="dxa"/>
            <w:vAlign w:val="bottom"/>
            <w:gridSpan w:val="32"/>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Note Purchase Agreement, dated November 18, 2010, by and between Southwest Gas Corporation and Metropolitan Life</w:t>
              </w:r>
            </w:hyperlink>
          </w:p>
        </w:tc>
      </w:tr>
      <w:tr>
        <w:trPr>
          <w:trHeight w:val="154"/>
        </w:trPr>
        <w:tc>
          <w:tcPr>
            <w:tcW w:w="2480" w:type="dxa"/>
            <w:vAlign w:val="bottom"/>
          </w:tcPr>
          <w:p>
            <w:pPr>
              <w:spacing w:after="0"/>
              <w:rPr>
                <w:sz w:val="13"/>
                <w:szCs w:val="13"/>
                <w:color w:val="auto"/>
              </w:rPr>
            </w:pPr>
          </w:p>
        </w:tc>
        <w:tc>
          <w:tcPr>
            <w:tcW w:w="8900" w:type="dxa"/>
            <w:vAlign w:val="bottom"/>
            <w:tcBorders>
              <w:top w:val="single" w:sz="8" w:color="0000FF"/>
              <w:bottom w:val="single" w:sz="8" w:color="0000FF"/>
            </w:tcBorders>
            <w:gridSpan w:val="24"/>
          </w:tcPr>
          <w:p>
            <w:pPr>
              <w:spacing w:after="0" w:line="154" w:lineRule="exact"/>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Insurance Company, John Hancock Life Insurance Company (U.S.A.), certain of their respective affiliates, and Union</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7"/>
        </w:trPr>
        <w:tc>
          <w:tcPr>
            <w:tcW w:w="2480" w:type="dxa"/>
            <w:vAlign w:val="bottom"/>
          </w:tcPr>
          <w:p>
            <w:pPr>
              <w:spacing w:after="0"/>
              <w:rPr>
                <w:sz w:val="14"/>
                <w:szCs w:val="14"/>
                <w:color w:val="auto"/>
              </w:rPr>
            </w:pPr>
          </w:p>
        </w:tc>
        <w:tc>
          <w:tcPr>
            <w:tcW w:w="8920" w:type="dxa"/>
            <w:vAlign w:val="bottom"/>
            <w:gridSpan w:val="25"/>
          </w:tcPr>
          <w:p>
            <w:pPr>
              <w:spacing w:after="0" w:line="167"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Fidelity Life Insurance Company. Incorporated herein by reference to Exhibit 4.1 to Form 8-K dated November 18, 2010,</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4"/>
        </w:trPr>
        <w:tc>
          <w:tcPr>
            <w:tcW w:w="2480" w:type="dxa"/>
            <w:vAlign w:val="bottom"/>
          </w:tcPr>
          <w:p>
            <w:pPr>
              <w:spacing w:after="0"/>
              <w:rPr>
                <w:sz w:val="13"/>
                <w:szCs w:val="13"/>
                <w:color w:val="auto"/>
              </w:rPr>
            </w:pPr>
          </w:p>
        </w:tc>
        <w:tc>
          <w:tcPr>
            <w:tcW w:w="1440" w:type="dxa"/>
            <w:vAlign w:val="bottom"/>
            <w:tcBorders>
              <w:top w:val="single" w:sz="8" w:color="0000FF"/>
              <w:bottom w:val="single" w:sz="8" w:color="0000FF"/>
            </w:tcBorders>
            <w:gridSpan w:val="3"/>
          </w:tcPr>
          <w:p>
            <w:pPr>
              <w:spacing w:after="0" w:line="154" w:lineRule="exact"/>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File No. 001-07850.</w:t>
              </w:r>
            </w:hyperlink>
          </w:p>
        </w:tc>
        <w:tc>
          <w:tcPr>
            <w:tcW w:w="3400" w:type="dxa"/>
            <w:vAlign w:val="bottom"/>
            <w:tcBorders>
              <w:top w:val="single" w:sz="8" w:color="0000FF"/>
            </w:tcBorders>
            <w:gridSpan w:val="9"/>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228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1"/>
        </w:trPr>
        <w:tc>
          <w:tcPr>
            <w:tcW w:w="2480" w:type="dxa"/>
            <w:vAlign w:val="bottom"/>
          </w:tcPr>
          <w:p>
            <w:pPr>
              <w:jc w:val="right"/>
              <w:ind w:right="2051"/>
              <w:spacing w:after="0"/>
              <w:rPr>
                <w:sz w:val="20"/>
                <w:szCs w:val="20"/>
                <w:color w:val="auto"/>
              </w:rPr>
            </w:pPr>
            <w:r>
              <w:rPr>
                <w:rFonts w:ascii="Times New Roman" w:cs="Times New Roman" w:eastAsia="Times New Roman" w:hAnsi="Times New Roman"/>
                <w:sz w:val="18"/>
                <w:szCs w:val="18"/>
                <w:color w:val="auto"/>
              </w:rPr>
              <w:t>4.09</w:t>
            </w:r>
          </w:p>
        </w:tc>
        <w:tc>
          <w:tcPr>
            <w:tcW w:w="9060" w:type="dxa"/>
            <w:vAlign w:val="bottom"/>
            <w:gridSpan w:val="32"/>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Amendment No. 1 to Note Purchase Agreement, dated March 28, 2014, by and among Southwest Gas Corporation and</w:t>
              </w:r>
            </w:hyperlink>
          </w:p>
        </w:tc>
      </w:tr>
      <w:tr>
        <w:trPr>
          <w:trHeight w:val="154"/>
        </w:trPr>
        <w:tc>
          <w:tcPr>
            <w:tcW w:w="2480" w:type="dxa"/>
            <w:vAlign w:val="bottom"/>
          </w:tcPr>
          <w:p>
            <w:pPr>
              <w:spacing w:after="0"/>
              <w:rPr>
                <w:sz w:val="13"/>
                <w:szCs w:val="13"/>
                <w:color w:val="auto"/>
              </w:rPr>
            </w:pPr>
          </w:p>
        </w:tc>
        <w:tc>
          <w:tcPr>
            <w:tcW w:w="4840" w:type="dxa"/>
            <w:vAlign w:val="bottom"/>
            <w:tcBorders>
              <w:top w:val="single" w:sz="8" w:color="0000FF"/>
            </w:tcBorders>
            <w:gridSpan w:val="12"/>
          </w:tcPr>
          <w:p>
            <w:pPr>
              <w:spacing w:after="0" w:line="154" w:lineRule="exact"/>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the holders of the Notes. Incorporated herein by reference to</w:t>
              </w:r>
            </w:hyperlink>
          </w:p>
        </w:tc>
        <w:tc>
          <w:tcPr>
            <w:tcW w:w="4160" w:type="dxa"/>
            <w:vAlign w:val="bottom"/>
            <w:tcBorders>
              <w:top w:val="single" w:sz="8" w:color="0000FF"/>
            </w:tcBorders>
            <w:gridSpan w:val="17"/>
          </w:tcPr>
          <w:p>
            <w:pPr>
              <w:spacing w:after="0" w:line="154" w:lineRule="exact"/>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Exhibit 4.1 to Form 8-K dated March  31, 2014,</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7"/>
        </w:trPr>
        <w:tc>
          <w:tcPr>
            <w:tcW w:w="2480" w:type="dxa"/>
            <w:vAlign w:val="bottom"/>
          </w:tcPr>
          <w:p>
            <w:pPr>
              <w:spacing w:after="0"/>
              <w:rPr>
                <w:sz w:val="14"/>
                <w:szCs w:val="14"/>
                <w:color w:val="auto"/>
              </w:rPr>
            </w:pPr>
          </w:p>
        </w:tc>
        <w:tc>
          <w:tcPr>
            <w:tcW w:w="4840" w:type="dxa"/>
            <w:vAlign w:val="bottom"/>
            <w:tcBorders>
              <w:top w:val="single" w:sz="8" w:color="0000FF"/>
            </w:tcBorders>
            <w:gridSpan w:val="12"/>
          </w:tcPr>
          <w:p>
            <w:pPr>
              <w:spacing w:after="0" w:line="167"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File No. 001–07850.</w:t>
              </w:r>
            </w:hyperlink>
          </w:p>
        </w:tc>
        <w:tc>
          <w:tcPr>
            <w:tcW w:w="16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228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48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1"/>
        </w:trPr>
        <w:tc>
          <w:tcPr>
            <w:tcW w:w="2480" w:type="dxa"/>
            <w:vAlign w:val="bottom"/>
          </w:tcPr>
          <w:p>
            <w:pPr>
              <w:jc w:val="right"/>
              <w:ind w:right="2051"/>
              <w:spacing w:after="0"/>
              <w:rPr>
                <w:sz w:val="20"/>
                <w:szCs w:val="20"/>
                <w:color w:val="auto"/>
              </w:rPr>
            </w:pPr>
            <w:r>
              <w:rPr>
                <w:rFonts w:ascii="Times New Roman" w:cs="Times New Roman" w:eastAsia="Times New Roman" w:hAnsi="Times New Roman"/>
                <w:sz w:val="18"/>
                <w:szCs w:val="18"/>
                <w:color w:val="auto"/>
              </w:rPr>
              <w:t>4.10</w:t>
            </w:r>
          </w:p>
        </w:tc>
        <w:tc>
          <w:tcPr>
            <w:tcW w:w="4840" w:type="dxa"/>
            <w:vAlign w:val="bottom"/>
            <w:gridSpan w:val="12"/>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Amendment No. 2 to Note Purchase Agreement, dated September</w:t>
              </w:r>
            </w:hyperlink>
          </w:p>
        </w:tc>
        <w:tc>
          <w:tcPr>
            <w:tcW w:w="4220" w:type="dxa"/>
            <w:vAlign w:val="bottom"/>
            <w:gridSpan w:val="20"/>
          </w:tcPr>
          <w:p>
            <w:pPr>
              <w:ind w:left="100"/>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30, 2016, by and among Southwest Gas Corporation</w:t>
              </w:r>
            </w:hyperlink>
          </w:p>
        </w:tc>
      </w:tr>
      <w:tr>
        <w:trPr>
          <w:trHeight w:val="154"/>
        </w:trPr>
        <w:tc>
          <w:tcPr>
            <w:tcW w:w="2480" w:type="dxa"/>
            <w:vAlign w:val="bottom"/>
          </w:tcPr>
          <w:p>
            <w:pPr>
              <w:spacing w:after="0"/>
              <w:rPr>
                <w:sz w:val="13"/>
                <w:szCs w:val="13"/>
                <w:color w:val="auto"/>
              </w:rPr>
            </w:pPr>
          </w:p>
        </w:tc>
        <w:tc>
          <w:tcPr>
            <w:tcW w:w="8960" w:type="dxa"/>
            <w:vAlign w:val="bottom"/>
            <w:tcBorders>
              <w:top w:val="single" w:sz="8" w:color="0000FF"/>
            </w:tcBorders>
            <w:gridSpan w:val="27"/>
          </w:tcPr>
          <w:p>
            <w:pPr>
              <w:spacing w:after="0" w:line="154" w:lineRule="exact"/>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and the holders of the Notes. Incorporated herein by reference to Exhibit 4.02 to Form 10-Q for the quarter ended</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7"/>
        </w:trPr>
        <w:tc>
          <w:tcPr>
            <w:tcW w:w="2480" w:type="dxa"/>
            <w:vAlign w:val="bottom"/>
          </w:tcPr>
          <w:p>
            <w:pPr>
              <w:spacing w:after="0"/>
              <w:rPr>
                <w:sz w:val="14"/>
                <w:szCs w:val="14"/>
                <w:color w:val="auto"/>
              </w:rPr>
            </w:pPr>
          </w:p>
        </w:tc>
        <w:tc>
          <w:tcPr>
            <w:tcW w:w="3040" w:type="dxa"/>
            <w:vAlign w:val="bottom"/>
            <w:tcBorders>
              <w:top w:val="single" w:sz="8" w:color="0000FF"/>
              <w:bottom w:val="single" w:sz="8" w:color="0000FF"/>
            </w:tcBorders>
            <w:gridSpan w:val="8"/>
          </w:tcPr>
          <w:p>
            <w:pPr>
              <w:spacing w:after="0" w:line="167" w:lineRule="exact"/>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September 30, 2016, File No. 001–07850.</w:t>
              </w:r>
            </w:hyperlink>
          </w:p>
        </w:tc>
        <w:tc>
          <w:tcPr>
            <w:tcW w:w="1800" w:type="dxa"/>
            <w:vAlign w:val="bottom"/>
            <w:tcBorders>
              <w:top w:val="single" w:sz="8" w:color="0000FF"/>
            </w:tcBorders>
            <w:gridSpan w:val="4"/>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228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1"/>
        </w:trPr>
        <w:tc>
          <w:tcPr>
            <w:tcW w:w="2480" w:type="dxa"/>
            <w:vAlign w:val="bottom"/>
          </w:tcPr>
          <w:p>
            <w:pPr>
              <w:jc w:val="right"/>
              <w:ind w:right="2051"/>
              <w:spacing w:after="0"/>
              <w:rPr>
                <w:sz w:val="20"/>
                <w:szCs w:val="20"/>
                <w:color w:val="auto"/>
              </w:rPr>
            </w:pPr>
            <w:r>
              <w:rPr>
                <w:rFonts w:ascii="Times New Roman" w:cs="Times New Roman" w:eastAsia="Times New Roman" w:hAnsi="Times New Roman"/>
                <w:sz w:val="18"/>
                <w:szCs w:val="18"/>
                <w:color w:val="auto"/>
              </w:rPr>
              <w:t>4.11</w:t>
            </w:r>
          </w:p>
        </w:tc>
        <w:tc>
          <w:tcPr>
            <w:tcW w:w="9060" w:type="dxa"/>
            <w:vAlign w:val="bottom"/>
            <w:gridSpan w:val="32"/>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Form of 6.1% Senior Note due 2041. Incorporated herein by reference to Exhibit 4.2 to Form 8-K dated November 18,</w:t>
              </w:r>
            </w:hyperlink>
          </w:p>
        </w:tc>
      </w:tr>
      <w:tr>
        <w:trPr>
          <w:trHeight w:val="154"/>
        </w:trPr>
        <w:tc>
          <w:tcPr>
            <w:tcW w:w="2480" w:type="dxa"/>
            <w:vAlign w:val="bottom"/>
          </w:tcPr>
          <w:p>
            <w:pPr>
              <w:spacing w:after="0"/>
              <w:rPr>
                <w:sz w:val="13"/>
                <w:szCs w:val="13"/>
                <w:color w:val="auto"/>
              </w:rPr>
            </w:pPr>
          </w:p>
        </w:tc>
        <w:tc>
          <w:tcPr>
            <w:tcW w:w="4840" w:type="dxa"/>
            <w:vAlign w:val="bottom"/>
            <w:tcBorders>
              <w:top w:val="single" w:sz="8" w:color="0000FF"/>
            </w:tcBorders>
            <w:gridSpan w:val="12"/>
          </w:tcPr>
          <w:p>
            <w:pPr>
              <w:spacing w:after="0" w:line="154" w:lineRule="exact"/>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2010, File No. 001-07850.</w:t>
              </w:r>
            </w:hyperlink>
          </w:p>
        </w:tc>
        <w:tc>
          <w:tcPr>
            <w:tcW w:w="16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228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48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74"/>
        </w:trPr>
        <w:tc>
          <w:tcPr>
            <w:tcW w:w="2480" w:type="dxa"/>
            <w:vAlign w:val="bottom"/>
          </w:tcPr>
          <w:p>
            <w:pPr>
              <w:jc w:val="right"/>
              <w:ind w:right="2051"/>
              <w:spacing w:after="0"/>
              <w:rPr>
                <w:sz w:val="20"/>
                <w:szCs w:val="20"/>
                <w:color w:val="auto"/>
              </w:rPr>
            </w:pPr>
            <w:r>
              <w:rPr>
                <w:rFonts w:ascii="Times New Roman" w:cs="Times New Roman" w:eastAsia="Times New Roman" w:hAnsi="Times New Roman"/>
                <w:sz w:val="18"/>
                <w:szCs w:val="18"/>
                <w:color w:val="auto"/>
              </w:rPr>
              <w:t>4.12</w:t>
            </w:r>
          </w:p>
        </w:tc>
        <w:tc>
          <w:tcPr>
            <w:tcW w:w="9060" w:type="dxa"/>
            <w:vAlign w:val="bottom"/>
            <w:gridSpan w:val="32"/>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Indenture, dated as of October 4, 2013, by and between Southwest Gas Corporation and the Bank of New York Mellon</w:t>
              </w:r>
            </w:hyperlink>
          </w:p>
        </w:tc>
      </w:tr>
      <w:tr>
        <w:trPr>
          <w:trHeight w:val="154"/>
        </w:trPr>
        <w:tc>
          <w:tcPr>
            <w:tcW w:w="2480" w:type="dxa"/>
            <w:vAlign w:val="bottom"/>
          </w:tcPr>
          <w:p>
            <w:pPr>
              <w:spacing w:after="0"/>
              <w:rPr>
                <w:sz w:val="13"/>
                <w:szCs w:val="13"/>
                <w:color w:val="auto"/>
              </w:rPr>
            </w:pPr>
          </w:p>
        </w:tc>
        <w:tc>
          <w:tcPr>
            <w:tcW w:w="8840" w:type="dxa"/>
            <w:vAlign w:val="bottom"/>
            <w:tcBorders>
              <w:top w:val="single" w:sz="8" w:color="0000FF"/>
            </w:tcBorders>
            <w:gridSpan w:val="21"/>
          </w:tcPr>
          <w:p>
            <w:pPr>
              <w:spacing w:after="0" w:line="154" w:lineRule="exact"/>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Trust Company, N.A., as Trustee. 4.875% Notes due 2043. Incorporated herein by reference to Exhibit 4.1 to Form 8-K</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167"/>
        </w:trPr>
        <w:tc>
          <w:tcPr>
            <w:tcW w:w="2480" w:type="dxa"/>
            <w:vAlign w:val="bottom"/>
          </w:tcPr>
          <w:p>
            <w:pPr>
              <w:spacing w:after="0"/>
              <w:rPr>
                <w:sz w:val="14"/>
                <w:szCs w:val="14"/>
                <w:color w:val="auto"/>
              </w:rPr>
            </w:pPr>
          </w:p>
        </w:tc>
        <w:tc>
          <w:tcPr>
            <w:tcW w:w="3120" w:type="dxa"/>
            <w:vAlign w:val="bottom"/>
            <w:tcBorders>
              <w:top w:val="single" w:sz="8" w:color="0000FF"/>
              <w:bottom w:val="single" w:sz="8" w:color="0000FF"/>
            </w:tcBorders>
            <w:gridSpan w:val="9"/>
          </w:tcPr>
          <w:p>
            <w:pPr>
              <w:spacing w:after="0" w:line="167" w:lineRule="exact"/>
              <w:rPr>
                <w:rFonts w:ascii="Times New Roman" w:cs="Times New Roman" w:eastAsia="Times New Roman" w:hAnsi="Times New Roman"/>
                <w:sz w:val="18"/>
                <w:szCs w:val="18"/>
                <w:color w:val="0000FF"/>
                <w:w w:val="98"/>
              </w:rPr>
            </w:pPr>
            <w:hyperlink r:id="rId149">
              <w:r>
                <w:rPr>
                  <w:rFonts w:ascii="Times New Roman" w:cs="Times New Roman" w:eastAsia="Times New Roman" w:hAnsi="Times New Roman"/>
                  <w:sz w:val="18"/>
                  <w:szCs w:val="18"/>
                  <w:color w:val="0000FF"/>
                  <w:w w:val="98"/>
                </w:rPr>
                <w:t>dated October 1, 2013, File No. 001-07850.</w:t>
              </w:r>
            </w:hyperlink>
          </w:p>
        </w:tc>
        <w:tc>
          <w:tcPr>
            <w:tcW w:w="1720" w:type="dxa"/>
            <w:vAlign w:val="bottom"/>
            <w:tcBorders>
              <w:top w:val="single" w:sz="8" w:color="0000FF"/>
            </w:tcBorders>
            <w:gridSpan w:val="3"/>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228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1"/>
        </w:trPr>
        <w:tc>
          <w:tcPr>
            <w:tcW w:w="2480" w:type="dxa"/>
            <w:vAlign w:val="bottom"/>
          </w:tcPr>
          <w:p>
            <w:pPr>
              <w:jc w:val="right"/>
              <w:ind w:right="2051"/>
              <w:spacing w:after="0"/>
              <w:rPr>
                <w:sz w:val="20"/>
                <w:szCs w:val="20"/>
                <w:color w:val="auto"/>
              </w:rPr>
            </w:pPr>
            <w:r>
              <w:rPr>
                <w:rFonts w:ascii="Times New Roman" w:cs="Times New Roman" w:eastAsia="Times New Roman" w:hAnsi="Times New Roman"/>
                <w:sz w:val="18"/>
                <w:szCs w:val="18"/>
                <w:color w:val="auto"/>
              </w:rPr>
              <w:t>4.13</w:t>
            </w:r>
          </w:p>
        </w:tc>
        <w:tc>
          <w:tcPr>
            <w:tcW w:w="9060" w:type="dxa"/>
            <w:vAlign w:val="bottom"/>
            <w:gridSpan w:val="32"/>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Southwest Gas Holdings, Inc. Dividend Reinvestment and Direct Stock Purchase Plan. Incorporated by reference to</w:t>
              </w:r>
            </w:hyperlink>
          </w:p>
        </w:tc>
      </w:tr>
      <w:tr>
        <w:trPr>
          <w:trHeight w:val="154"/>
        </w:trPr>
        <w:tc>
          <w:tcPr>
            <w:tcW w:w="2480" w:type="dxa"/>
            <w:vAlign w:val="bottom"/>
          </w:tcPr>
          <w:p>
            <w:pPr>
              <w:spacing w:after="0"/>
              <w:rPr>
                <w:sz w:val="13"/>
                <w:szCs w:val="13"/>
                <w:color w:val="auto"/>
              </w:rPr>
            </w:pPr>
          </w:p>
        </w:tc>
        <w:tc>
          <w:tcPr>
            <w:tcW w:w="8800" w:type="dxa"/>
            <w:vAlign w:val="bottom"/>
            <w:tcBorders>
              <w:top w:val="single" w:sz="8" w:color="0000FF"/>
            </w:tcBorders>
            <w:gridSpan w:val="19"/>
          </w:tcPr>
          <w:p>
            <w:pPr>
              <w:spacing w:after="0" w:line="154" w:lineRule="exact"/>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prospectus 424(b)(5) dated November 28, 2023, File No. 333-275774.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0"/>
        </w:trPr>
        <w:tc>
          <w:tcPr>
            <w:tcW w:w="248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74"/>
        </w:trPr>
        <w:tc>
          <w:tcPr>
            <w:tcW w:w="2480" w:type="dxa"/>
            <w:vAlign w:val="bottom"/>
          </w:tcPr>
          <w:p>
            <w:pPr>
              <w:jc w:val="right"/>
              <w:ind w:right="2051"/>
              <w:spacing w:after="0"/>
              <w:rPr>
                <w:sz w:val="20"/>
                <w:szCs w:val="20"/>
                <w:color w:val="auto"/>
              </w:rPr>
            </w:pPr>
            <w:r>
              <w:rPr>
                <w:rFonts w:ascii="Times New Roman" w:cs="Times New Roman" w:eastAsia="Times New Roman" w:hAnsi="Times New Roman"/>
                <w:sz w:val="18"/>
                <w:szCs w:val="18"/>
                <w:color w:val="auto"/>
              </w:rPr>
              <w:t>4.14</w:t>
            </w:r>
          </w:p>
        </w:tc>
        <w:tc>
          <w:tcPr>
            <w:tcW w:w="9060" w:type="dxa"/>
            <w:vAlign w:val="bottom"/>
            <w:gridSpan w:val="32"/>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Indenture, dated September  29, 2016, by and between Southwest Gas Corporation and The Bank of New York Mellon</w:t>
              </w:r>
            </w:hyperlink>
          </w:p>
        </w:tc>
      </w:tr>
      <w:tr>
        <w:trPr>
          <w:trHeight w:val="154"/>
        </w:trPr>
        <w:tc>
          <w:tcPr>
            <w:tcW w:w="2480" w:type="dxa"/>
            <w:vAlign w:val="bottom"/>
          </w:tcPr>
          <w:p>
            <w:pPr>
              <w:spacing w:after="0"/>
              <w:rPr>
                <w:sz w:val="13"/>
                <w:szCs w:val="13"/>
                <w:color w:val="auto"/>
              </w:rPr>
            </w:pPr>
          </w:p>
        </w:tc>
        <w:tc>
          <w:tcPr>
            <w:tcW w:w="8760" w:type="dxa"/>
            <w:vAlign w:val="bottom"/>
            <w:tcBorders>
              <w:top w:val="single" w:sz="8" w:color="0000FF"/>
            </w:tcBorders>
            <w:gridSpan w:val="17"/>
          </w:tcPr>
          <w:p>
            <w:pPr>
              <w:spacing w:after="0" w:line="154" w:lineRule="exact"/>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Trust Company, N.A., as Trustee. 3.80% Senior Notes due 2046. Incorporated herein by reference to Exhibit 4.01 to Form</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167"/>
        </w:trPr>
        <w:tc>
          <w:tcPr>
            <w:tcW w:w="2480" w:type="dxa"/>
            <w:vAlign w:val="bottom"/>
          </w:tcPr>
          <w:p>
            <w:pPr>
              <w:spacing w:after="0"/>
              <w:rPr>
                <w:sz w:val="14"/>
                <w:szCs w:val="14"/>
                <w:color w:val="auto"/>
              </w:rPr>
            </w:pPr>
          </w:p>
        </w:tc>
        <w:tc>
          <w:tcPr>
            <w:tcW w:w="3720" w:type="dxa"/>
            <w:vAlign w:val="bottom"/>
            <w:tcBorders>
              <w:top w:val="single" w:sz="8" w:color="0000FF"/>
              <w:bottom w:val="single" w:sz="8" w:color="0000FF"/>
            </w:tcBorders>
            <w:gridSpan w:val="11"/>
          </w:tcPr>
          <w:p>
            <w:pPr>
              <w:spacing w:after="0" w:line="167" w:lineRule="exact"/>
              <w:rPr>
                <w:rFonts w:ascii="Times New Roman" w:cs="Times New Roman" w:eastAsia="Times New Roman" w:hAnsi="Times New Roman"/>
                <w:sz w:val="18"/>
                <w:szCs w:val="18"/>
                <w:color w:val="0000FF"/>
                <w:w w:val="98"/>
              </w:rPr>
            </w:pPr>
            <w:hyperlink r:id="rId151">
              <w:r>
                <w:rPr>
                  <w:rFonts w:ascii="Times New Roman" w:cs="Times New Roman" w:eastAsia="Times New Roman" w:hAnsi="Times New Roman"/>
                  <w:sz w:val="18"/>
                  <w:szCs w:val="18"/>
                  <w:color w:val="0000FF"/>
                  <w:w w:val="98"/>
                </w:rPr>
                <w:t>8-K dated September 26, 2016, File No. 001-07850.</w:t>
              </w:r>
            </w:hyperlink>
          </w:p>
        </w:tc>
        <w:tc>
          <w:tcPr>
            <w:tcW w:w="11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228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1"/>
        </w:trPr>
        <w:tc>
          <w:tcPr>
            <w:tcW w:w="2480" w:type="dxa"/>
            <w:vAlign w:val="bottom"/>
          </w:tcPr>
          <w:p>
            <w:pPr>
              <w:jc w:val="right"/>
              <w:ind w:right="2051"/>
              <w:spacing w:after="0"/>
              <w:rPr>
                <w:sz w:val="20"/>
                <w:szCs w:val="20"/>
                <w:color w:val="auto"/>
              </w:rPr>
            </w:pPr>
            <w:r>
              <w:rPr>
                <w:rFonts w:ascii="Times New Roman" w:cs="Times New Roman" w:eastAsia="Times New Roman" w:hAnsi="Times New Roman"/>
                <w:sz w:val="18"/>
                <w:szCs w:val="18"/>
                <w:color w:val="auto"/>
              </w:rPr>
              <w:t>4.15</w:t>
            </w:r>
          </w:p>
        </w:tc>
        <w:tc>
          <w:tcPr>
            <w:tcW w:w="9060" w:type="dxa"/>
            <w:vAlign w:val="bottom"/>
            <w:gridSpan w:val="32"/>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Indenture, dated March 15, 2018, by and between Southwest Gas Corporation and The Bank of New York Mellon Trust</w:t>
              </w:r>
            </w:hyperlink>
          </w:p>
        </w:tc>
      </w:tr>
      <w:tr>
        <w:trPr>
          <w:trHeight w:val="154"/>
        </w:trPr>
        <w:tc>
          <w:tcPr>
            <w:tcW w:w="2480" w:type="dxa"/>
            <w:vAlign w:val="bottom"/>
          </w:tcPr>
          <w:p>
            <w:pPr>
              <w:spacing w:after="0"/>
              <w:rPr>
                <w:sz w:val="13"/>
                <w:szCs w:val="13"/>
                <w:color w:val="auto"/>
              </w:rPr>
            </w:pPr>
          </w:p>
        </w:tc>
        <w:tc>
          <w:tcPr>
            <w:tcW w:w="8880" w:type="dxa"/>
            <w:vAlign w:val="bottom"/>
            <w:tcBorders>
              <w:top w:val="single" w:sz="8" w:color="0000FF"/>
            </w:tcBorders>
            <w:gridSpan w:val="23"/>
          </w:tcPr>
          <w:p>
            <w:pPr>
              <w:spacing w:after="0" w:line="154" w:lineRule="exact"/>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Company, N.A., as Trustee. Incorporated herein by reference to Exhibit 4.1 to Form 8-K dated March 15, 2018, File Nos.</w:t>
              </w:r>
            </w:hyperlink>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167"/>
        </w:trPr>
        <w:tc>
          <w:tcPr>
            <w:tcW w:w="2480" w:type="dxa"/>
            <w:vAlign w:val="bottom"/>
          </w:tcPr>
          <w:p>
            <w:pPr>
              <w:spacing w:after="0"/>
              <w:rPr>
                <w:sz w:val="14"/>
                <w:szCs w:val="14"/>
                <w:color w:val="auto"/>
              </w:rPr>
            </w:pPr>
          </w:p>
        </w:tc>
        <w:tc>
          <w:tcPr>
            <w:tcW w:w="1940" w:type="dxa"/>
            <w:vAlign w:val="bottom"/>
            <w:tcBorders>
              <w:top w:val="single" w:sz="8" w:color="0000FF"/>
              <w:bottom w:val="single" w:sz="8" w:color="0000FF"/>
            </w:tcBorders>
            <w:gridSpan w:val="7"/>
          </w:tcPr>
          <w:p>
            <w:pPr>
              <w:spacing w:after="0" w:line="167" w:lineRule="exact"/>
              <w:rPr>
                <w:rFonts w:ascii="Times New Roman" w:cs="Times New Roman" w:eastAsia="Times New Roman" w:hAnsi="Times New Roman"/>
                <w:sz w:val="18"/>
                <w:szCs w:val="18"/>
                <w:color w:val="0000FF"/>
                <w:w w:val="98"/>
              </w:rPr>
            </w:pPr>
            <w:hyperlink r:id="rId152">
              <w:r>
                <w:rPr>
                  <w:rFonts w:ascii="Times New Roman" w:cs="Times New Roman" w:eastAsia="Times New Roman" w:hAnsi="Times New Roman"/>
                  <w:sz w:val="18"/>
                  <w:szCs w:val="18"/>
                  <w:color w:val="0000FF"/>
                  <w:w w:val="98"/>
                </w:rPr>
                <w:t>001-37976 and 001-07850.</w:t>
              </w:r>
            </w:hyperlink>
          </w:p>
        </w:tc>
        <w:tc>
          <w:tcPr>
            <w:tcW w:w="2900" w:type="dxa"/>
            <w:vAlign w:val="bottom"/>
            <w:tcBorders>
              <w:top w:val="single" w:sz="8" w:color="0000FF"/>
            </w:tcBorders>
            <w:gridSpan w:val="5"/>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228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1"/>
        </w:trPr>
        <w:tc>
          <w:tcPr>
            <w:tcW w:w="2480" w:type="dxa"/>
            <w:vAlign w:val="bottom"/>
          </w:tcPr>
          <w:p>
            <w:pPr>
              <w:jc w:val="right"/>
              <w:ind w:right="2051"/>
              <w:spacing w:after="0"/>
              <w:rPr>
                <w:sz w:val="20"/>
                <w:szCs w:val="20"/>
                <w:color w:val="auto"/>
              </w:rPr>
            </w:pPr>
            <w:r>
              <w:rPr>
                <w:rFonts w:ascii="Times New Roman" w:cs="Times New Roman" w:eastAsia="Times New Roman" w:hAnsi="Times New Roman"/>
                <w:sz w:val="18"/>
                <w:szCs w:val="18"/>
                <w:color w:val="auto"/>
              </w:rPr>
              <w:t>4.16</w:t>
            </w:r>
          </w:p>
        </w:tc>
        <w:tc>
          <w:tcPr>
            <w:tcW w:w="9060" w:type="dxa"/>
            <w:vAlign w:val="bottom"/>
            <w:gridSpan w:val="32"/>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First Supplemental Indenture, dated March 15, 2018, by and between Southwest Gas Corporation and The Bank of New</w:t>
              </w:r>
            </w:hyperlink>
          </w:p>
        </w:tc>
      </w:tr>
      <w:tr>
        <w:trPr>
          <w:trHeight w:val="154"/>
        </w:trPr>
        <w:tc>
          <w:tcPr>
            <w:tcW w:w="2480" w:type="dxa"/>
            <w:vAlign w:val="bottom"/>
          </w:tcPr>
          <w:p>
            <w:pPr>
              <w:spacing w:after="0"/>
              <w:rPr>
                <w:sz w:val="13"/>
                <w:szCs w:val="13"/>
                <w:color w:val="auto"/>
              </w:rPr>
            </w:pPr>
          </w:p>
        </w:tc>
        <w:tc>
          <w:tcPr>
            <w:tcW w:w="8940" w:type="dxa"/>
            <w:vAlign w:val="bottom"/>
            <w:tcBorders>
              <w:top w:val="single" w:sz="8" w:color="0000FF"/>
            </w:tcBorders>
            <w:gridSpan w:val="26"/>
          </w:tcPr>
          <w:p>
            <w:pPr>
              <w:spacing w:after="0" w:line="154" w:lineRule="exact"/>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York Mellon Trust Company, N.A., as Trustee. Incorporated herein by reference to Exhibit 4.2 to Form 8-K dated March</w:t>
              </w:r>
            </w:hyperlink>
          </w:p>
        </w:tc>
        <w:tc>
          <w:tcPr>
            <w:tcW w:w="120" w:type="dxa"/>
            <w:vAlign w:val="bottom"/>
            <w:gridSpan w:val="6"/>
          </w:tcPr>
          <w:p>
            <w:pPr>
              <w:spacing w:after="0"/>
              <w:rPr>
                <w:sz w:val="13"/>
                <w:szCs w:val="13"/>
                <w:color w:val="auto"/>
              </w:rPr>
            </w:pPr>
          </w:p>
        </w:tc>
      </w:tr>
      <w:tr>
        <w:trPr>
          <w:trHeight w:val="167"/>
        </w:trPr>
        <w:tc>
          <w:tcPr>
            <w:tcW w:w="2480" w:type="dxa"/>
            <w:vAlign w:val="bottom"/>
          </w:tcPr>
          <w:p>
            <w:pPr>
              <w:spacing w:after="0"/>
              <w:rPr>
                <w:sz w:val="14"/>
                <w:szCs w:val="14"/>
                <w:color w:val="auto"/>
              </w:rPr>
            </w:pPr>
          </w:p>
        </w:tc>
        <w:tc>
          <w:tcPr>
            <w:tcW w:w="3340" w:type="dxa"/>
            <w:vAlign w:val="bottom"/>
            <w:tcBorders>
              <w:top w:val="single" w:sz="8" w:color="0000FF"/>
              <w:bottom w:val="single" w:sz="8" w:color="0000FF"/>
            </w:tcBorders>
            <w:gridSpan w:val="10"/>
          </w:tcPr>
          <w:p>
            <w:pPr>
              <w:spacing w:after="0" w:line="167" w:lineRule="exact"/>
              <w:rPr>
                <w:rFonts w:ascii="Times New Roman" w:cs="Times New Roman" w:eastAsia="Times New Roman" w:hAnsi="Times New Roman"/>
                <w:sz w:val="18"/>
                <w:szCs w:val="18"/>
                <w:color w:val="0000FF"/>
                <w:w w:val="98"/>
              </w:rPr>
            </w:pPr>
            <w:hyperlink r:id="rId153">
              <w:r>
                <w:rPr>
                  <w:rFonts w:ascii="Times New Roman" w:cs="Times New Roman" w:eastAsia="Times New Roman" w:hAnsi="Times New Roman"/>
                  <w:sz w:val="18"/>
                  <w:szCs w:val="18"/>
                  <w:color w:val="0000FF"/>
                  <w:w w:val="98"/>
                </w:rPr>
                <w:t>15, 2018, File Nos. 001-37976 and 001-07850.</w:t>
              </w:r>
            </w:hyperlink>
          </w:p>
        </w:tc>
        <w:tc>
          <w:tcPr>
            <w:tcW w:w="1500" w:type="dxa"/>
            <w:vAlign w:val="bottom"/>
            <w:tcBorders>
              <w:top w:val="single" w:sz="8" w:color="0000FF"/>
            </w:tcBorders>
            <w:gridSpan w:val="2"/>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228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1"/>
        </w:trPr>
        <w:tc>
          <w:tcPr>
            <w:tcW w:w="2480" w:type="dxa"/>
            <w:vAlign w:val="bottom"/>
          </w:tcPr>
          <w:p>
            <w:pPr>
              <w:jc w:val="right"/>
              <w:ind w:right="2051"/>
              <w:spacing w:after="0"/>
              <w:rPr>
                <w:sz w:val="20"/>
                <w:szCs w:val="20"/>
                <w:color w:val="auto"/>
              </w:rPr>
            </w:pPr>
            <w:r>
              <w:rPr>
                <w:rFonts w:ascii="Times New Roman" w:cs="Times New Roman" w:eastAsia="Times New Roman" w:hAnsi="Times New Roman"/>
                <w:sz w:val="18"/>
                <w:szCs w:val="18"/>
                <w:color w:val="auto"/>
              </w:rPr>
              <w:t>4.17</w:t>
            </w:r>
          </w:p>
        </w:tc>
        <w:tc>
          <w:tcPr>
            <w:tcW w:w="9060" w:type="dxa"/>
            <w:vAlign w:val="bottom"/>
            <w:gridSpan w:val="32"/>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Form of 3.70% Senior Note due 2028 (included in Exhibit 4.23). Incorporated herein by reference to Exhibit 4.24 to Form</w:t>
              </w:r>
            </w:hyperlink>
          </w:p>
        </w:tc>
      </w:tr>
      <w:tr>
        <w:trPr>
          <w:trHeight w:val="154"/>
        </w:trPr>
        <w:tc>
          <w:tcPr>
            <w:tcW w:w="2480" w:type="dxa"/>
            <w:vAlign w:val="bottom"/>
          </w:tcPr>
          <w:p>
            <w:pPr>
              <w:spacing w:after="0"/>
              <w:rPr>
                <w:sz w:val="13"/>
                <w:szCs w:val="13"/>
                <w:color w:val="auto"/>
              </w:rPr>
            </w:pPr>
          </w:p>
        </w:tc>
        <w:tc>
          <w:tcPr>
            <w:tcW w:w="8820" w:type="dxa"/>
            <w:vAlign w:val="bottom"/>
            <w:tcBorders>
              <w:top w:val="single" w:sz="8" w:color="0000FF"/>
            </w:tcBorders>
            <w:gridSpan w:val="20"/>
          </w:tcPr>
          <w:p>
            <w:pPr>
              <w:spacing w:after="0" w:line="154" w:lineRule="exact"/>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10-K for the year ended December 31, 2018, File Nos. 001-37976 and 001-07850.</w:t>
              </w:r>
            </w:hyperlink>
          </w:p>
        </w:tc>
        <w:tc>
          <w:tcPr>
            <w:tcW w:w="40" w:type="dxa"/>
            <w:vAlign w:val="bottom"/>
            <w:gridSpan w:val="2"/>
          </w:tcPr>
          <w:p>
            <w:pPr>
              <w:spacing w:after="0"/>
              <w:rPr>
                <w:sz w:val="13"/>
                <w:szCs w:val="13"/>
                <w:color w:val="auto"/>
              </w:rPr>
            </w:pPr>
          </w:p>
        </w:tc>
        <w:tc>
          <w:tcPr>
            <w:tcW w:w="200" w:type="dxa"/>
            <w:vAlign w:val="bottom"/>
            <w:gridSpan w:val="10"/>
          </w:tcPr>
          <w:p>
            <w:pPr>
              <w:spacing w:after="0"/>
              <w:rPr>
                <w:sz w:val="13"/>
                <w:szCs w:val="13"/>
                <w:color w:val="auto"/>
              </w:rPr>
            </w:pPr>
          </w:p>
        </w:tc>
      </w:tr>
      <w:tr>
        <w:trPr>
          <w:trHeight w:val="20"/>
        </w:trPr>
        <w:tc>
          <w:tcPr>
            <w:tcW w:w="248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3940" w:type="dxa"/>
            <w:vAlign w:val="bottom"/>
            <w:gridSpan w:val="8"/>
            <w:shd w:val="clear" w:color="auto" w:fill="0000FF"/>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r>
      <w:tr>
        <w:trPr>
          <w:trHeight w:val="274"/>
        </w:trPr>
        <w:tc>
          <w:tcPr>
            <w:tcW w:w="2480" w:type="dxa"/>
            <w:vAlign w:val="bottom"/>
          </w:tcPr>
          <w:p>
            <w:pPr>
              <w:jc w:val="right"/>
              <w:ind w:right="2051"/>
              <w:spacing w:after="0"/>
              <w:rPr>
                <w:sz w:val="20"/>
                <w:szCs w:val="20"/>
                <w:color w:val="auto"/>
              </w:rPr>
            </w:pPr>
            <w:r>
              <w:rPr>
                <w:rFonts w:ascii="Times New Roman" w:cs="Times New Roman" w:eastAsia="Times New Roman" w:hAnsi="Times New Roman"/>
                <w:sz w:val="18"/>
                <w:szCs w:val="18"/>
                <w:color w:val="auto"/>
              </w:rPr>
              <w:t>4.18</w:t>
            </w:r>
          </w:p>
        </w:tc>
        <w:tc>
          <w:tcPr>
            <w:tcW w:w="9060" w:type="dxa"/>
            <w:vAlign w:val="bottom"/>
            <w:gridSpan w:val="32"/>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Indenture, dated as of May 31, 2019, by and between Southwest Gas Corporation and The Bank of New York Mellon</w:t>
              </w:r>
            </w:hyperlink>
          </w:p>
        </w:tc>
      </w:tr>
      <w:tr>
        <w:trPr>
          <w:trHeight w:val="154"/>
        </w:trPr>
        <w:tc>
          <w:tcPr>
            <w:tcW w:w="2480" w:type="dxa"/>
            <w:vAlign w:val="bottom"/>
          </w:tcPr>
          <w:p>
            <w:pPr>
              <w:spacing w:after="0"/>
              <w:rPr>
                <w:sz w:val="13"/>
                <w:szCs w:val="13"/>
                <w:color w:val="auto"/>
              </w:rPr>
            </w:pPr>
          </w:p>
        </w:tc>
        <w:tc>
          <w:tcPr>
            <w:tcW w:w="8740" w:type="dxa"/>
            <w:vAlign w:val="bottom"/>
            <w:tcBorders>
              <w:top w:val="single" w:sz="8" w:color="0000FF"/>
            </w:tcBorders>
            <w:gridSpan w:val="16"/>
          </w:tcPr>
          <w:p>
            <w:pPr>
              <w:spacing w:after="0" w:line="154" w:lineRule="exact"/>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Trust Company, N.A., as Trustee. Incorporated herein by reference to Exhibit 4.1 to Form 8-K dated May 28, 2019, File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0" w:type="dxa"/>
            <w:vAlign w:val="bottom"/>
            <w:gridSpan w:val="10"/>
          </w:tcPr>
          <w:p>
            <w:pPr>
              <w:spacing w:after="0"/>
              <w:rPr>
                <w:sz w:val="13"/>
                <w:szCs w:val="13"/>
                <w:color w:val="auto"/>
              </w:rPr>
            </w:pPr>
          </w:p>
        </w:tc>
      </w:tr>
      <w:tr>
        <w:trPr>
          <w:trHeight w:val="167"/>
        </w:trPr>
        <w:tc>
          <w:tcPr>
            <w:tcW w:w="2480" w:type="dxa"/>
            <w:vAlign w:val="bottom"/>
          </w:tcPr>
          <w:p>
            <w:pPr>
              <w:spacing w:after="0"/>
              <w:rPr>
                <w:sz w:val="14"/>
                <w:szCs w:val="14"/>
                <w:color w:val="auto"/>
              </w:rPr>
            </w:pPr>
          </w:p>
        </w:tc>
        <w:tc>
          <w:tcPr>
            <w:tcW w:w="1120" w:type="dxa"/>
            <w:vAlign w:val="bottom"/>
            <w:tcBorders>
              <w:top w:val="single" w:sz="8" w:color="0000FF"/>
              <w:bottom w:val="single" w:sz="8" w:color="0000FF"/>
            </w:tcBorders>
            <w:gridSpan w:val="2"/>
          </w:tcPr>
          <w:p>
            <w:pPr>
              <w:spacing w:after="0" w:line="167" w:lineRule="exact"/>
              <w:rPr>
                <w:rFonts w:ascii="Times New Roman" w:cs="Times New Roman" w:eastAsia="Times New Roman" w:hAnsi="Times New Roman"/>
                <w:sz w:val="18"/>
                <w:szCs w:val="18"/>
                <w:color w:val="0000FF"/>
                <w:w w:val="96"/>
              </w:rPr>
            </w:pPr>
            <w:hyperlink r:id="rId154">
              <w:r>
                <w:rPr>
                  <w:rFonts w:ascii="Times New Roman" w:cs="Times New Roman" w:eastAsia="Times New Roman" w:hAnsi="Times New Roman"/>
                  <w:sz w:val="18"/>
                  <w:szCs w:val="18"/>
                  <w:color w:val="0000FF"/>
                  <w:w w:val="96"/>
                </w:rPr>
                <w:t>No. 001-07850.</w:t>
              </w:r>
            </w:hyperlink>
          </w:p>
        </w:tc>
        <w:tc>
          <w:tcPr>
            <w:tcW w:w="3720" w:type="dxa"/>
            <w:vAlign w:val="bottom"/>
            <w:tcBorders>
              <w:top w:val="single" w:sz="8" w:color="0000FF"/>
            </w:tcBorders>
            <w:gridSpan w:val="10"/>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228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1"/>
        </w:trPr>
        <w:tc>
          <w:tcPr>
            <w:tcW w:w="2480" w:type="dxa"/>
            <w:vAlign w:val="bottom"/>
          </w:tcPr>
          <w:p>
            <w:pPr>
              <w:jc w:val="right"/>
              <w:ind w:right="2051"/>
              <w:spacing w:after="0"/>
              <w:rPr>
                <w:sz w:val="20"/>
                <w:szCs w:val="20"/>
                <w:color w:val="auto"/>
              </w:rPr>
            </w:pPr>
            <w:r>
              <w:rPr>
                <w:rFonts w:ascii="Times New Roman" w:cs="Times New Roman" w:eastAsia="Times New Roman" w:hAnsi="Times New Roman"/>
                <w:sz w:val="18"/>
                <w:szCs w:val="18"/>
                <w:color w:val="auto"/>
              </w:rPr>
              <w:t>4.19</w:t>
            </w:r>
          </w:p>
        </w:tc>
        <w:tc>
          <w:tcPr>
            <w:tcW w:w="9060" w:type="dxa"/>
            <w:vAlign w:val="bottom"/>
            <w:gridSpan w:val="32"/>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First Supplemental Indenture, dated May 31, 2019, by and between Southwest Gas Corporation and The Bank of New</w:t>
              </w:r>
            </w:hyperlink>
          </w:p>
        </w:tc>
      </w:tr>
      <w:tr>
        <w:trPr>
          <w:trHeight w:val="154"/>
        </w:trPr>
        <w:tc>
          <w:tcPr>
            <w:tcW w:w="2480" w:type="dxa"/>
            <w:vAlign w:val="bottom"/>
          </w:tcPr>
          <w:p>
            <w:pPr>
              <w:spacing w:after="0"/>
              <w:rPr>
                <w:sz w:val="13"/>
                <w:szCs w:val="13"/>
                <w:color w:val="auto"/>
              </w:rPr>
            </w:pPr>
          </w:p>
        </w:tc>
        <w:tc>
          <w:tcPr>
            <w:tcW w:w="8800" w:type="dxa"/>
            <w:vAlign w:val="bottom"/>
            <w:tcBorders>
              <w:top w:val="single" w:sz="8" w:color="0000FF"/>
            </w:tcBorders>
            <w:gridSpan w:val="19"/>
          </w:tcPr>
          <w:p>
            <w:pPr>
              <w:spacing w:after="0" w:line="154" w:lineRule="exact"/>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York Mellon Trust Company, N.A., as Trustee. Incorporated herein by reference to Exhibit 4.2 to Form 8-K dated May 28,</w:t>
              </w:r>
            </w:hyperlink>
          </w:p>
        </w:tc>
        <w:tc>
          <w:tcPr>
            <w:tcW w:w="60" w:type="dxa"/>
            <w:vAlign w:val="bottom"/>
            <w:gridSpan w:val="3"/>
          </w:tcPr>
          <w:p>
            <w:pPr>
              <w:spacing w:after="0"/>
              <w:rPr>
                <w:sz w:val="13"/>
                <w:szCs w:val="13"/>
                <w:color w:val="auto"/>
              </w:rPr>
            </w:pPr>
          </w:p>
        </w:tc>
        <w:tc>
          <w:tcPr>
            <w:tcW w:w="200" w:type="dxa"/>
            <w:vAlign w:val="bottom"/>
            <w:gridSpan w:val="10"/>
          </w:tcPr>
          <w:p>
            <w:pPr>
              <w:spacing w:after="0"/>
              <w:rPr>
                <w:sz w:val="13"/>
                <w:szCs w:val="13"/>
                <w:color w:val="auto"/>
              </w:rPr>
            </w:pPr>
          </w:p>
        </w:tc>
      </w:tr>
      <w:tr>
        <w:trPr>
          <w:trHeight w:val="167"/>
        </w:trPr>
        <w:tc>
          <w:tcPr>
            <w:tcW w:w="2480" w:type="dxa"/>
            <w:vAlign w:val="bottom"/>
          </w:tcPr>
          <w:p>
            <w:pPr>
              <w:spacing w:after="0"/>
              <w:rPr>
                <w:sz w:val="14"/>
                <w:szCs w:val="14"/>
                <w:color w:val="auto"/>
              </w:rPr>
            </w:pPr>
          </w:p>
        </w:tc>
        <w:tc>
          <w:tcPr>
            <w:tcW w:w="4840" w:type="dxa"/>
            <w:vAlign w:val="bottom"/>
            <w:tcBorders>
              <w:top w:val="single" w:sz="8" w:color="0000FF"/>
            </w:tcBorders>
            <w:gridSpan w:val="12"/>
          </w:tcPr>
          <w:p>
            <w:pPr>
              <w:spacing w:after="0" w:line="167"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2019, File No. 001-07850.</w:t>
              </w:r>
            </w:hyperlink>
          </w:p>
        </w:tc>
        <w:tc>
          <w:tcPr>
            <w:tcW w:w="16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228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480" w:type="dxa"/>
            <w:vAlign w:val="bottom"/>
          </w:tcPr>
          <w:p>
            <w:pPr>
              <w:spacing w:after="0" w:line="20" w:lineRule="exact"/>
              <w:rPr>
                <w:sz w:val="1"/>
                <w:szCs w:val="1"/>
                <w:color w:val="auto"/>
              </w:rPr>
            </w:pPr>
          </w:p>
        </w:tc>
        <w:tc>
          <w:tcPr>
            <w:tcW w:w="188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60" w:type="dxa"/>
            <w:vAlign w:val="bottom"/>
            <w:gridSpan w:val="1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r>
      <w:tr>
        <w:trPr>
          <w:trHeight w:val="261"/>
        </w:trPr>
        <w:tc>
          <w:tcPr>
            <w:tcW w:w="2480" w:type="dxa"/>
            <w:vAlign w:val="bottom"/>
          </w:tcPr>
          <w:p>
            <w:pPr>
              <w:jc w:val="right"/>
              <w:ind w:right="2051"/>
              <w:spacing w:after="0"/>
              <w:rPr>
                <w:sz w:val="20"/>
                <w:szCs w:val="20"/>
                <w:color w:val="auto"/>
              </w:rPr>
            </w:pPr>
            <w:r>
              <w:rPr>
                <w:rFonts w:ascii="Times New Roman" w:cs="Times New Roman" w:eastAsia="Times New Roman" w:hAnsi="Times New Roman"/>
                <w:sz w:val="18"/>
                <w:szCs w:val="18"/>
                <w:color w:val="auto"/>
              </w:rPr>
              <w:t>4.20</w:t>
            </w:r>
          </w:p>
        </w:tc>
        <w:tc>
          <w:tcPr>
            <w:tcW w:w="9060" w:type="dxa"/>
            <w:vAlign w:val="bottom"/>
            <w:gridSpan w:val="32"/>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Form of 4.150% Senior Note due 2049. Incorporated by reference to Exhibit 4.3 to Form 8-K dated May 28, 2019, File</w:t>
              </w:r>
            </w:hyperlink>
          </w:p>
        </w:tc>
      </w:tr>
      <w:tr>
        <w:trPr>
          <w:trHeight w:val="154"/>
        </w:trPr>
        <w:tc>
          <w:tcPr>
            <w:tcW w:w="2480" w:type="dxa"/>
            <w:vAlign w:val="bottom"/>
          </w:tcPr>
          <w:p>
            <w:pPr>
              <w:spacing w:after="0"/>
              <w:rPr>
                <w:sz w:val="13"/>
                <w:szCs w:val="13"/>
                <w:color w:val="auto"/>
              </w:rPr>
            </w:pPr>
          </w:p>
        </w:tc>
        <w:tc>
          <w:tcPr>
            <w:tcW w:w="1120" w:type="dxa"/>
            <w:vAlign w:val="bottom"/>
            <w:tcBorders>
              <w:top w:val="single" w:sz="8" w:color="0000FF"/>
              <w:bottom w:val="single" w:sz="8" w:color="0000FF"/>
            </w:tcBorders>
            <w:gridSpan w:val="2"/>
          </w:tcPr>
          <w:p>
            <w:pPr>
              <w:spacing w:after="0" w:line="154" w:lineRule="exact"/>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No. 001-07850.</w:t>
              </w:r>
            </w:hyperlink>
          </w:p>
        </w:tc>
        <w:tc>
          <w:tcPr>
            <w:tcW w:w="3720" w:type="dxa"/>
            <w:vAlign w:val="bottom"/>
            <w:tcBorders>
              <w:top w:val="single" w:sz="8" w:color="0000FF"/>
            </w:tcBorders>
            <w:gridSpan w:val="10"/>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228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4"/>
        </w:trPr>
        <w:tc>
          <w:tcPr>
            <w:tcW w:w="2480" w:type="dxa"/>
            <w:vAlign w:val="bottom"/>
          </w:tcPr>
          <w:p>
            <w:pPr>
              <w:jc w:val="right"/>
              <w:ind w:right="2051"/>
              <w:spacing w:after="0"/>
              <w:rPr>
                <w:sz w:val="20"/>
                <w:szCs w:val="20"/>
                <w:color w:val="auto"/>
              </w:rPr>
            </w:pPr>
            <w:r>
              <w:rPr>
                <w:rFonts w:ascii="Times New Roman" w:cs="Times New Roman" w:eastAsia="Times New Roman" w:hAnsi="Times New Roman"/>
                <w:sz w:val="18"/>
                <w:szCs w:val="18"/>
                <w:color w:val="auto"/>
              </w:rPr>
              <w:t>4.21</w:t>
            </w:r>
          </w:p>
        </w:tc>
        <w:tc>
          <w:tcPr>
            <w:tcW w:w="9060" w:type="dxa"/>
            <w:vAlign w:val="bottom"/>
            <w:gridSpan w:val="32"/>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Indenture, dated June 4, 2020, by and between Southwest Gas Corporation and The Bank of New York Mellon Trust</w:t>
              </w:r>
            </w:hyperlink>
          </w:p>
        </w:tc>
      </w:tr>
      <w:tr>
        <w:trPr>
          <w:trHeight w:val="154"/>
        </w:trPr>
        <w:tc>
          <w:tcPr>
            <w:tcW w:w="2480" w:type="dxa"/>
            <w:vAlign w:val="bottom"/>
          </w:tcPr>
          <w:p>
            <w:pPr>
              <w:spacing w:after="0"/>
              <w:rPr>
                <w:sz w:val="13"/>
                <w:szCs w:val="13"/>
                <w:color w:val="auto"/>
              </w:rPr>
            </w:pPr>
          </w:p>
        </w:tc>
        <w:tc>
          <w:tcPr>
            <w:tcW w:w="8860" w:type="dxa"/>
            <w:vAlign w:val="bottom"/>
            <w:tcBorders>
              <w:top w:val="single" w:sz="8" w:color="0000FF"/>
            </w:tcBorders>
            <w:gridSpan w:val="22"/>
          </w:tcPr>
          <w:p>
            <w:pPr>
              <w:spacing w:after="0" w:line="154" w:lineRule="exact"/>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Company, N.A., as Trustee. Incorporated herein by reference to Exhibit 4.1 to Form 8-K dated June 1, 2020, File Nos.</w:t>
              </w:r>
            </w:hyperlink>
          </w:p>
        </w:tc>
        <w:tc>
          <w:tcPr>
            <w:tcW w:w="200" w:type="dxa"/>
            <w:vAlign w:val="bottom"/>
            <w:gridSpan w:val="10"/>
          </w:tcPr>
          <w:p>
            <w:pPr>
              <w:spacing w:after="0"/>
              <w:rPr>
                <w:sz w:val="13"/>
                <w:szCs w:val="13"/>
                <w:color w:val="auto"/>
              </w:rPr>
            </w:pPr>
          </w:p>
        </w:tc>
      </w:tr>
      <w:tr>
        <w:trPr>
          <w:trHeight w:val="167"/>
        </w:trPr>
        <w:tc>
          <w:tcPr>
            <w:tcW w:w="2480" w:type="dxa"/>
            <w:vAlign w:val="bottom"/>
          </w:tcPr>
          <w:p>
            <w:pPr>
              <w:spacing w:after="0"/>
              <w:rPr>
                <w:sz w:val="14"/>
                <w:szCs w:val="14"/>
                <w:color w:val="auto"/>
              </w:rPr>
            </w:pPr>
          </w:p>
        </w:tc>
        <w:tc>
          <w:tcPr>
            <w:tcW w:w="4840" w:type="dxa"/>
            <w:vAlign w:val="bottom"/>
            <w:tcBorders>
              <w:top w:val="single" w:sz="8" w:color="0000FF"/>
            </w:tcBorders>
            <w:gridSpan w:val="12"/>
          </w:tcPr>
          <w:p>
            <w:pPr>
              <w:spacing w:after="0" w:line="167"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001-07850 and 001-37976.</w:t>
              </w:r>
            </w:hyperlink>
          </w:p>
        </w:tc>
        <w:tc>
          <w:tcPr>
            <w:tcW w:w="16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228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957"/>
        </w:trPr>
        <w:tc>
          <w:tcPr>
            <w:tcW w:w="2480" w:type="dxa"/>
            <w:vAlign w:val="bottom"/>
          </w:tcPr>
          <w:p>
            <w:pPr>
              <w:spacing w:after="0"/>
              <w:rPr>
                <w:sz w:val="24"/>
                <w:szCs w:val="24"/>
                <w:color w:val="auto"/>
              </w:rPr>
            </w:pPr>
          </w:p>
        </w:tc>
        <w:tc>
          <w:tcPr>
            <w:tcW w:w="1920" w:type="dxa"/>
            <w:vAlign w:val="bottom"/>
            <w:tcBorders>
              <w:top w:val="single" w:sz="8" w:color="0000FF"/>
            </w:tcBorders>
            <w:gridSpan w:val="6"/>
          </w:tcPr>
          <w:p>
            <w:pPr>
              <w:spacing w:after="0"/>
              <w:rPr>
                <w:sz w:val="24"/>
                <w:szCs w:val="24"/>
                <w:color w:val="auto"/>
              </w:rPr>
            </w:pPr>
          </w:p>
        </w:tc>
        <w:tc>
          <w:tcPr>
            <w:tcW w:w="14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106</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7"/>
        </w:trPr>
        <w:tc>
          <w:tcPr>
            <w:tcW w:w="2480" w:type="dxa"/>
            <w:vAlign w:val="bottom"/>
            <w:tcBorders>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860" w:type="dxa"/>
            <w:vAlign w:val="bottom"/>
            <w:tcBorders>
              <w:bottom w:val="single" w:sz="8" w:color="9A9A9A"/>
            </w:tcBorders>
          </w:tcPr>
          <w:p>
            <w:pPr>
              <w:spacing w:after="0"/>
              <w:rPr>
                <w:sz w:val="17"/>
                <w:szCs w:val="17"/>
                <w:color w:val="auto"/>
              </w:rPr>
            </w:pPr>
          </w:p>
        </w:tc>
        <w:tc>
          <w:tcPr>
            <w:tcW w:w="2280" w:type="dxa"/>
            <w:vAlign w:val="bottom"/>
            <w:tcBorders>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07"/>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4.22</w:t>
            </w:r>
          </w:p>
        </w:tc>
        <w:tc>
          <w:tcPr>
            <w:tcW w:w="9120" w:type="dxa"/>
            <w:vAlign w:val="bottom"/>
            <w:gridSpan w:val="32"/>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First Supplemental Indenture, dated June 4, 2020, by and between Southwest Gas Corporation and The Bank of New York</w:t>
              </w:r>
            </w:hyperlink>
          </w:p>
        </w:tc>
      </w:tr>
      <w:tr>
        <w:trPr>
          <w:trHeight w:val="154"/>
        </w:trPr>
        <w:tc>
          <w:tcPr>
            <w:tcW w:w="2480" w:type="dxa"/>
            <w:vAlign w:val="bottom"/>
          </w:tcPr>
          <w:p>
            <w:pPr>
              <w:spacing w:after="0"/>
              <w:rPr>
                <w:sz w:val="13"/>
                <w:szCs w:val="13"/>
                <w:color w:val="auto"/>
              </w:rPr>
            </w:pPr>
          </w:p>
        </w:tc>
        <w:tc>
          <w:tcPr>
            <w:tcW w:w="8740" w:type="dxa"/>
            <w:vAlign w:val="bottom"/>
            <w:tcBorders>
              <w:top w:val="single" w:sz="8" w:color="0000FF"/>
              <w:bottom w:val="single" w:sz="8" w:color="0000FF"/>
            </w:tcBorders>
            <w:gridSpan w:val="13"/>
          </w:tcPr>
          <w:p>
            <w:pPr>
              <w:spacing w:after="0" w:line="154" w:lineRule="exact"/>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Mellon Trust Company, N.A., as Trustee. Incorporated herein by reference to Exhibit 4.2 to Form 8-K dated June 1, 2020,</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2480" w:type="dxa"/>
            <w:vAlign w:val="bottom"/>
          </w:tcPr>
          <w:p>
            <w:pPr>
              <w:spacing w:after="0"/>
              <w:rPr>
                <w:sz w:val="14"/>
                <w:szCs w:val="14"/>
                <w:color w:val="auto"/>
              </w:rPr>
            </w:pPr>
          </w:p>
        </w:tc>
        <w:tc>
          <w:tcPr>
            <w:tcW w:w="8780" w:type="dxa"/>
            <w:vAlign w:val="bottom"/>
            <w:gridSpan w:val="15"/>
          </w:tcPr>
          <w:p>
            <w:pPr>
              <w:spacing w:after="0" w:line="167"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File Nos. 001-07850 and 001-37976.</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48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1"/>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4.23</w:t>
            </w:r>
          </w:p>
        </w:tc>
        <w:tc>
          <w:tcPr>
            <w:tcW w:w="9120" w:type="dxa"/>
            <w:vAlign w:val="bottom"/>
            <w:gridSpan w:val="32"/>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Form of 2.200% Senior Note due 2030. Incorporated by reference to Exhibit 4.3 to Form 8-K dated June 1, 2020, File</w:t>
              </w:r>
            </w:hyperlink>
          </w:p>
        </w:tc>
      </w:tr>
      <w:tr>
        <w:trPr>
          <w:trHeight w:val="154"/>
        </w:trPr>
        <w:tc>
          <w:tcPr>
            <w:tcW w:w="2480" w:type="dxa"/>
            <w:vAlign w:val="bottom"/>
          </w:tcPr>
          <w:p>
            <w:pPr>
              <w:spacing w:after="0"/>
              <w:rPr>
                <w:sz w:val="13"/>
                <w:szCs w:val="13"/>
                <w:color w:val="auto"/>
              </w:rPr>
            </w:pPr>
          </w:p>
        </w:tc>
        <w:tc>
          <w:tcPr>
            <w:tcW w:w="8840" w:type="dxa"/>
            <w:vAlign w:val="bottom"/>
            <w:tcBorders>
              <w:top w:val="single" w:sz="8" w:color="0000FF"/>
            </w:tcBorders>
            <w:gridSpan w:val="18"/>
          </w:tcPr>
          <w:p>
            <w:pPr>
              <w:spacing w:after="0" w:line="154" w:lineRule="exact"/>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Nos. 001-07850 and 001-37976.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48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4"/>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4.24</w:t>
            </w:r>
          </w:p>
        </w:tc>
        <w:tc>
          <w:tcPr>
            <w:tcW w:w="9120" w:type="dxa"/>
            <w:vAlign w:val="bottom"/>
            <w:gridSpan w:val="32"/>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Description of Securities of Southwest Gas Holdings, Inc. Incorporated herein by reference to Exhibit 4.24 to Form 10-K</w:t>
              </w:r>
            </w:hyperlink>
          </w:p>
        </w:tc>
      </w:tr>
      <w:tr>
        <w:trPr>
          <w:trHeight w:val="154"/>
        </w:trPr>
        <w:tc>
          <w:tcPr>
            <w:tcW w:w="2480" w:type="dxa"/>
            <w:vAlign w:val="bottom"/>
          </w:tcPr>
          <w:p>
            <w:pPr>
              <w:spacing w:after="0"/>
              <w:rPr>
                <w:sz w:val="13"/>
                <w:szCs w:val="13"/>
                <w:color w:val="auto"/>
              </w:rPr>
            </w:pPr>
          </w:p>
        </w:tc>
        <w:tc>
          <w:tcPr>
            <w:tcW w:w="5460" w:type="dxa"/>
            <w:vAlign w:val="bottom"/>
            <w:tcBorders>
              <w:top w:val="single" w:sz="8" w:color="0000FF"/>
              <w:bottom w:val="single" w:sz="8" w:color="0000FF"/>
            </w:tcBorders>
            <w:gridSpan w:val="10"/>
          </w:tcPr>
          <w:p>
            <w:pPr>
              <w:spacing w:after="0" w:line="154" w:lineRule="exact"/>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for the year ended December 31, 2023, File Nos. 001-07850 and 001-37976.</w:t>
              </w:r>
            </w:hyperlink>
          </w:p>
        </w:tc>
        <w:tc>
          <w:tcPr>
            <w:tcW w:w="358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4"/>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4.25</w:t>
            </w:r>
          </w:p>
        </w:tc>
        <w:tc>
          <w:tcPr>
            <w:tcW w:w="9120" w:type="dxa"/>
            <w:vAlign w:val="bottom"/>
            <w:gridSpan w:val="32"/>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Second Supplemental Indenture, dated August 20, 2021, by and between Southwest Gas Corporation and The Bank of</w:t>
              </w:r>
            </w:hyperlink>
          </w:p>
        </w:tc>
      </w:tr>
      <w:tr>
        <w:trPr>
          <w:trHeight w:val="154"/>
        </w:trPr>
        <w:tc>
          <w:tcPr>
            <w:tcW w:w="2480" w:type="dxa"/>
            <w:vAlign w:val="bottom"/>
          </w:tcPr>
          <w:p>
            <w:pPr>
              <w:spacing w:after="0"/>
              <w:rPr>
                <w:sz w:val="13"/>
                <w:szCs w:val="13"/>
                <w:color w:val="auto"/>
              </w:rPr>
            </w:pPr>
          </w:p>
        </w:tc>
        <w:tc>
          <w:tcPr>
            <w:tcW w:w="8940" w:type="dxa"/>
            <w:vAlign w:val="bottom"/>
            <w:tcBorders>
              <w:top w:val="single" w:sz="8" w:color="0000FF"/>
              <w:bottom w:val="single" w:sz="8" w:color="0000FF"/>
            </w:tcBorders>
            <w:gridSpan w:val="23"/>
          </w:tcPr>
          <w:p>
            <w:pPr>
              <w:spacing w:after="0" w:line="154"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New York Mellon Trust Company, N.A., as Trustee. Incorporated herein by reference to Exhibit 4.1 to Form 8-K dated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2480" w:type="dxa"/>
            <w:vAlign w:val="bottom"/>
          </w:tcPr>
          <w:p>
            <w:pPr>
              <w:spacing w:after="0"/>
              <w:rPr>
                <w:sz w:val="14"/>
                <w:szCs w:val="14"/>
                <w:color w:val="auto"/>
              </w:rPr>
            </w:pPr>
          </w:p>
        </w:tc>
        <w:tc>
          <w:tcPr>
            <w:tcW w:w="3900" w:type="dxa"/>
            <w:vAlign w:val="bottom"/>
            <w:tcBorders>
              <w:bottom w:val="single" w:sz="8" w:color="0000FF"/>
            </w:tcBorders>
            <w:gridSpan w:val="8"/>
          </w:tcPr>
          <w:p>
            <w:pPr>
              <w:spacing w:after="0" w:line="167" w:lineRule="exact"/>
              <w:rPr>
                <w:rFonts w:ascii="Times New Roman" w:cs="Times New Roman" w:eastAsia="Times New Roman" w:hAnsi="Times New Roman"/>
                <w:sz w:val="18"/>
                <w:szCs w:val="18"/>
                <w:color w:val="0000FF"/>
                <w:w w:val="98"/>
              </w:rPr>
            </w:pPr>
            <w:hyperlink r:id="rId161">
              <w:r>
                <w:rPr>
                  <w:rFonts w:ascii="Times New Roman" w:cs="Times New Roman" w:eastAsia="Times New Roman" w:hAnsi="Times New Roman"/>
                  <w:sz w:val="18"/>
                  <w:szCs w:val="18"/>
                  <w:color w:val="0000FF"/>
                  <w:w w:val="98"/>
                </w:rPr>
                <w:t>August 18, 2021, File Nos. 001-37976 and 001-07850.</w:t>
              </w:r>
            </w:hyperlink>
          </w:p>
        </w:tc>
        <w:tc>
          <w:tcPr>
            <w:tcW w:w="5120" w:type="dxa"/>
            <w:vAlign w:val="bottom"/>
            <w:gridSpan w:val="19"/>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1"/>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4.26</w:t>
            </w:r>
          </w:p>
        </w:tc>
        <w:tc>
          <w:tcPr>
            <w:tcW w:w="9120" w:type="dxa"/>
            <w:vAlign w:val="bottom"/>
            <w:gridSpan w:val="32"/>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Form of 3.18% Senior Note due 2051. Incorporated herein by reference to Exhibit 4.2 to Form 8-K dated August 18,</w:t>
              </w:r>
            </w:hyperlink>
          </w:p>
        </w:tc>
      </w:tr>
      <w:tr>
        <w:trPr>
          <w:trHeight w:val="154"/>
        </w:trPr>
        <w:tc>
          <w:tcPr>
            <w:tcW w:w="2480" w:type="dxa"/>
            <w:vAlign w:val="bottom"/>
          </w:tcPr>
          <w:p>
            <w:pPr>
              <w:spacing w:after="0"/>
              <w:rPr>
                <w:sz w:val="13"/>
                <w:szCs w:val="13"/>
                <w:color w:val="auto"/>
              </w:rPr>
            </w:pPr>
          </w:p>
        </w:tc>
        <w:tc>
          <w:tcPr>
            <w:tcW w:w="3080" w:type="dxa"/>
            <w:vAlign w:val="bottom"/>
            <w:tcBorders>
              <w:top w:val="single" w:sz="8" w:color="0000FF"/>
              <w:bottom w:val="single" w:sz="8" w:color="0000FF"/>
            </w:tcBorders>
            <w:gridSpan w:val="6"/>
          </w:tcPr>
          <w:p>
            <w:pPr>
              <w:spacing w:after="0" w:line="154" w:lineRule="exact"/>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2021, File Nos. 001-37976 and 001-07850.</w:t>
              </w:r>
            </w:hyperlink>
          </w:p>
        </w:tc>
        <w:tc>
          <w:tcPr>
            <w:tcW w:w="5940" w:type="dxa"/>
            <w:vAlign w:val="bottom"/>
            <w:tcBorders>
              <w:top w:val="single" w:sz="8" w:color="0000FF"/>
            </w:tcBorders>
            <w:gridSpan w:val="21"/>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4"/>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4.27</w:t>
            </w:r>
          </w:p>
        </w:tc>
        <w:tc>
          <w:tcPr>
            <w:tcW w:w="9120" w:type="dxa"/>
            <w:vAlign w:val="bottom"/>
            <w:gridSpan w:val="32"/>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Third Supplemental Indenture, dated March 22, 2022, by and between Southwest Gas Corporation and The Bank of New</w:t>
              </w:r>
            </w:hyperlink>
          </w:p>
        </w:tc>
      </w:tr>
      <w:tr>
        <w:trPr>
          <w:trHeight w:val="154"/>
        </w:trPr>
        <w:tc>
          <w:tcPr>
            <w:tcW w:w="2480" w:type="dxa"/>
            <w:vAlign w:val="bottom"/>
          </w:tcPr>
          <w:p>
            <w:pPr>
              <w:spacing w:after="0"/>
              <w:rPr>
                <w:sz w:val="13"/>
                <w:szCs w:val="13"/>
                <w:color w:val="auto"/>
              </w:rPr>
            </w:pPr>
          </w:p>
        </w:tc>
        <w:tc>
          <w:tcPr>
            <w:tcW w:w="9080" w:type="dxa"/>
            <w:vAlign w:val="bottom"/>
            <w:tcBorders>
              <w:top w:val="single" w:sz="8" w:color="0000FF"/>
            </w:tcBorders>
            <w:gridSpan w:val="30"/>
          </w:tcPr>
          <w:p>
            <w:pPr>
              <w:spacing w:after="0" w:line="154" w:lineRule="exact"/>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York Mellon Trust Company, N.A., as Trustee. Incorporated herein by reference to Exhibit 4.1 to Form 8-K dated March</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2480" w:type="dxa"/>
            <w:vAlign w:val="bottom"/>
          </w:tcPr>
          <w:p>
            <w:pPr>
              <w:spacing w:after="0"/>
              <w:rPr>
                <w:sz w:val="14"/>
                <w:szCs w:val="14"/>
                <w:color w:val="auto"/>
              </w:rPr>
            </w:pPr>
          </w:p>
        </w:tc>
        <w:tc>
          <w:tcPr>
            <w:tcW w:w="3340" w:type="dxa"/>
            <w:vAlign w:val="bottom"/>
            <w:tcBorders>
              <w:top w:val="single" w:sz="8" w:color="0000FF"/>
              <w:bottom w:val="single" w:sz="8" w:color="0000FF"/>
            </w:tcBorders>
            <w:gridSpan w:val="7"/>
          </w:tcPr>
          <w:p>
            <w:pPr>
              <w:spacing w:after="0" w:line="167" w:lineRule="exact"/>
              <w:rPr>
                <w:rFonts w:ascii="Times New Roman" w:cs="Times New Roman" w:eastAsia="Times New Roman" w:hAnsi="Times New Roman"/>
                <w:sz w:val="18"/>
                <w:szCs w:val="18"/>
                <w:color w:val="0000FF"/>
                <w:w w:val="98"/>
              </w:rPr>
            </w:pPr>
            <w:hyperlink r:id="rId163">
              <w:r>
                <w:rPr>
                  <w:rFonts w:ascii="Times New Roman" w:cs="Times New Roman" w:eastAsia="Times New Roman" w:hAnsi="Times New Roman"/>
                  <w:sz w:val="18"/>
                  <w:szCs w:val="18"/>
                  <w:color w:val="0000FF"/>
                  <w:w w:val="98"/>
                </w:rPr>
                <w:t>17, 2022, File Nos. 001-37976 and 001-07850.</w:t>
              </w:r>
            </w:hyperlink>
          </w:p>
        </w:tc>
        <w:tc>
          <w:tcPr>
            <w:tcW w:w="5480" w:type="dxa"/>
            <w:vAlign w:val="bottom"/>
            <w:tcBorders>
              <w:top w:val="single" w:sz="8" w:color="0000FF"/>
            </w:tcBorders>
            <w:gridSpan w:val="10"/>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1"/>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4.28</w:t>
            </w:r>
          </w:p>
        </w:tc>
        <w:tc>
          <w:tcPr>
            <w:tcW w:w="9120" w:type="dxa"/>
            <w:vAlign w:val="bottom"/>
            <w:gridSpan w:val="32"/>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Form of 4.05% Senior Note due 2032. Incorporated herein by reference to Exhibit 4.2 to Form 8-K dated March 17, 2022,</w:t>
              </w:r>
            </w:hyperlink>
          </w:p>
        </w:tc>
      </w:tr>
      <w:tr>
        <w:trPr>
          <w:trHeight w:val="154"/>
        </w:trPr>
        <w:tc>
          <w:tcPr>
            <w:tcW w:w="2480" w:type="dxa"/>
            <w:vAlign w:val="bottom"/>
          </w:tcPr>
          <w:p>
            <w:pPr>
              <w:spacing w:after="0"/>
              <w:rPr>
                <w:sz w:val="13"/>
                <w:szCs w:val="13"/>
                <w:color w:val="auto"/>
              </w:rPr>
            </w:pPr>
          </w:p>
        </w:tc>
        <w:tc>
          <w:tcPr>
            <w:tcW w:w="8800" w:type="dxa"/>
            <w:vAlign w:val="bottom"/>
            <w:tcBorders>
              <w:top w:val="single" w:sz="8" w:color="0000FF"/>
            </w:tcBorders>
            <w:gridSpan w:val="16"/>
          </w:tcPr>
          <w:p>
            <w:pPr>
              <w:spacing w:after="0" w:line="154" w:lineRule="exact"/>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File Nos. 001-37976 and 001-07850.</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48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4"/>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4.29</w:t>
            </w:r>
          </w:p>
        </w:tc>
        <w:tc>
          <w:tcPr>
            <w:tcW w:w="9120" w:type="dxa"/>
            <w:vAlign w:val="bottom"/>
            <w:gridSpan w:val="32"/>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Fourth Supplemental Indenture, dated December 1, 2022, by and between Southwest Gas Corporation and The Bank of</w:t>
              </w:r>
            </w:hyperlink>
          </w:p>
        </w:tc>
      </w:tr>
      <w:tr>
        <w:trPr>
          <w:trHeight w:val="154"/>
        </w:trPr>
        <w:tc>
          <w:tcPr>
            <w:tcW w:w="2480" w:type="dxa"/>
            <w:vAlign w:val="bottom"/>
          </w:tcPr>
          <w:p>
            <w:pPr>
              <w:spacing w:after="0"/>
              <w:rPr>
                <w:sz w:val="13"/>
                <w:szCs w:val="13"/>
                <w:color w:val="auto"/>
              </w:rPr>
            </w:pPr>
          </w:p>
        </w:tc>
        <w:tc>
          <w:tcPr>
            <w:tcW w:w="8920" w:type="dxa"/>
            <w:vAlign w:val="bottom"/>
            <w:tcBorders>
              <w:top w:val="single" w:sz="8" w:color="0000FF"/>
            </w:tcBorders>
            <w:gridSpan w:val="22"/>
          </w:tcPr>
          <w:p>
            <w:pPr>
              <w:spacing w:after="0" w:line="154" w:lineRule="exact"/>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New York Mellon Trust Company, N.A., as Trustee. Incorporated herein by reference to Exhibit 4.1 to Form 8-K dated</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2480" w:type="dxa"/>
            <w:vAlign w:val="bottom"/>
          </w:tcPr>
          <w:p>
            <w:pPr>
              <w:spacing w:after="0"/>
              <w:rPr>
                <w:sz w:val="14"/>
                <w:szCs w:val="14"/>
                <w:color w:val="auto"/>
              </w:rPr>
            </w:pPr>
          </w:p>
        </w:tc>
        <w:tc>
          <w:tcPr>
            <w:tcW w:w="4140" w:type="dxa"/>
            <w:vAlign w:val="bottom"/>
            <w:tcBorders>
              <w:top w:val="single" w:sz="8" w:color="0000FF"/>
              <w:bottom w:val="single" w:sz="8" w:color="0000FF"/>
            </w:tcBorders>
            <w:gridSpan w:val="9"/>
          </w:tcPr>
          <w:p>
            <w:pPr>
              <w:spacing w:after="0" w:line="167" w:lineRule="exact"/>
              <w:rPr>
                <w:rFonts w:ascii="Times New Roman" w:cs="Times New Roman" w:eastAsia="Times New Roman" w:hAnsi="Times New Roman"/>
                <w:sz w:val="18"/>
                <w:szCs w:val="18"/>
                <w:color w:val="0000FF"/>
                <w:w w:val="98"/>
              </w:rPr>
            </w:pPr>
            <w:hyperlink r:id="rId164">
              <w:r>
                <w:rPr>
                  <w:rFonts w:ascii="Times New Roman" w:cs="Times New Roman" w:eastAsia="Times New Roman" w:hAnsi="Times New Roman"/>
                  <w:sz w:val="18"/>
                  <w:szCs w:val="18"/>
                  <w:color w:val="0000FF"/>
                  <w:w w:val="98"/>
                </w:rPr>
                <w:t>November 29, 2022, File Nos. 001-07850 and 001-37976.</w:t>
              </w:r>
            </w:hyperlink>
          </w:p>
        </w:tc>
        <w:tc>
          <w:tcPr>
            <w:tcW w:w="4880" w:type="dxa"/>
            <w:vAlign w:val="bottom"/>
            <w:tcBorders>
              <w:top w:val="single" w:sz="8" w:color="0000FF"/>
            </w:tcBorders>
            <w:gridSpan w:val="18"/>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1"/>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4.30</w:t>
            </w:r>
          </w:p>
        </w:tc>
        <w:tc>
          <w:tcPr>
            <w:tcW w:w="9120" w:type="dxa"/>
            <w:vAlign w:val="bottom"/>
            <w:gridSpan w:val="32"/>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Form of 5.800% Senior Note due 2027. Incorporated herein by reference to Exhibit 4.2 to Form 8-K dated November 29,</w:t>
              </w:r>
            </w:hyperlink>
          </w:p>
        </w:tc>
      </w:tr>
      <w:tr>
        <w:trPr>
          <w:trHeight w:val="154"/>
        </w:trPr>
        <w:tc>
          <w:tcPr>
            <w:tcW w:w="2480" w:type="dxa"/>
            <w:vAlign w:val="bottom"/>
          </w:tcPr>
          <w:p>
            <w:pPr>
              <w:spacing w:after="0"/>
              <w:rPr>
                <w:sz w:val="13"/>
                <w:szCs w:val="13"/>
                <w:color w:val="auto"/>
              </w:rPr>
            </w:pPr>
          </w:p>
        </w:tc>
        <w:tc>
          <w:tcPr>
            <w:tcW w:w="3080" w:type="dxa"/>
            <w:vAlign w:val="bottom"/>
            <w:tcBorders>
              <w:top w:val="single" w:sz="8" w:color="0000FF"/>
              <w:bottom w:val="single" w:sz="8" w:color="0000FF"/>
            </w:tcBorders>
            <w:gridSpan w:val="6"/>
          </w:tcPr>
          <w:p>
            <w:pPr>
              <w:spacing w:after="0" w:line="154" w:lineRule="exact"/>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2022, File Nos. 001-07850 and 001-37976.</w:t>
              </w:r>
            </w:hyperlink>
          </w:p>
        </w:tc>
        <w:tc>
          <w:tcPr>
            <w:tcW w:w="578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4"/>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4.31</w:t>
            </w:r>
          </w:p>
        </w:tc>
        <w:tc>
          <w:tcPr>
            <w:tcW w:w="9120" w:type="dxa"/>
            <w:vAlign w:val="bottom"/>
            <w:gridSpan w:val="32"/>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Fifth Supplemental Indenture, dated March 23, 2023, by and between Southwest Gas Corporation and The Bank of New</w:t>
              </w:r>
            </w:hyperlink>
          </w:p>
        </w:tc>
      </w:tr>
      <w:tr>
        <w:trPr>
          <w:trHeight w:val="154"/>
        </w:trPr>
        <w:tc>
          <w:tcPr>
            <w:tcW w:w="2480" w:type="dxa"/>
            <w:vAlign w:val="bottom"/>
          </w:tcPr>
          <w:p>
            <w:pPr>
              <w:spacing w:after="0"/>
              <w:rPr>
                <w:sz w:val="13"/>
                <w:szCs w:val="13"/>
                <w:color w:val="auto"/>
              </w:rPr>
            </w:pPr>
          </w:p>
        </w:tc>
        <w:tc>
          <w:tcPr>
            <w:tcW w:w="8760" w:type="dxa"/>
            <w:vAlign w:val="bottom"/>
            <w:tcBorders>
              <w:top w:val="single" w:sz="8" w:color="0000FF"/>
            </w:tcBorders>
            <w:gridSpan w:val="14"/>
          </w:tcPr>
          <w:p>
            <w:pPr>
              <w:spacing w:after="0" w:line="154" w:lineRule="exact"/>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York Mellon Trust Company, N.A., as Trustee. Incorporated herein by reference to Exhibit 4.1 to Form 8-K dated March</w:t>
              </w:r>
            </w:hyperlink>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2480" w:type="dxa"/>
            <w:vAlign w:val="bottom"/>
          </w:tcPr>
          <w:p>
            <w:pPr>
              <w:spacing w:after="0"/>
              <w:rPr>
                <w:sz w:val="14"/>
                <w:szCs w:val="14"/>
                <w:color w:val="auto"/>
              </w:rPr>
            </w:pPr>
          </w:p>
        </w:tc>
        <w:tc>
          <w:tcPr>
            <w:tcW w:w="3340" w:type="dxa"/>
            <w:vAlign w:val="bottom"/>
            <w:tcBorders>
              <w:top w:val="single" w:sz="8" w:color="0000FF"/>
              <w:bottom w:val="single" w:sz="8" w:color="0000FF"/>
            </w:tcBorders>
            <w:gridSpan w:val="7"/>
          </w:tcPr>
          <w:p>
            <w:pPr>
              <w:spacing w:after="0" w:line="167" w:lineRule="exact"/>
              <w:rPr>
                <w:rFonts w:ascii="Times New Roman" w:cs="Times New Roman" w:eastAsia="Times New Roman" w:hAnsi="Times New Roman"/>
                <w:sz w:val="18"/>
                <w:szCs w:val="18"/>
                <w:color w:val="0000FF"/>
                <w:w w:val="98"/>
              </w:rPr>
            </w:pPr>
            <w:hyperlink r:id="rId165">
              <w:r>
                <w:rPr>
                  <w:rFonts w:ascii="Times New Roman" w:cs="Times New Roman" w:eastAsia="Times New Roman" w:hAnsi="Times New Roman"/>
                  <w:sz w:val="18"/>
                  <w:szCs w:val="18"/>
                  <w:color w:val="0000FF"/>
                  <w:w w:val="98"/>
                </w:rPr>
                <w:t>21, 2023, File Nos. 001-37976 and 001-07850.</w:t>
              </w:r>
            </w:hyperlink>
          </w:p>
        </w:tc>
        <w:tc>
          <w:tcPr>
            <w:tcW w:w="5480" w:type="dxa"/>
            <w:vAlign w:val="bottom"/>
            <w:tcBorders>
              <w:top w:val="single" w:sz="8" w:color="0000FF"/>
            </w:tcBorders>
            <w:gridSpan w:val="10"/>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1"/>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4.32</w:t>
            </w:r>
          </w:p>
        </w:tc>
        <w:tc>
          <w:tcPr>
            <w:tcW w:w="9120" w:type="dxa"/>
            <w:vAlign w:val="bottom"/>
            <w:gridSpan w:val="32"/>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Form of 5.450% Senior Note due 2028. Incorporated herein by reference to Exhibit 4.2 to Form 8-K dated March 21,</w:t>
              </w:r>
            </w:hyperlink>
          </w:p>
        </w:tc>
      </w:tr>
      <w:tr>
        <w:trPr>
          <w:trHeight w:val="154"/>
        </w:trPr>
        <w:tc>
          <w:tcPr>
            <w:tcW w:w="2480" w:type="dxa"/>
            <w:vAlign w:val="bottom"/>
          </w:tcPr>
          <w:p>
            <w:pPr>
              <w:spacing w:after="0"/>
              <w:rPr>
                <w:sz w:val="13"/>
                <w:szCs w:val="13"/>
                <w:color w:val="auto"/>
              </w:rPr>
            </w:pPr>
          </w:p>
        </w:tc>
        <w:tc>
          <w:tcPr>
            <w:tcW w:w="3080" w:type="dxa"/>
            <w:vAlign w:val="bottom"/>
            <w:tcBorders>
              <w:top w:val="single" w:sz="8" w:color="0000FF"/>
              <w:bottom w:val="single" w:sz="8" w:color="0000FF"/>
            </w:tcBorders>
            <w:gridSpan w:val="6"/>
          </w:tcPr>
          <w:p>
            <w:pPr>
              <w:spacing w:after="0" w:line="154" w:lineRule="exact"/>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2023, File Nos. 001-37976 and 001-07850.</w:t>
              </w:r>
            </w:hyperlink>
          </w:p>
        </w:tc>
        <w:tc>
          <w:tcPr>
            <w:tcW w:w="588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4"/>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4.33</w:t>
            </w:r>
          </w:p>
        </w:tc>
        <w:tc>
          <w:tcPr>
            <w:tcW w:w="9120" w:type="dxa"/>
            <w:vAlign w:val="bottom"/>
            <w:gridSpan w:val="32"/>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Tax-Free Spin Protection Plan, dated November 5, 2023, between Southwest Gas Holdings, Inc. and Equiniti Trust</w:t>
              </w:r>
            </w:hyperlink>
          </w:p>
        </w:tc>
      </w:tr>
      <w:tr>
        <w:trPr>
          <w:trHeight w:val="154"/>
        </w:trPr>
        <w:tc>
          <w:tcPr>
            <w:tcW w:w="2480" w:type="dxa"/>
            <w:vAlign w:val="bottom"/>
          </w:tcPr>
          <w:p>
            <w:pPr>
              <w:spacing w:after="0"/>
              <w:rPr>
                <w:sz w:val="13"/>
                <w:szCs w:val="13"/>
                <w:color w:val="auto"/>
              </w:rPr>
            </w:pPr>
          </w:p>
        </w:tc>
        <w:tc>
          <w:tcPr>
            <w:tcW w:w="9100" w:type="dxa"/>
            <w:vAlign w:val="bottom"/>
            <w:tcBorders>
              <w:top w:val="single" w:sz="8" w:color="0000FF"/>
            </w:tcBorders>
            <w:gridSpan w:val="31"/>
          </w:tcPr>
          <w:p>
            <w:pPr>
              <w:spacing w:after="0" w:line="154" w:lineRule="exact"/>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Company, LLC, as Rights Agent. Incorporated herein by reference to Exhibit 4.1 to Form 8-K dated November 6, 2023,</w:t>
              </w:r>
            </w:hyperlink>
          </w:p>
        </w:tc>
        <w:tc>
          <w:tcPr>
            <w:tcW w:w="20" w:type="dxa"/>
            <w:vAlign w:val="bottom"/>
          </w:tcPr>
          <w:p>
            <w:pPr>
              <w:spacing w:after="0"/>
              <w:rPr>
                <w:sz w:val="13"/>
                <w:szCs w:val="13"/>
                <w:color w:val="auto"/>
              </w:rPr>
            </w:pPr>
          </w:p>
        </w:tc>
      </w:tr>
      <w:tr>
        <w:trPr>
          <w:trHeight w:val="167"/>
        </w:trPr>
        <w:tc>
          <w:tcPr>
            <w:tcW w:w="2480" w:type="dxa"/>
            <w:vAlign w:val="bottom"/>
          </w:tcPr>
          <w:p>
            <w:pPr>
              <w:spacing w:after="0"/>
              <w:rPr>
                <w:sz w:val="14"/>
                <w:szCs w:val="14"/>
                <w:color w:val="auto"/>
              </w:rPr>
            </w:pPr>
          </w:p>
        </w:tc>
        <w:tc>
          <w:tcPr>
            <w:tcW w:w="1440" w:type="dxa"/>
            <w:vAlign w:val="bottom"/>
            <w:tcBorders>
              <w:top w:val="single" w:sz="8" w:color="0000FF"/>
              <w:bottom w:val="single" w:sz="8" w:color="0000FF"/>
            </w:tcBorders>
            <w:gridSpan w:val="2"/>
          </w:tcPr>
          <w:p>
            <w:pPr>
              <w:spacing w:after="0" w:line="167" w:lineRule="exact"/>
              <w:rPr>
                <w:rFonts w:ascii="Times New Roman" w:cs="Times New Roman" w:eastAsia="Times New Roman" w:hAnsi="Times New Roman"/>
                <w:sz w:val="18"/>
                <w:szCs w:val="18"/>
                <w:color w:val="0000FF"/>
                <w:w w:val="97"/>
              </w:rPr>
            </w:pPr>
            <w:hyperlink r:id="rId166">
              <w:r>
                <w:rPr>
                  <w:rFonts w:ascii="Times New Roman" w:cs="Times New Roman" w:eastAsia="Times New Roman" w:hAnsi="Times New Roman"/>
                  <w:sz w:val="18"/>
                  <w:szCs w:val="18"/>
                  <w:color w:val="0000FF"/>
                  <w:w w:val="97"/>
                </w:rPr>
                <w:t>File No. 001-37976.</w:t>
              </w:r>
            </w:hyperlink>
          </w:p>
        </w:tc>
        <w:tc>
          <w:tcPr>
            <w:tcW w:w="7580" w:type="dxa"/>
            <w:vAlign w:val="bottom"/>
            <w:tcBorders>
              <w:top w:val="single" w:sz="8" w:color="0000FF"/>
            </w:tcBorders>
            <w:gridSpan w:val="25"/>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47"/>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4.34</w:t>
            </w:r>
          </w:p>
        </w:tc>
        <w:tc>
          <w:tcPr>
            <w:tcW w:w="912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The Company and Southwest hereby agree to furnish to the SEC, upon request, a copy of any instruments defining the</w:t>
            </w:r>
          </w:p>
        </w:tc>
      </w:tr>
      <w:tr>
        <w:trPr>
          <w:trHeight w:val="182"/>
        </w:trPr>
        <w:tc>
          <w:tcPr>
            <w:tcW w:w="2480" w:type="dxa"/>
            <w:vAlign w:val="bottom"/>
          </w:tcPr>
          <w:p>
            <w:pPr>
              <w:spacing w:after="0"/>
              <w:rPr>
                <w:sz w:val="15"/>
                <w:szCs w:val="15"/>
                <w:color w:val="auto"/>
              </w:rPr>
            </w:pPr>
          </w:p>
        </w:tc>
        <w:tc>
          <w:tcPr>
            <w:tcW w:w="9120" w:type="dxa"/>
            <w:vAlign w:val="bottom"/>
            <w:gridSpan w:val="32"/>
          </w:tcPr>
          <w:p>
            <w:pPr>
              <w:spacing w:after="0" w:line="182" w:lineRule="exact"/>
              <w:rPr>
                <w:sz w:val="20"/>
                <w:szCs w:val="20"/>
                <w:color w:val="auto"/>
              </w:rPr>
            </w:pPr>
            <w:r>
              <w:rPr>
                <w:rFonts w:ascii="Times New Roman" w:cs="Times New Roman" w:eastAsia="Times New Roman" w:hAnsi="Times New Roman"/>
                <w:sz w:val="18"/>
                <w:szCs w:val="18"/>
                <w:color w:val="auto"/>
              </w:rPr>
              <w:t>rights of holders of long-term debt issued by Southwest Gas Holdings or its subsidiaries; the total amount of securities</w:t>
            </w:r>
          </w:p>
        </w:tc>
      </w:tr>
      <w:tr>
        <w:trPr>
          <w:trHeight w:val="179"/>
        </w:trPr>
        <w:tc>
          <w:tcPr>
            <w:tcW w:w="2480" w:type="dxa"/>
            <w:vAlign w:val="bottom"/>
          </w:tcPr>
          <w:p>
            <w:pPr>
              <w:spacing w:after="0"/>
              <w:rPr>
                <w:sz w:val="15"/>
                <w:szCs w:val="15"/>
                <w:color w:val="auto"/>
              </w:rPr>
            </w:pPr>
          </w:p>
        </w:tc>
        <w:tc>
          <w:tcPr>
            <w:tcW w:w="9120" w:type="dxa"/>
            <w:vAlign w:val="bottom"/>
            <w:gridSpan w:val="32"/>
          </w:tcPr>
          <w:p>
            <w:pPr>
              <w:spacing w:after="0" w:line="179" w:lineRule="exact"/>
              <w:rPr>
                <w:sz w:val="20"/>
                <w:szCs w:val="20"/>
                <w:color w:val="auto"/>
              </w:rPr>
            </w:pPr>
            <w:r>
              <w:rPr>
                <w:rFonts w:ascii="Times New Roman" w:cs="Times New Roman" w:eastAsia="Times New Roman" w:hAnsi="Times New Roman"/>
                <w:sz w:val="18"/>
                <w:szCs w:val="18"/>
                <w:color w:val="auto"/>
              </w:rPr>
              <w:t>authorized thereunder does not exceed 10% of the consolidated total assets of Southwest Gas Holdings and its</w:t>
            </w:r>
          </w:p>
        </w:tc>
      </w:tr>
      <w:tr>
        <w:trPr>
          <w:trHeight w:val="233"/>
        </w:trPr>
        <w:tc>
          <w:tcPr>
            <w:tcW w:w="2480" w:type="dxa"/>
            <w:vAlign w:val="bottom"/>
          </w:tcPr>
          <w:p>
            <w:pPr>
              <w:spacing w:after="0"/>
              <w:rPr>
                <w:sz w:val="20"/>
                <w:szCs w:val="20"/>
                <w:color w:val="auto"/>
              </w:rPr>
            </w:pPr>
          </w:p>
        </w:tc>
        <w:tc>
          <w:tcPr>
            <w:tcW w:w="912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subsidiaries.</w:t>
            </w:r>
          </w:p>
        </w:tc>
      </w:tr>
      <w:tr>
        <w:trPr>
          <w:trHeight w:val="235"/>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10.01</w:t>
            </w:r>
          </w:p>
        </w:tc>
        <w:tc>
          <w:tcPr>
            <w:tcW w:w="9120" w:type="dxa"/>
            <w:vAlign w:val="bottom"/>
            <w:gridSpan w:val="32"/>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Project  Agreement  between  Southwest  Gas  Corporation  and  City  of  Big  Bear  Lake,  California,  dated  as  of</w:t>
              </w:r>
            </w:hyperlink>
          </w:p>
        </w:tc>
      </w:tr>
      <w:tr>
        <w:trPr>
          <w:trHeight w:val="154"/>
        </w:trPr>
        <w:tc>
          <w:tcPr>
            <w:tcW w:w="2480" w:type="dxa"/>
            <w:vAlign w:val="bottom"/>
          </w:tcPr>
          <w:p>
            <w:pPr>
              <w:spacing w:after="0"/>
              <w:rPr>
                <w:sz w:val="13"/>
                <w:szCs w:val="13"/>
                <w:color w:val="auto"/>
              </w:rPr>
            </w:pPr>
          </w:p>
        </w:tc>
        <w:tc>
          <w:tcPr>
            <w:tcW w:w="8980" w:type="dxa"/>
            <w:vAlign w:val="bottom"/>
            <w:tcBorders>
              <w:top w:val="single" w:sz="8" w:color="0000FF"/>
            </w:tcBorders>
            <w:gridSpan w:val="25"/>
          </w:tcPr>
          <w:p>
            <w:pPr>
              <w:spacing w:after="0" w:line="154" w:lineRule="exact"/>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December 1, 1993. Incorporated herein by reference to Exhibit 10.05 to Form 10-K for the year ended December 31,</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7"/>
        </w:trPr>
        <w:tc>
          <w:tcPr>
            <w:tcW w:w="2480" w:type="dxa"/>
            <w:vAlign w:val="bottom"/>
          </w:tcPr>
          <w:p>
            <w:pPr>
              <w:spacing w:after="0"/>
              <w:rPr>
                <w:sz w:val="14"/>
                <w:szCs w:val="14"/>
                <w:color w:val="auto"/>
              </w:rPr>
            </w:pPr>
          </w:p>
        </w:tc>
        <w:tc>
          <w:tcPr>
            <w:tcW w:w="9040" w:type="dxa"/>
            <w:vAlign w:val="bottom"/>
            <w:tcBorders>
              <w:top w:val="single" w:sz="8" w:color="0000FF"/>
            </w:tcBorders>
            <w:gridSpan w:val="28"/>
          </w:tcPr>
          <w:p>
            <w:pPr>
              <w:spacing w:after="0" w:line="167"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1993, File No. 001-07850.</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248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6500" w:type="dxa"/>
            <w:vAlign w:val="bottom"/>
            <w:gridSpan w:val="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1"/>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10.02*</w:t>
            </w:r>
          </w:p>
        </w:tc>
        <w:tc>
          <w:tcPr>
            <w:tcW w:w="9120" w:type="dxa"/>
            <w:vAlign w:val="bottom"/>
            <w:gridSpan w:val="32"/>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Southwest Gas Corporation Supplemental Executive Retirement Plan, amended and restated August 3, 2020. Incorporated</w:t>
              </w:r>
            </w:hyperlink>
          </w:p>
        </w:tc>
      </w:tr>
      <w:tr>
        <w:trPr>
          <w:trHeight w:val="154"/>
        </w:trPr>
        <w:tc>
          <w:tcPr>
            <w:tcW w:w="2480" w:type="dxa"/>
            <w:vAlign w:val="bottom"/>
          </w:tcPr>
          <w:p>
            <w:pPr>
              <w:spacing w:after="0"/>
              <w:rPr>
                <w:sz w:val="13"/>
                <w:szCs w:val="13"/>
                <w:color w:val="auto"/>
              </w:rPr>
            </w:pPr>
          </w:p>
        </w:tc>
        <w:tc>
          <w:tcPr>
            <w:tcW w:w="9000" w:type="dxa"/>
            <w:vAlign w:val="bottom"/>
            <w:tcBorders>
              <w:top w:val="single" w:sz="8" w:color="0000FF"/>
            </w:tcBorders>
            <w:gridSpan w:val="26"/>
          </w:tcPr>
          <w:p>
            <w:pPr>
              <w:spacing w:after="0" w:line="154" w:lineRule="exact"/>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herein by reference to Exhibit 10.03 to Form 10-Q for the quarter ended September 30, 2020, File Nos. 001-37976 and</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7"/>
        </w:trPr>
        <w:tc>
          <w:tcPr>
            <w:tcW w:w="2480" w:type="dxa"/>
            <w:vAlign w:val="bottom"/>
          </w:tcPr>
          <w:p>
            <w:pPr>
              <w:spacing w:after="0"/>
              <w:rPr>
                <w:sz w:val="14"/>
                <w:szCs w:val="14"/>
                <w:color w:val="auto"/>
              </w:rPr>
            </w:pPr>
          </w:p>
        </w:tc>
        <w:tc>
          <w:tcPr>
            <w:tcW w:w="800" w:type="dxa"/>
            <w:vAlign w:val="bottom"/>
            <w:tcBorders>
              <w:top w:val="single" w:sz="8" w:color="0000FF"/>
              <w:bottom w:val="single" w:sz="8" w:color="0000FF"/>
            </w:tcBorders>
          </w:tcPr>
          <w:p>
            <w:pPr>
              <w:spacing w:after="0" w:line="167" w:lineRule="exact"/>
              <w:rPr>
                <w:rFonts w:ascii="Times New Roman" w:cs="Times New Roman" w:eastAsia="Times New Roman" w:hAnsi="Times New Roman"/>
                <w:sz w:val="18"/>
                <w:szCs w:val="18"/>
                <w:color w:val="0000FF"/>
                <w:w w:val="94"/>
              </w:rPr>
            </w:pPr>
            <w:hyperlink r:id="rId167">
              <w:r>
                <w:rPr>
                  <w:rFonts w:ascii="Times New Roman" w:cs="Times New Roman" w:eastAsia="Times New Roman" w:hAnsi="Times New Roman"/>
                  <w:sz w:val="18"/>
                  <w:szCs w:val="18"/>
                  <w:color w:val="0000FF"/>
                  <w:w w:val="94"/>
                </w:rPr>
                <w:t>001-07850.</w:t>
              </w:r>
            </w:hyperlink>
          </w:p>
        </w:tc>
        <w:tc>
          <w:tcPr>
            <w:tcW w:w="64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320" w:type="dxa"/>
            <w:vAlign w:val="bottom"/>
            <w:tcBorders>
              <w:top w:val="single" w:sz="8" w:color="0000FF"/>
            </w:tcBorders>
          </w:tcPr>
          <w:p>
            <w:pPr>
              <w:spacing w:after="0"/>
              <w:rPr>
                <w:sz w:val="14"/>
                <w:szCs w:val="14"/>
                <w:color w:val="auto"/>
              </w:rPr>
            </w:pPr>
          </w:p>
        </w:tc>
        <w:tc>
          <w:tcPr>
            <w:tcW w:w="29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r>
      <w:tr>
        <w:trPr>
          <w:trHeight w:val="261"/>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10.03*</w:t>
            </w:r>
          </w:p>
        </w:tc>
        <w:tc>
          <w:tcPr>
            <w:tcW w:w="9120" w:type="dxa"/>
            <w:vAlign w:val="bottom"/>
            <w:gridSpan w:val="32"/>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Southwest Gas Holdings, Inc. Management Incentive Plan, amended and restated August 3, 2020. Incorporated herein by</w:t>
              </w:r>
            </w:hyperlink>
          </w:p>
        </w:tc>
      </w:tr>
      <w:tr>
        <w:trPr>
          <w:trHeight w:val="154"/>
        </w:trPr>
        <w:tc>
          <w:tcPr>
            <w:tcW w:w="2480" w:type="dxa"/>
            <w:vAlign w:val="bottom"/>
          </w:tcPr>
          <w:p>
            <w:pPr>
              <w:spacing w:after="0"/>
              <w:rPr>
                <w:sz w:val="13"/>
                <w:szCs w:val="13"/>
                <w:color w:val="auto"/>
              </w:rPr>
            </w:pPr>
          </w:p>
        </w:tc>
        <w:tc>
          <w:tcPr>
            <w:tcW w:w="8620" w:type="dxa"/>
            <w:vAlign w:val="bottom"/>
            <w:tcBorders>
              <w:top w:val="single" w:sz="8" w:color="0000FF"/>
              <w:bottom w:val="single" w:sz="8" w:color="0000FF"/>
            </w:tcBorders>
            <w:gridSpan w:val="12"/>
          </w:tcPr>
          <w:p>
            <w:pPr>
              <w:spacing w:after="0" w:line="154" w:lineRule="exact"/>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reference to Exhibit 10.04 to Form 10-Q for the quarter ended September 30, 2020, File Nos. 001-37976 and 001-07850.</w:t>
              </w:r>
            </w:hyperlink>
          </w:p>
        </w:tc>
        <w:tc>
          <w:tcPr>
            <w:tcW w:w="26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74"/>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10.04*</w:t>
            </w:r>
          </w:p>
        </w:tc>
        <w:tc>
          <w:tcPr>
            <w:tcW w:w="9120" w:type="dxa"/>
            <w:vAlign w:val="bottom"/>
            <w:gridSpan w:val="32"/>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Southwest Gas Corporation Directors Deferral Plan, amended and restated December 28, 2016. Incorporated herein by</w:t>
              </w:r>
            </w:hyperlink>
          </w:p>
        </w:tc>
      </w:tr>
      <w:tr>
        <w:trPr>
          <w:trHeight w:val="154"/>
        </w:trPr>
        <w:tc>
          <w:tcPr>
            <w:tcW w:w="2480" w:type="dxa"/>
            <w:vAlign w:val="bottom"/>
          </w:tcPr>
          <w:p>
            <w:pPr>
              <w:spacing w:after="0"/>
              <w:rPr>
                <w:sz w:val="13"/>
                <w:szCs w:val="13"/>
                <w:color w:val="auto"/>
              </w:rPr>
            </w:pPr>
          </w:p>
        </w:tc>
        <w:tc>
          <w:tcPr>
            <w:tcW w:w="9060" w:type="dxa"/>
            <w:vAlign w:val="bottom"/>
            <w:tcBorders>
              <w:top w:val="single" w:sz="8" w:color="0000FF"/>
            </w:tcBorders>
            <w:gridSpan w:val="29"/>
          </w:tcPr>
          <w:p>
            <w:pPr>
              <w:spacing w:after="0" w:line="154" w:lineRule="exact"/>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reference to Exhibit 10.05 to Form 10-K for the year ended December 31, 2018, File Nos. 001-37976 and 001-07850.</w:t>
              </w:r>
            </w:hyperlink>
          </w:p>
        </w:tc>
        <w:tc>
          <w:tcPr>
            <w:tcW w:w="60" w:type="dxa"/>
            <w:vAlign w:val="bottom"/>
            <w:gridSpan w:val="3"/>
          </w:tcPr>
          <w:p>
            <w:pPr>
              <w:spacing w:after="0"/>
              <w:rPr>
                <w:sz w:val="13"/>
                <w:szCs w:val="13"/>
                <w:color w:val="auto"/>
              </w:rPr>
            </w:pPr>
          </w:p>
        </w:tc>
      </w:tr>
      <w:tr>
        <w:trPr>
          <w:trHeight w:val="20"/>
        </w:trPr>
        <w:tc>
          <w:tcPr>
            <w:tcW w:w="2480" w:type="dxa"/>
            <w:vAlign w:val="bottom"/>
          </w:tcPr>
          <w:p>
            <w:pPr>
              <w:spacing w:after="0" w:line="20" w:lineRule="exact"/>
              <w:rPr>
                <w:sz w:val="1"/>
                <w:szCs w:val="1"/>
                <w:color w:val="auto"/>
              </w:rPr>
            </w:pPr>
          </w:p>
        </w:tc>
        <w:tc>
          <w:tcPr>
            <w:tcW w:w="8380" w:type="dxa"/>
            <w:vAlign w:val="bottom"/>
            <w:gridSpan w:val="11"/>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r>
      <w:tr>
        <w:trPr>
          <w:trHeight w:val="274"/>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10.05*</w:t>
            </w:r>
          </w:p>
        </w:tc>
        <w:tc>
          <w:tcPr>
            <w:tcW w:w="9120" w:type="dxa"/>
            <w:vAlign w:val="bottom"/>
            <w:gridSpan w:val="32"/>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Southwest Gas Corporation 1986 Executive Deferral Plan, amended and restated August 3, 2020. Incorporated herein by</w:t>
              </w:r>
            </w:hyperlink>
          </w:p>
        </w:tc>
      </w:tr>
      <w:tr>
        <w:trPr>
          <w:trHeight w:val="154"/>
        </w:trPr>
        <w:tc>
          <w:tcPr>
            <w:tcW w:w="2480" w:type="dxa"/>
            <w:vAlign w:val="bottom"/>
          </w:tcPr>
          <w:p>
            <w:pPr>
              <w:spacing w:after="0"/>
              <w:rPr>
                <w:sz w:val="13"/>
                <w:szCs w:val="13"/>
                <w:color w:val="auto"/>
              </w:rPr>
            </w:pPr>
          </w:p>
        </w:tc>
        <w:tc>
          <w:tcPr>
            <w:tcW w:w="8620" w:type="dxa"/>
            <w:vAlign w:val="bottom"/>
            <w:tcBorders>
              <w:top w:val="single" w:sz="8" w:color="0000FF"/>
              <w:bottom w:val="single" w:sz="8" w:color="0000FF"/>
            </w:tcBorders>
            <w:gridSpan w:val="12"/>
          </w:tcPr>
          <w:p>
            <w:pPr>
              <w:spacing w:after="0" w:line="154" w:lineRule="exact"/>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reference to Exhibit 10.01 to Form 10-Q for the quarter ended September 30, 2020, File Nos. 001-37976 and 001-07850.</w:t>
              </w:r>
            </w:hyperlink>
          </w:p>
        </w:tc>
        <w:tc>
          <w:tcPr>
            <w:tcW w:w="280" w:type="dxa"/>
            <w:vAlign w:val="bottom"/>
            <w:tcBorders>
              <w:top w:val="single" w:sz="8" w:color="0000FF"/>
            </w:tcBorders>
            <w:gridSpan w:val="9"/>
          </w:tcPr>
          <w:p>
            <w:pPr>
              <w:spacing w:after="0"/>
              <w:rPr>
                <w:sz w:val="13"/>
                <w:szCs w:val="13"/>
                <w:color w:val="auto"/>
              </w:rPr>
            </w:pPr>
          </w:p>
        </w:tc>
        <w:tc>
          <w:tcPr>
            <w:tcW w:w="220" w:type="dxa"/>
            <w:vAlign w:val="bottom"/>
            <w:gridSpan w:val="11"/>
          </w:tcPr>
          <w:p>
            <w:pPr>
              <w:spacing w:after="0"/>
              <w:rPr>
                <w:sz w:val="13"/>
                <w:szCs w:val="13"/>
                <w:color w:val="auto"/>
              </w:rPr>
            </w:pPr>
          </w:p>
        </w:tc>
      </w:tr>
      <w:tr>
        <w:trPr>
          <w:trHeight w:val="274"/>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10.06*</w:t>
            </w:r>
          </w:p>
        </w:tc>
        <w:tc>
          <w:tcPr>
            <w:tcW w:w="9120" w:type="dxa"/>
            <w:vAlign w:val="bottom"/>
            <w:gridSpan w:val="32"/>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Southwest Gas Corporation 2005 Executive Deferral Plan, amended and restated August 3, 2020. Incorporated herein by</w:t>
              </w:r>
            </w:hyperlink>
          </w:p>
        </w:tc>
      </w:tr>
      <w:tr>
        <w:trPr>
          <w:trHeight w:val="154"/>
        </w:trPr>
        <w:tc>
          <w:tcPr>
            <w:tcW w:w="2480" w:type="dxa"/>
            <w:vAlign w:val="bottom"/>
          </w:tcPr>
          <w:p>
            <w:pPr>
              <w:spacing w:after="0"/>
              <w:rPr>
                <w:sz w:val="13"/>
                <w:szCs w:val="13"/>
                <w:color w:val="auto"/>
              </w:rPr>
            </w:pPr>
          </w:p>
        </w:tc>
        <w:tc>
          <w:tcPr>
            <w:tcW w:w="8900" w:type="dxa"/>
            <w:vAlign w:val="bottom"/>
            <w:tcBorders>
              <w:top w:val="single" w:sz="8" w:color="0000FF"/>
            </w:tcBorders>
            <w:gridSpan w:val="21"/>
          </w:tcPr>
          <w:p>
            <w:pPr>
              <w:spacing w:after="0" w:line="154" w:lineRule="exact"/>
              <w:rPr>
                <w:rFonts w:ascii="Times New Roman" w:cs="Times New Roman" w:eastAsia="Times New Roman" w:hAnsi="Times New Roman"/>
                <w:sz w:val="17"/>
                <w:szCs w:val="17"/>
                <w:color w:val="0000FF"/>
              </w:rPr>
            </w:pPr>
            <w:hyperlink r:id="rId171">
              <w:r>
                <w:rPr>
                  <w:rFonts w:ascii="Times New Roman" w:cs="Times New Roman" w:eastAsia="Times New Roman" w:hAnsi="Times New Roman"/>
                  <w:sz w:val="17"/>
                  <w:szCs w:val="17"/>
                  <w:color w:val="0000FF"/>
                </w:rPr>
                <w:t>reference to Exhibit 10.02 to Form 10-Q for the quarter ended September 30, 2020, File Nos. 001-37976 and 001-07850.</w:t>
              </w:r>
            </w:hyperlink>
          </w:p>
        </w:tc>
        <w:tc>
          <w:tcPr>
            <w:tcW w:w="220" w:type="dxa"/>
            <w:vAlign w:val="bottom"/>
            <w:gridSpan w:val="11"/>
          </w:tcPr>
          <w:p>
            <w:pPr>
              <w:spacing w:after="0"/>
              <w:rPr>
                <w:sz w:val="13"/>
                <w:szCs w:val="13"/>
                <w:color w:val="auto"/>
              </w:rPr>
            </w:pPr>
          </w:p>
        </w:tc>
      </w:tr>
      <w:tr>
        <w:trPr>
          <w:trHeight w:val="970"/>
        </w:trPr>
        <w:tc>
          <w:tcPr>
            <w:tcW w:w="2480" w:type="dxa"/>
            <w:vAlign w:val="bottom"/>
          </w:tcPr>
          <w:p>
            <w:pPr>
              <w:spacing w:after="0"/>
              <w:rPr>
                <w:sz w:val="24"/>
                <w:szCs w:val="24"/>
                <w:color w:val="auto"/>
              </w:rPr>
            </w:pPr>
          </w:p>
        </w:tc>
        <w:tc>
          <w:tcPr>
            <w:tcW w:w="3340" w:type="dxa"/>
            <w:vAlign w:val="bottom"/>
            <w:tcBorders>
              <w:top w:val="single" w:sz="8" w:color="0000FF"/>
            </w:tcBorders>
            <w:gridSpan w:val="7"/>
          </w:tcPr>
          <w:p>
            <w:pPr>
              <w:ind w:left="3020"/>
              <w:spacing w:after="0"/>
              <w:rPr>
                <w:sz w:val="20"/>
                <w:szCs w:val="20"/>
                <w:color w:val="auto"/>
              </w:rPr>
            </w:pPr>
            <w:r>
              <w:rPr>
                <w:rFonts w:ascii="Times New Roman" w:cs="Times New Roman" w:eastAsia="Times New Roman" w:hAnsi="Times New Roman"/>
                <w:sz w:val="18"/>
                <w:szCs w:val="18"/>
                <w:color w:val="auto"/>
              </w:rPr>
              <w:t>107</w:t>
            </w:r>
          </w:p>
        </w:tc>
        <w:tc>
          <w:tcPr>
            <w:tcW w:w="5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320" w:type="dxa"/>
            <w:vAlign w:val="bottom"/>
            <w:tcBorders>
              <w:top w:val="single" w:sz="8" w:color="0000FF"/>
            </w:tcBorders>
          </w:tcPr>
          <w:p>
            <w:pPr>
              <w:spacing w:after="0"/>
              <w:rPr>
                <w:sz w:val="24"/>
                <w:szCs w:val="24"/>
                <w:color w:val="auto"/>
              </w:rPr>
            </w:pPr>
          </w:p>
        </w:tc>
        <w:tc>
          <w:tcPr>
            <w:tcW w:w="29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7"/>
        </w:trPr>
        <w:tc>
          <w:tcPr>
            <w:tcW w:w="2480" w:type="dxa"/>
            <w:vAlign w:val="bottom"/>
            <w:tcBorders>
              <w:bottom w:val="single" w:sz="8" w:color="9A9A9A"/>
            </w:tcBorders>
          </w:tcPr>
          <w:p>
            <w:pPr>
              <w:spacing w:after="0"/>
              <w:rPr>
                <w:sz w:val="17"/>
                <w:szCs w:val="17"/>
                <w:color w:val="auto"/>
              </w:rPr>
            </w:pPr>
          </w:p>
        </w:tc>
        <w:tc>
          <w:tcPr>
            <w:tcW w:w="80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44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292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07"/>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10.07</w:t>
            </w:r>
          </w:p>
        </w:tc>
        <w:tc>
          <w:tcPr>
            <w:tcW w:w="9220" w:type="dxa"/>
            <w:vAlign w:val="bottom"/>
            <w:gridSpan w:val="40"/>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Financing agreement dated as of March 1, 2003 by and between Clark County, Nevada, and Southwest Gas Corporation</w:t>
              </w:r>
            </w:hyperlink>
          </w:p>
        </w:tc>
      </w:tr>
      <w:tr>
        <w:trPr>
          <w:trHeight w:val="154"/>
        </w:trPr>
        <w:tc>
          <w:tcPr>
            <w:tcW w:w="2480" w:type="dxa"/>
            <w:vAlign w:val="bottom"/>
          </w:tcPr>
          <w:p>
            <w:pPr>
              <w:spacing w:after="0"/>
              <w:rPr>
                <w:sz w:val="13"/>
                <w:szCs w:val="13"/>
                <w:color w:val="auto"/>
              </w:rPr>
            </w:pPr>
          </w:p>
        </w:tc>
        <w:tc>
          <w:tcPr>
            <w:tcW w:w="9180" w:type="dxa"/>
            <w:vAlign w:val="bottom"/>
            <w:tcBorders>
              <w:top w:val="single" w:sz="8" w:color="0000FF"/>
            </w:tcBorders>
            <w:gridSpan w:val="38"/>
          </w:tcPr>
          <w:p>
            <w:pPr>
              <w:spacing w:after="0" w:line="154" w:lineRule="exact"/>
              <w:rPr>
                <w:rFonts w:ascii="Times New Roman" w:cs="Times New Roman" w:eastAsia="Times New Roman" w:hAnsi="Times New Roman"/>
                <w:sz w:val="17"/>
                <w:szCs w:val="17"/>
                <w:color w:val="0000FF"/>
              </w:rPr>
            </w:pPr>
            <w:hyperlink r:id="rId174">
              <w:r>
                <w:rPr>
                  <w:rFonts w:ascii="Times New Roman" w:cs="Times New Roman" w:eastAsia="Times New Roman" w:hAnsi="Times New Roman"/>
                  <w:sz w:val="17"/>
                  <w:szCs w:val="17"/>
                  <w:color w:val="0000FF"/>
                </w:rPr>
                <w:t>relating to Clark County, Nevada Industrial Development Revenue Bonds Series 2003A, Series 2003B, Series 2003C,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2480" w:type="dxa"/>
            <w:vAlign w:val="bottom"/>
          </w:tcPr>
          <w:p>
            <w:pPr>
              <w:spacing w:after="0"/>
              <w:rPr>
                <w:sz w:val="14"/>
                <w:szCs w:val="14"/>
                <w:color w:val="auto"/>
              </w:rPr>
            </w:pPr>
          </w:p>
        </w:tc>
        <w:tc>
          <w:tcPr>
            <w:tcW w:w="8780" w:type="dxa"/>
            <w:vAlign w:val="bottom"/>
            <w:tcBorders>
              <w:top w:val="single" w:sz="8" w:color="0000FF"/>
              <w:bottom w:val="single" w:sz="8" w:color="0000FF"/>
            </w:tcBorders>
            <w:gridSpan w:val="18"/>
          </w:tcPr>
          <w:p>
            <w:pPr>
              <w:spacing w:after="0" w:line="167"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Series 2003D and Series 2003E. Incorporated herein by reference to Exhibit 10 to Form 10-Q for the quarter ended</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54"/>
        </w:trPr>
        <w:tc>
          <w:tcPr>
            <w:tcW w:w="2480" w:type="dxa"/>
            <w:vAlign w:val="bottom"/>
          </w:tcPr>
          <w:p>
            <w:pPr>
              <w:spacing w:after="0"/>
              <w:rPr>
                <w:sz w:val="13"/>
                <w:szCs w:val="13"/>
                <w:color w:val="auto"/>
              </w:rPr>
            </w:pPr>
          </w:p>
        </w:tc>
        <w:tc>
          <w:tcPr>
            <w:tcW w:w="2960" w:type="dxa"/>
            <w:vAlign w:val="bottom"/>
            <w:tcBorders>
              <w:bottom w:val="single" w:sz="8" w:color="0000FF"/>
            </w:tcBorders>
            <w:gridSpan w:val="3"/>
          </w:tcPr>
          <w:p>
            <w:pPr>
              <w:spacing w:after="0" w:line="154" w:lineRule="exact"/>
              <w:rPr>
                <w:rFonts w:ascii="Times New Roman" w:cs="Times New Roman" w:eastAsia="Times New Roman" w:hAnsi="Times New Roman"/>
                <w:sz w:val="17"/>
                <w:szCs w:val="17"/>
                <w:color w:val="0000FF"/>
              </w:rPr>
            </w:pPr>
            <w:hyperlink r:id="rId174">
              <w:r>
                <w:rPr>
                  <w:rFonts w:ascii="Times New Roman" w:cs="Times New Roman" w:eastAsia="Times New Roman" w:hAnsi="Times New Roman"/>
                  <w:sz w:val="17"/>
                  <w:szCs w:val="17"/>
                  <w:color w:val="0000FF"/>
                </w:rPr>
                <w:t>September 30, 2003, File No. 001-07850.</w:t>
              </w:r>
            </w:hyperlink>
          </w:p>
        </w:tc>
        <w:tc>
          <w:tcPr>
            <w:tcW w:w="6100" w:type="dxa"/>
            <w:vAlign w:val="bottom"/>
            <w:gridSpan w:val="2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61"/>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10.08</w:t>
            </w:r>
          </w:p>
        </w:tc>
        <w:tc>
          <w:tcPr>
            <w:tcW w:w="9220" w:type="dxa"/>
            <w:vAlign w:val="bottom"/>
            <w:gridSpan w:val="40"/>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First Amendment to Financing Agreement by and between Clark County, Nevada, and Southwest Gas Corporation dated</w:t>
              </w:r>
            </w:hyperlink>
          </w:p>
        </w:tc>
      </w:tr>
      <w:tr>
        <w:trPr>
          <w:trHeight w:val="154"/>
        </w:trPr>
        <w:tc>
          <w:tcPr>
            <w:tcW w:w="2480" w:type="dxa"/>
            <w:vAlign w:val="bottom"/>
          </w:tcPr>
          <w:p>
            <w:pPr>
              <w:spacing w:after="0"/>
              <w:rPr>
                <w:sz w:val="13"/>
                <w:szCs w:val="13"/>
                <w:color w:val="auto"/>
              </w:rPr>
            </w:pPr>
          </w:p>
        </w:tc>
        <w:tc>
          <w:tcPr>
            <w:tcW w:w="9200" w:type="dxa"/>
            <w:vAlign w:val="bottom"/>
            <w:tcBorders>
              <w:top w:val="single" w:sz="8" w:color="0000FF"/>
            </w:tcBorders>
            <w:gridSpan w:val="39"/>
          </w:tcPr>
          <w:p>
            <w:pPr>
              <w:spacing w:after="0" w:line="154" w:lineRule="exact"/>
              <w:rPr>
                <w:rFonts w:ascii="Times New Roman" w:cs="Times New Roman" w:eastAsia="Times New Roman" w:hAnsi="Times New Roman"/>
                <w:sz w:val="17"/>
                <w:szCs w:val="17"/>
                <w:color w:val="0000FF"/>
              </w:rPr>
            </w:pPr>
            <w:hyperlink r:id="rId175">
              <w:r>
                <w:rPr>
                  <w:rFonts w:ascii="Times New Roman" w:cs="Times New Roman" w:eastAsia="Times New Roman" w:hAnsi="Times New Roman"/>
                  <w:sz w:val="17"/>
                  <w:szCs w:val="17"/>
                  <w:color w:val="0000FF"/>
                </w:rPr>
                <w:t>as of July 1, 2005, amending the Financing Agreement dated as of March 1, 2003, with respect to Clark County, Nevada</w:t>
              </w:r>
            </w:hyperlink>
          </w:p>
        </w:tc>
        <w:tc>
          <w:tcPr>
            <w:tcW w:w="20" w:type="dxa"/>
            <w:vAlign w:val="bottom"/>
          </w:tcPr>
          <w:p>
            <w:pPr>
              <w:spacing w:after="0"/>
              <w:rPr>
                <w:sz w:val="13"/>
                <w:szCs w:val="13"/>
                <w:color w:val="auto"/>
              </w:rPr>
            </w:pPr>
          </w:p>
        </w:tc>
      </w:tr>
      <w:tr>
        <w:trPr>
          <w:trHeight w:val="167"/>
        </w:trPr>
        <w:tc>
          <w:tcPr>
            <w:tcW w:w="2480" w:type="dxa"/>
            <w:vAlign w:val="bottom"/>
          </w:tcPr>
          <w:p>
            <w:pPr>
              <w:spacing w:after="0"/>
              <w:rPr>
                <w:sz w:val="14"/>
                <w:szCs w:val="14"/>
                <w:color w:val="auto"/>
              </w:rPr>
            </w:pPr>
          </w:p>
        </w:tc>
        <w:tc>
          <w:tcPr>
            <w:tcW w:w="9080" w:type="dxa"/>
            <w:vAlign w:val="bottom"/>
            <w:tcBorders>
              <w:top w:val="single" w:sz="8" w:color="0000FF"/>
            </w:tcBorders>
            <w:gridSpan w:val="33"/>
          </w:tcPr>
          <w:p>
            <w:pPr>
              <w:spacing w:after="0" w:line="167"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Industrial Development Revenue Bonds Series 2003A, Series 2003B, Series 2003C, Series 2003D, and Series 2003E.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54"/>
        </w:trPr>
        <w:tc>
          <w:tcPr>
            <w:tcW w:w="2480" w:type="dxa"/>
            <w:vAlign w:val="bottom"/>
          </w:tcPr>
          <w:p>
            <w:pPr>
              <w:spacing w:after="0"/>
              <w:rPr>
                <w:sz w:val="13"/>
                <w:szCs w:val="13"/>
                <w:color w:val="auto"/>
              </w:rPr>
            </w:pPr>
          </w:p>
        </w:tc>
        <w:tc>
          <w:tcPr>
            <w:tcW w:w="8800" w:type="dxa"/>
            <w:vAlign w:val="bottom"/>
            <w:tcBorders>
              <w:top w:val="single" w:sz="8" w:color="0000FF"/>
            </w:tcBorders>
            <w:gridSpan w:val="19"/>
          </w:tcPr>
          <w:p>
            <w:pPr>
              <w:spacing w:after="0" w:line="154" w:lineRule="exact"/>
              <w:rPr>
                <w:rFonts w:ascii="Times New Roman" w:cs="Times New Roman" w:eastAsia="Times New Roman" w:hAnsi="Times New Roman"/>
                <w:sz w:val="17"/>
                <w:szCs w:val="17"/>
                <w:color w:val="0000FF"/>
              </w:rPr>
            </w:pPr>
            <w:hyperlink r:id="rId175">
              <w:r>
                <w:rPr>
                  <w:rFonts w:ascii="Times New Roman" w:cs="Times New Roman" w:eastAsia="Times New Roman" w:hAnsi="Times New Roman"/>
                  <w:sz w:val="17"/>
                  <w:szCs w:val="17"/>
                  <w:color w:val="0000FF"/>
                </w:rPr>
                <w:t>Incorporated herein by reference to Exhibit 10.2 to Form 10-Q for the quarter ended June 30, 2005, File No. 001-07850.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248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1"/>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10.09</w:t>
            </w:r>
          </w:p>
        </w:tc>
        <w:tc>
          <w:tcPr>
            <w:tcW w:w="9220" w:type="dxa"/>
            <w:vAlign w:val="bottom"/>
            <w:gridSpan w:val="40"/>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Financing Agreement between Clark County, Nevada, and Southwest Gas Corporation, dated as of September 1, 2008,</w:t>
              </w:r>
            </w:hyperlink>
          </w:p>
        </w:tc>
      </w:tr>
      <w:tr>
        <w:trPr>
          <w:trHeight w:val="154"/>
        </w:trPr>
        <w:tc>
          <w:tcPr>
            <w:tcW w:w="2480" w:type="dxa"/>
            <w:vAlign w:val="bottom"/>
          </w:tcPr>
          <w:p>
            <w:pPr>
              <w:spacing w:after="0"/>
              <w:rPr>
                <w:sz w:val="13"/>
                <w:szCs w:val="13"/>
                <w:color w:val="auto"/>
              </w:rPr>
            </w:pPr>
          </w:p>
        </w:tc>
        <w:tc>
          <w:tcPr>
            <w:tcW w:w="8840" w:type="dxa"/>
            <w:vAlign w:val="bottom"/>
            <w:tcBorders>
              <w:top w:val="single" w:sz="8" w:color="0000FF"/>
              <w:bottom w:val="single" w:sz="8" w:color="0000FF"/>
            </w:tcBorders>
            <w:gridSpan w:val="21"/>
          </w:tcPr>
          <w:p>
            <w:pPr>
              <w:spacing w:after="0" w:line="154" w:lineRule="exact"/>
              <w:rPr>
                <w:rFonts w:ascii="Times New Roman" w:cs="Times New Roman" w:eastAsia="Times New Roman" w:hAnsi="Times New Roman"/>
                <w:sz w:val="17"/>
                <w:szCs w:val="17"/>
                <w:color w:val="0000FF"/>
              </w:rPr>
            </w:pPr>
            <w:hyperlink r:id="rId176">
              <w:r>
                <w:rPr>
                  <w:rFonts w:ascii="Times New Roman" w:cs="Times New Roman" w:eastAsia="Times New Roman" w:hAnsi="Times New Roman"/>
                  <w:sz w:val="17"/>
                  <w:szCs w:val="17"/>
                  <w:color w:val="0000FF"/>
                </w:rPr>
                <w:t>relating to Clark County, Nevada Industrial Development Revenue Bonds Series 2008A. Incorporated herein by reference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7"/>
        </w:trPr>
        <w:tc>
          <w:tcPr>
            <w:tcW w:w="2480" w:type="dxa"/>
            <w:vAlign w:val="bottom"/>
          </w:tcPr>
          <w:p>
            <w:pPr>
              <w:spacing w:after="0"/>
              <w:rPr>
                <w:sz w:val="14"/>
                <w:szCs w:val="14"/>
                <w:color w:val="auto"/>
              </w:rPr>
            </w:pPr>
          </w:p>
        </w:tc>
        <w:tc>
          <w:tcPr>
            <w:tcW w:w="6720" w:type="dxa"/>
            <w:vAlign w:val="bottom"/>
            <w:tcBorders>
              <w:bottom w:val="single" w:sz="8" w:color="0000FF"/>
            </w:tcBorders>
            <w:gridSpan w:val="13"/>
          </w:tcPr>
          <w:p>
            <w:pPr>
              <w:spacing w:after="0" w:line="167" w:lineRule="exact"/>
              <w:rPr>
                <w:rFonts w:ascii="Times New Roman" w:cs="Times New Roman" w:eastAsia="Times New Roman" w:hAnsi="Times New Roman"/>
                <w:sz w:val="18"/>
                <w:szCs w:val="18"/>
                <w:color w:val="0000FF"/>
                <w:w w:val="98"/>
              </w:rPr>
            </w:pPr>
            <w:hyperlink r:id="rId176">
              <w:r>
                <w:rPr>
                  <w:rFonts w:ascii="Times New Roman" w:cs="Times New Roman" w:eastAsia="Times New Roman" w:hAnsi="Times New Roman"/>
                  <w:sz w:val="18"/>
                  <w:szCs w:val="18"/>
                  <w:color w:val="0000FF"/>
                  <w:w w:val="98"/>
                </w:rPr>
                <w:t>to Exhibit 10.03 to Form 10-Q for the quarter ended September 30, 2008, File No. 001-07850.</w:t>
              </w:r>
            </w:hyperlink>
          </w:p>
        </w:tc>
        <w:tc>
          <w:tcPr>
            <w:tcW w:w="2260" w:type="dxa"/>
            <w:vAlign w:val="bottom"/>
            <w:gridSpan w:val="1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61"/>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9220" w:type="dxa"/>
            <w:vAlign w:val="bottom"/>
            <w:gridSpan w:val="40"/>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Financing Agreement between Clark County, Nevada and Southwest Gas Corporation, dated December 1, 2009, relating</w:t>
              </w:r>
            </w:hyperlink>
          </w:p>
        </w:tc>
      </w:tr>
      <w:tr>
        <w:trPr>
          <w:trHeight w:val="154"/>
        </w:trPr>
        <w:tc>
          <w:tcPr>
            <w:tcW w:w="2480" w:type="dxa"/>
            <w:vAlign w:val="bottom"/>
          </w:tcPr>
          <w:p>
            <w:pPr>
              <w:spacing w:after="0"/>
              <w:rPr>
                <w:sz w:val="13"/>
                <w:szCs w:val="13"/>
                <w:color w:val="auto"/>
              </w:rPr>
            </w:pPr>
          </w:p>
        </w:tc>
        <w:tc>
          <w:tcPr>
            <w:tcW w:w="9120" w:type="dxa"/>
            <w:vAlign w:val="bottom"/>
            <w:tcBorders>
              <w:top w:val="single" w:sz="8" w:color="0000FF"/>
            </w:tcBorders>
            <w:gridSpan w:val="35"/>
          </w:tcPr>
          <w:p>
            <w:pPr>
              <w:spacing w:after="0" w:line="154" w:lineRule="exact"/>
              <w:rPr>
                <w:rFonts w:ascii="Times New Roman" w:cs="Times New Roman" w:eastAsia="Times New Roman" w:hAnsi="Times New Roman"/>
                <w:sz w:val="17"/>
                <w:szCs w:val="17"/>
                <w:color w:val="0000FF"/>
              </w:rPr>
            </w:pPr>
            <w:hyperlink r:id="rId177">
              <w:r>
                <w:rPr>
                  <w:rFonts w:ascii="Times New Roman" w:cs="Times New Roman" w:eastAsia="Times New Roman" w:hAnsi="Times New Roman"/>
                  <w:sz w:val="17"/>
                  <w:szCs w:val="17"/>
                  <w:color w:val="0000FF"/>
                </w:rPr>
                <w:t>to Clark County, Nevada Industrial Development Revenue Bonds Series 2009A. Incorporated herein by reference 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7"/>
        </w:trPr>
        <w:tc>
          <w:tcPr>
            <w:tcW w:w="2480" w:type="dxa"/>
            <w:vAlign w:val="bottom"/>
          </w:tcPr>
          <w:p>
            <w:pPr>
              <w:spacing w:after="0"/>
              <w:rPr>
                <w:sz w:val="14"/>
                <w:szCs w:val="14"/>
                <w:color w:val="auto"/>
              </w:rPr>
            </w:pPr>
          </w:p>
        </w:tc>
        <w:tc>
          <w:tcPr>
            <w:tcW w:w="8800" w:type="dxa"/>
            <w:vAlign w:val="bottom"/>
            <w:tcBorders>
              <w:top w:val="single" w:sz="8" w:color="0000FF"/>
            </w:tcBorders>
            <w:gridSpan w:val="19"/>
          </w:tcPr>
          <w:p>
            <w:pPr>
              <w:spacing w:after="0" w:line="167"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Exhibit 10.21 to Form 10-K for the year ended December 31, 2009, File No. 001-07850.</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0"/>
        </w:trPr>
        <w:tc>
          <w:tcPr>
            <w:tcW w:w="248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1"/>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9220" w:type="dxa"/>
            <w:vAlign w:val="bottom"/>
            <w:gridSpan w:val="40"/>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 xml:space="preserve">Southwest Gas Corporation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400 million Credit Facility. Incorporated herein by reference to Exhibit 10.2 to Form 8-K</w:t>
              </w:r>
            </w:hyperlink>
          </w:p>
        </w:tc>
      </w:tr>
      <w:tr>
        <w:trPr>
          <w:trHeight w:val="154"/>
        </w:trPr>
        <w:tc>
          <w:tcPr>
            <w:tcW w:w="2480" w:type="dxa"/>
            <w:vAlign w:val="bottom"/>
          </w:tcPr>
          <w:p>
            <w:pPr>
              <w:spacing w:after="0"/>
              <w:rPr>
                <w:sz w:val="13"/>
                <w:szCs w:val="13"/>
                <w:color w:val="auto"/>
              </w:rPr>
            </w:pPr>
          </w:p>
        </w:tc>
        <w:tc>
          <w:tcPr>
            <w:tcW w:w="4200" w:type="dxa"/>
            <w:vAlign w:val="bottom"/>
            <w:tcBorders>
              <w:top w:val="single" w:sz="8" w:color="0000FF"/>
              <w:bottom w:val="single" w:sz="8" w:color="0000FF"/>
            </w:tcBorders>
            <w:gridSpan w:val="7"/>
          </w:tcPr>
          <w:p>
            <w:pPr>
              <w:spacing w:after="0" w:line="154" w:lineRule="exact"/>
              <w:rPr>
                <w:rFonts w:ascii="Times New Roman" w:cs="Times New Roman" w:eastAsia="Times New Roman" w:hAnsi="Times New Roman"/>
                <w:sz w:val="17"/>
                <w:szCs w:val="17"/>
                <w:color w:val="0000FF"/>
              </w:rPr>
            </w:pPr>
            <w:hyperlink r:id="rId178">
              <w:r>
                <w:rPr>
                  <w:rFonts w:ascii="Times New Roman" w:cs="Times New Roman" w:eastAsia="Times New Roman" w:hAnsi="Times New Roman"/>
                  <w:sz w:val="17"/>
                  <w:szCs w:val="17"/>
                  <w:color w:val="0000FF"/>
                </w:rPr>
                <w:t>dated April 10, 2020, File Nos. 001-07850 and 001-37976.</w:t>
              </w:r>
            </w:hyperlink>
          </w:p>
        </w:tc>
        <w:tc>
          <w:tcPr>
            <w:tcW w:w="480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74"/>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9220" w:type="dxa"/>
            <w:vAlign w:val="bottom"/>
            <w:gridSpan w:val="40"/>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Southwest Gas Holdings, Inc. 2006 Restricted Stock/Unit Plan, amended and restated as of December 28, 2016.</w:t>
              </w:r>
            </w:hyperlink>
          </w:p>
        </w:tc>
      </w:tr>
      <w:tr>
        <w:trPr>
          <w:trHeight w:val="154"/>
        </w:trPr>
        <w:tc>
          <w:tcPr>
            <w:tcW w:w="2480" w:type="dxa"/>
            <w:vAlign w:val="bottom"/>
          </w:tcPr>
          <w:p>
            <w:pPr>
              <w:spacing w:after="0"/>
              <w:rPr>
                <w:sz w:val="13"/>
                <w:szCs w:val="13"/>
                <w:color w:val="auto"/>
              </w:rPr>
            </w:pPr>
          </w:p>
        </w:tc>
        <w:tc>
          <w:tcPr>
            <w:tcW w:w="8880" w:type="dxa"/>
            <w:vAlign w:val="bottom"/>
            <w:tcBorders>
              <w:top w:val="single" w:sz="8" w:color="0000FF"/>
              <w:bottom w:val="single" w:sz="8" w:color="0000FF"/>
            </w:tcBorders>
            <w:gridSpan w:val="23"/>
          </w:tcPr>
          <w:p>
            <w:pPr>
              <w:spacing w:after="0" w:line="154" w:lineRule="exact"/>
              <w:rPr>
                <w:rFonts w:ascii="Times New Roman" w:cs="Times New Roman" w:eastAsia="Times New Roman" w:hAnsi="Times New Roman"/>
                <w:sz w:val="17"/>
                <w:szCs w:val="17"/>
                <w:color w:val="0000FF"/>
              </w:rPr>
            </w:pPr>
            <w:hyperlink r:id="rId179">
              <w:r>
                <w:rPr>
                  <w:rFonts w:ascii="Times New Roman" w:cs="Times New Roman" w:eastAsia="Times New Roman" w:hAnsi="Times New Roman"/>
                  <w:sz w:val="17"/>
                  <w:szCs w:val="17"/>
                  <w:color w:val="0000FF"/>
                </w:rPr>
                <w:t>Incorporated herein by reference to Exhibit 10.14 to Form 10-K for the year ended December 31, 2018, File Nos. 001-</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7"/>
        </w:trPr>
        <w:tc>
          <w:tcPr>
            <w:tcW w:w="2480" w:type="dxa"/>
            <w:vAlign w:val="bottom"/>
          </w:tcPr>
          <w:p>
            <w:pPr>
              <w:spacing w:after="0"/>
              <w:rPr>
                <w:sz w:val="14"/>
                <w:szCs w:val="14"/>
                <w:color w:val="auto"/>
              </w:rPr>
            </w:pPr>
          </w:p>
        </w:tc>
        <w:tc>
          <w:tcPr>
            <w:tcW w:w="8960" w:type="dxa"/>
            <w:vAlign w:val="bottom"/>
            <w:gridSpan w:val="27"/>
          </w:tcPr>
          <w:p>
            <w:pPr>
              <w:spacing w:after="0" w:line="167"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37976 and 001-07850.</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0"/>
        </w:trPr>
        <w:tc>
          <w:tcPr>
            <w:tcW w:w="248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1"/>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9220" w:type="dxa"/>
            <w:vAlign w:val="bottom"/>
            <w:gridSpan w:val="40"/>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Form of Performance Share Award Agreement with Named Executive Officers. Incorporated herein by reference to</w:t>
              </w:r>
            </w:hyperlink>
          </w:p>
        </w:tc>
      </w:tr>
      <w:tr>
        <w:trPr>
          <w:trHeight w:val="154"/>
        </w:trPr>
        <w:tc>
          <w:tcPr>
            <w:tcW w:w="2480" w:type="dxa"/>
            <w:vAlign w:val="bottom"/>
          </w:tcPr>
          <w:p>
            <w:pPr>
              <w:spacing w:after="0"/>
              <w:rPr>
                <w:sz w:val="13"/>
                <w:szCs w:val="13"/>
                <w:color w:val="auto"/>
              </w:rPr>
            </w:pPr>
          </w:p>
        </w:tc>
        <w:tc>
          <w:tcPr>
            <w:tcW w:w="9160" w:type="dxa"/>
            <w:vAlign w:val="bottom"/>
            <w:tcBorders>
              <w:top w:val="single" w:sz="8" w:color="0000FF"/>
            </w:tcBorders>
            <w:gridSpan w:val="37"/>
          </w:tcPr>
          <w:p>
            <w:pPr>
              <w:spacing w:after="0" w:line="154" w:lineRule="exact"/>
              <w:rPr>
                <w:rFonts w:ascii="Times New Roman" w:cs="Times New Roman" w:eastAsia="Times New Roman" w:hAnsi="Times New Roman"/>
                <w:sz w:val="17"/>
                <w:szCs w:val="17"/>
                <w:color w:val="0000FF"/>
              </w:rPr>
            </w:pPr>
            <w:hyperlink r:id="rId180">
              <w:r>
                <w:rPr>
                  <w:rFonts w:ascii="Times New Roman" w:cs="Times New Roman" w:eastAsia="Times New Roman" w:hAnsi="Times New Roman"/>
                  <w:sz w:val="17"/>
                  <w:szCs w:val="17"/>
                  <w:color w:val="0000FF"/>
                </w:rPr>
                <w:t>Exhibit 10.19 to Form 10-K for the year ended December 31, 2016, File No. 001-07850.</w:t>
              </w:r>
            </w:hyperlink>
          </w:p>
        </w:tc>
        <w:tc>
          <w:tcPr>
            <w:tcW w:w="60" w:type="dxa"/>
            <w:vAlign w:val="bottom"/>
            <w:gridSpan w:val="3"/>
          </w:tcPr>
          <w:p>
            <w:pPr>
              <w:spacing w:after="0"/>
              <w:rPr>
                <w:sz w:val="13"/>
                <w:szCs w:val="13"/>
                <w:color w:val="auto"/>
              </w:rPr>
            </w:pPr>
          </w:p>
        </w:tc>
      </w:tr>
      <w:tr>
        <w:trPr>
          <w:trHeight w:val="20"/>
        </w:trPr>
        <w:tc>
          <w:tcPr>
            <w:tcW w:w="248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74"/>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9220" w:type="dxa"/>
            <w:vAlign w:val="bottom"/>
            <w:gridSpan w:val="40"/>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Form of Restricted Stock Unit Award Agreement with Named Executive Officers. Incorporated herein by reference to</w:t>
              </w:r>
            </w:hyperlink>
          </w:p>
        </w:tc>
      </w:tr>
      <w:tr>
        <w:trPr>
          <w:trHeight w:val="154"/>
        </w:trPr>
        <w:tc>
          <w:tcPr>
            <w:tcW w:w="2480" w:type="dxa"/>
            <w:vAlign w:val="bottom"/>
          </w:tcPr>
          <w:p>
            <w:pPr>
              <w:spacing w:after="0"/>
              <w:rPr>
                <w:sz w:val="13"/>
                <w:szCs w:val="13"/>
                <w:color w:val="auto"/>
              </w:rPr>
            </w:pPr>
          </w:p>
        </w:tc>
        <w:tc>
          <w:tcPr>
            <w:tcW w:w="9140" w:type="dxa"/>
            <w:vAlign w:val="bottom"/>
            <w:tcBorders>
              <w:top w:val="single" w:sz="8" w:color="0000FF"/>
            </w:tcBorders>
            <w:gridSpan w:val="36"/>
          </w:tcPr>
          <w:p>
            <w:pPr>
              <w:spacing w:after="0" w:line="154" w:lineRule="exact"/>
              <w:rPr>
                <w:rFonts w:ascii="Times New Roman" w:cs="Times New Roman" w:eastAsia="Times New Roman" w:hAnsi="Times New Roman"/>
                <w:sz w:val="17"/>
                <w:szCs w:val="17"/>
                <w:color w:val="0000FF"/>
              </w:rPr>
            </w:pPr>
            <w:hyperlink r:id="rId181">
              <w:r>
                <w:rPr>
                  <w:rFonts w:ascii="Times New Roman" w:cs="Times New Roman" w:eastAsia="Times New Roman" w:hAnsi="Times New Roman"/>
                  <w:sz w:val="17"/>
                  <w:szCs w:val="17"/>
                  <w:color w:val="0000FF"/>
                </w:rPr>
                <w:t>Exhibit 10.20 to Form 10-K for the year ended December 31, 2016, File No. 001-07850.</w:t>
              </w:r>
            </w:hyperlink>
          </w:p>
        </w:tc>
        <w:tc>
          <w:tcPr>
            <w:tcW w:w="80" w:type="dxa"/>
            <w:vAlign w:val="bottom"/>
            <w:gridSpan w:val="4"/>
          </w:tcPr>
          <w:p>
            <w:pPr>
              <w:spacing w:after="0"/>
              <w:rPr>
                <w:sz w:val="13"/>
                <w:szCs w:val="13"/>
                <w:color w:val="auto"/>
              </w:rPr>
            </w:pPr>
          </w:p>
        </w:tc>
      </w:tr>
      <w:tr>
        <w:trPr>
          <w:trHeight w:val="20"/>
        </w:trPr>
        <w:tc>
          <w:tcPr>
            <w:tcW w:w="248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74"/>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9220" w:type="dxa"/>
            <w:vAlign w:val="bottom"/>
            <w:gridSpan w:val="40"/>
          </w:tcPr>
          <w:p>
            <w:pPr>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 xml:space="preserve">Southwest Gas Holdings, Inc.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100 million Credit Facility. Incorporated herein by reference to Exhibit 10.1 to Form 8-K</w:t>
              </w:r>
            </w:hyperlink>
          </w:p>
        </w:tc>
      </w:tr>
      <w:tr>
        <w:trPr>
          <w:trHeight w:val="154"/>
        </w:trPr>
        <w:tc>
          <w:tcPr>
            <w:tcW w:w="2480" w:type="dxa"/>
            <w:vAlign w:val="bottom"/>
          </w:tcPr>
          <w:p>
            <w:pPr>
              <w:spacing w:after="0"/>
              <w:rPr>
                <w:sz w:val="13"/>
                <w:szCs w:val="13"/>
                <w:color w:val="auto"/>
              </w:rPr>
            </w:pPr>
          </w:p>
        </w:tc>
        <w:tc>
          <w:tcPr>
            <w:tcW w:w="9200" w:type="dxa"/>
            <w:vAlign w:val="bottom"/>
            <w:tcBorders>
              <w:top w:val="single" w:sz="8" w:color="0000FF"/>
            </w:tcBorders>
            <w:gridSpan w:val="39"/>
          </w:tcPr>
          <w:p>
            <w:pPr>
              <w:spacing w:after="0" w:line="154" w:lineRule="exact"/>
              <w:rPr>
                <w:rFonts w:ascii="Times New Roman" w:cs="Times New Roman" w:eastAsia="Times New Roman" w:hAnsi="Times New Roman"/>
                <w:sz w:val="17"/>
                <w:szCs w:val="17"/>
                <w:color w:val="0000FF"/>
              </w:rPr>
            </w:pPr>
            <w:hyperlink r:id="rId182">
              <w:r>
                <w:rPr>
                  <w:rFonts w:ascii="Times New Roman" w:cs="Times New Roman" w:eastAsia="Times New Roman" w:hAnsi="Times New Roman"/>
                  <w:sz w:val="17"/>
                  <w:szCs w:val="17"/>
                  <w:color w:val="0000FF"/>
                </w:rPr>
                <w:t>dated April 10, 2020, File No. 001-37976.</w:t>
              </w:r>
            </w:hyperlink>
          </w:p>
        </w:tc>
        <w:tc>
          <w:tcPr>
            <w:tcW w:w="20" w:type="dxa"/>
            <w:vAlign w:val="bottom"/>
          </w:tcPr>
          <w:p>
            <w:pPr>
              <w:spacing w:after="0"/>
              <w:rPr>
                <w:sz w:val="13"/>
                <w:szCs w:val="13"/>
                <w:color w:val="auto"/>
              </w:rPr>
            </w:pPr>
          </w:p>
        </w:tc>
      </w:tr>
      <w:tr>
        <w:trPr>
          <w:trHeight w:val="20"/>
        </w:trPr>
        <w:tc>
          <w:tcPr>
            <w:tcW w:w="248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74"/>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9220" w:type="dxa"/>
            <w:vAlign w:val="bottom"/>
            <w:gridSpan w:val="40"/>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Centuri Employment Agreement with Paul Daily, Chief Executive Officer. Incorporated herein by reference to Exhibit</w:t>
              </w:r>
            </w:hyperlink>
          </w:p>
        </w:tc>
      </w:tr>
      <w:tr>
        <w:trPr>
          <w:trHeight w:val="154"/>
        </w:trPr>
        <w:tc>
          <w:tcPr>
            <w:tcW w:w="2480" w:type="dxa"/>
            <w:vAlign w:val="bottom"/>
          </w:tcPr>
          <w:p>
            <w:pPr>
              <w:spacing w:after="0"/>
              <w:rPr>
                <w:sz w:val="13"/>
                <w:szCs w:val="13"/>
                <w:color w:val="auto"/>
              </w:rPr>
            </w:pPr>
          </w:p>
        </w:tc>
        <w:tc>
          <w:tcPr>
            <w:tcW w:w="8940" w:type="dxa"/>
            <w:vAlign w:val="bottom"/>
            <w:tcBorders>
              <w:top w:val="single" w:sz="8" w:color="0000FF"/>
            </w:tcBorders>
            <w:gridSpan w:val="26"/>
          </w:tcPr>
          <w:p>
            <w:pPr>
              <w:spacing w:after="0" w:line="154" w:lineRule="exact"/>
              <w:rPr>
                <w:rFonts w:ascii="Times New Roman" w:cs="Times New Roman" w:eastAsia="Times New Roman" w:hAnsi="Times New Roman"/>
                <w:sz w:val="17"/>
                <w:szCs w:val="17"/>
                <w:color w:val="0000FF"/>
              </w:rPr>
            </w:pPr>
            <w:hyperlink r:id="rId183">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01</w:t>
              </w:r>
              <w:r>
                <w:rPr>
                  <w:rFonts w:ascii="Times New Roman" w:cs="Times New Roman" w:eastAsia="Times New Roman" w:hAnsi="Times New Roman"/>
                  <w:sz w:val="17"/>
                  <w:szCs w:val="17"/>
                  <w:color w:val="0000FF"/>
                </w:rPr>
                <w:t xml:space="preserve"> to Form 10-Q for the quarter ended June, 30 2017, File No. 001-07850.</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0"/>
        </w:trPr>
        <w:tc>
          <w:tcPr>
            <w:tcW w:w="248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74"/>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9220" w:type="dxa"/>
            <w:vAlign w:val="bottom"/>
            <w:gridSpan w:val="40"/>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Southwest Gas Holdings, Inc. Omnibus Incentive Plan. Incorporated herein by reference to Appendix B to the Proxy</w:t>
              </w:r>
            </w:hyperlink>
          </w:p>
        </w:tc>
      </w:tr>
      <w:tr>
        <w:trPr>
          <w:trHeight w:val="154"/>
        </w:trPr>
        <w:tc>
          <w:tcPr>
            <w:tcW w:w="2480" w:type="dxa"/>
            <w:vAlign w:val="bottom"/>
          </w:tcPr>
          <w:p>
            <w:pPr>
              <w:spacing w:after="0"/>
              <w:rPr>
                <w:sz w:val="13"/>
                <w:szCs w:val="13"/>
                <w:color w:val="auto"/>
              </w:rPr>
            </w:pPr>
          </w:p>
        </w:tc>
        <w:tc>
          <w:tcPr>
            <w:tcW w:w="9180" w:type="dxa"/>
            <w:vAlign w:val="bottom"/>
            <w:tcBorders>
              <w:top w:val="single" w:sz="8" w:color="0000FF"/>
            </w:tcBorders>
            <w:gridSpan w:val="38"/>
          </w:tcPr>
          <w:p>
            <w:pPr>
              <w:spacing w:after="0" w:line="154" w:lineRule="exact"/>
              <w:rPr>
                <w:rFonts w:ascii="Times New Roman" w:cs="Times New Roman" w:eastAsia="Times New Roman" w:hAnsi="Times New Roman"/>
                <w:sz w:val="17"/>
                <w:szCs w:val="17"/>
                <w:color w:val="0000FF"/>
              </w:rPr>
            </w:pPr>
            <w:hyperlink r:id="rId184">
              <w:r>
                <w:rPr>
                  <w:rFonts w:ascii="Times New Roman" w:cs="Times New Roman" w:eastAsia="Times New Roman" w:hAnsi="Times New Roman"/>
                  <w:sz w:val="17"/>
                  <w:szCs w:val="17"/>
                  <w:color w:val="0000FF"/>
                </w:rPr>
                <w:t>Statement dated March 27, 2017, File No. 001-37976.</w:t>
              </w:r>
            </w:hyperlink>
          </w:p>
        </w:tc>
        <w:tc>
          <w:tcPr>
            <w:tcW w:w="40" w:type="dxa"/>
            <w:vAlign w:val="bottom"/>
            <w:gridSpan w:val="2"/>
          </w:tcPr>
          <w:p>
            <w:pPr>
              <w:spacing w:after="0"/>
              <w:rPr>
                <w:sz w:val="13"/>
                <w:szCs w:val="13"/>
                <w:color w:val="auto"/>
              </w:rPr>
            </w:pPr>
          </w:p>
        </w:tc>
      </w:tr>
      <w:tr>
        <w:trPr>
          <w:trHeight w:val="20"/>
        </w:trPr>
        <w:tc>
          <w:tcPr>
            <w:tcW w:w="248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74"/>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9220" w:type="dxa"/>
            <w:vAlign w:val="bottom"/>
            <w:gridSpan w:val="40"/>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Form of Change in Control Agreement with Officers. Incorporated herein by reference to Exhibit 10.24 to Form 10-K for</w:t>
              </w:r>
            </w:hyperlink>
          </w:p>
        </w:tc>
      </w:tr>
      <w:tr>
        <w:trPr>
          <w:trHeight w:val="154"/>
        </w:trPr>
        <w:tc>
          <w:tcPr>
            <w:tcW w:w="2480" w:type="dxa"/>
            <w:vAlign w:val="bottom"/>
          </w:tcPr>
          <w:p>
            <w:pPr>
              <w:spacing w:after="0"/>
              <w:rPr>
                <w:sz w:val="13"/>
                <w:szCs w:val="13"/>
                <w:color w:val="auto"/>
              </w:rPr>
            </w:pPr>
          </w:p>
        </w:tc>
        <w:tc>
          <w:tcPr>
            <w:tcW w:w="5200" w:type="dxa"/>
            <w:vAlign w:val="bottom"/>
            <w:tcBorders>
              <w:top w:val="single" w:sz="8" w:color="0000FF"/>
              <w:bottom w:val="single" w:sz="8" w:color="0000FF"/>
            </w:tcBorders>
            <w:gridSpan w:val="9"/>
          </w:tcPr>
          <w:p>
            <w:pPr>
              <w:spacing w:after="0" w:line="154" w:lineRule="exact"/>
              <w:rPr>
                <w:rFonts w:ascii="Times New Roman" w:cs="Times New Roman" w:eastAsia="Times New Roman" w:hAnsi="Times New Roman"/>
                <w:sz w:val="17"/>
                <w:szCs w:val="17"/>
                <w:color w:val="0000FF"/>
              </w:rPr>
            </w:pPr>
            <w:hyperlink r:id="rId185">
              <w:r>
                <w:rPr>
                  <w:rFonts w:ascii="Times New Roman" w:cs="Times New Roman" w:eastAsia="Times New Roman" w:hAnsi="Times New Roman"/>
                  <w:sz w:val="17"/>
                  <w:szCs w:val="17"/>
                  <w:color w:val="0000FF"/>
                </w:rPr>
                <w:t>the year ended December 31, 2017, File Nos. 001-37976 and 001-07850.</w:t>
              </w:r>
            </w:hyperlink>
          </w:p>
        </w:tc>
        <w:tc>
          <w:tcPr>
            <w:tcW w:w="3620" w:type="dxa"/>
            <w:vAlign w:val="bottom"/>
            <w:tcBorders>
              <w:top w:val="single" w:sz="8" w:color="0000FF"/>
            </w:tcBorders>
            <w:gridSpan w:val="11"/>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74"/>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9220" w:type="dxa"/>
            <w:vAlign w:val="bottom"/>
            <w:gridSpan w:val="40"/>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 xml:space="preserve">Centuri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450 million Credit Facility Agreement. Incorporated herein by reference to Exhibit 10.25 to Form 10-K for the</w:t>
              </w:r>
            </w:hyperlink>
          </w:p>
        </w:tc>
      </w:tr>
      <w:tr>
        <w:trPr>
          <w:trHeight w:val="154"/>
        </w:trPr>
        <w:tc>
          <w:tcPr>
            <w:tcW w:w="2480" w:type="dxa"/>
            <w:vAlign w:val="bottom"/>
          </w:tcPr>
          <w:p>
            <w:pPr>
              <w:spacing w:after="0"/>
              <w:rPr>
                <w:sz w:val="13"/>
                <w:szCs w:val="13"/>
                <w:color w:val="auto"/>
              </w:rPr>
            </w:pPr>
          </w:p>
        </w:tc>
        <w:tc>
          <w:tcPr>
            <w:tcW w:w="4940" w:type="dxa"/>
            <w:vAlign w:val="bottom"/>
            <w:tcBorders>
              <w:top w:val="single" w:sz="8" w:color="0000FF"/>
              <w:bottom w:val="single" w:sz="8" w:color="0000FF"/>
            </w:tcBorders>
            <w:gridSpan w:val="8"/>
          </w:tcPr>
          <w:p>
            <w:pPr>
              <w:spacing w:after="0" w:line="154" w:lineRule="exact"/>
              <w:rPr>
                <w:rFonts w:ascii="Times New Roman" w:cs="Times New Roman" w:eastAsia="Times New Roman" w:hAnsi="Times New Roman"/>
                <w:sz w:val="17"/>
                <w:szCs w:val="17"/>
                <w:color w:val="0000FF"/>
              </w:rPr>
            </w:pPr>
            <w:hyperlink r:id="rId186">
              <w:r>
                <w:rPr>
                  <w:rFonts w:ascii="Times New Roman" w:cs="Times New Roman" w:eastAsia="Times New Roman" w:hAnsi="Times New Roman"/>
                  <w:sz w:val="17"/>
                  <w:szCs w:val="17"/>
                  <w:color w:val="0000FF"/>
                </w:rPr>
                <w:t>year ended December 31, 2017, File Nos. 001-37976 and 001-07850.</w:t>
              </w:r>
            </w:hyperlink>
          </w:p>
        </w:tc>
        <w:tc>
          <w:tcPr>
            <w:tcW w:w="396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74"/>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9220" w:type="dxa"/>
            <w:vAlign w:val="bottom"/>
            <w:gridSpan w:val="40"/>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Southwest Gas Corporation Board of Directors Retirement Plan, amended and restated effective December 28, 2016.</w:t>
              </w:r>
            </w:hyperlink>
          </w:p>
        </w:tc>
      </w:tr>
      <w:tr>
        <w:trPr>
          <w:trHeight w:val="154"/>
        </w:trPr>
        <w:tc>
          <w:tcPr>
            <w:tcW w:w="2480" w:type="dxa"/>
            <w:vAlign w:val="bottom"/>
          </w:tcPr>
          <w:p>
            <w:pPr>
              <w:spacing w:after="0"/>
              <w:rPr>
                <w:sz w:val="13"/>
                <w:szCs w:val="13"/>
                <w:color w:val="auto"/>
              </w:rPr>
            </w:pPr>
          </w:p>
        </w:tc>
        <w:tc>
          <w:tcPr>
            <w:tcW w:w="8760" w:type="dxa"/>
            <w:vAlign w:val="bottom"/>
            <w:tcBorders>
              <w:top w:val="single" w:sz="8" w:color="0000FF"/>
            </w:tcBorders>
            <w:gridSpan w:val="17"/>
          </w:tcPr>
          <w:p>
            <w:pPr>
              <w:spacing w:after="0" w:line="154" w:lineRule="exact"/>
              <w:rPr>
                <w:rFonts w:ascii="Times New Roman" w:cs="Times New Roman" w:eastAsia="Times New Roman" w:hAnsi="Times New Roman"/>
                <w:sz w:val="17"/>
                <w:szCs w:val="17"/>
                <w:color w:val="0000FF"/>
              </w:rPr>
            </w:pPr>
            <w:hyperlink r:id="rId187">
              <w:r>
                <w:rPr>
                  <w:rFonts w:ascii="Times New Roman" w:cs="Times New Roman" w:eastAsia="Times New Roman" w:hAnsi="Times New Roman"/>
                  <w:sz w:val="17"/>
                  <w:szCs w:val="17"/>
                  <w:color w:val="0000FF"/>
                </w:rPr>
                <w:t>Incorporated herein by reference to Exhibit 10.28 to Form 10-K for the year ended December 31, 2018, File Nos. 001-</w:t>
              </w:r>
            </w:hyperlink>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167"/>
        </w:trPr>
        <w:tc>
          <w:tcPr>
            <w:tcW w:w="2480" w:type="dxa"/>
            <w:vAlign w:val="bottom"/>
          </w:tcPr>
          <w:p>
            <w:pPr>
              <w:spacing w:after="0"/>
              <w:rPr>
                <w:sz w:val="14"/>
                <w:szCs w:val="14"/>
                <w:color w:val="auto"/>
              </w:rPr>
            </w:pPr>
          </w:p>
        </w:tc>
        <w:tc>
          <w:tcPr>
            <w:tcW w:w="8960" w:type="dxa"/>
            <w:vAlign w:val="bottom"/>
            <w:tcBorders>
              <w:top w:val="single" w:sz="8" w:color="0000FF"/>
            </w:tcBorders>
            <w:gridSpan w:val="27"/>
          </w:tcPr>
          <w:p>
            <w:pPr>
              <w:spacing w:after="0" w:line="167"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37976 and 001-07850.</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120" w:type="dxa"/>
            <w:vAlign w:val="bottom"/>
            <w:gridSpan w:val="6"/>
          </w:tcPr>
          <w:p>
            <w:pPr>
              <w:spacing w:after="0"/>
              <w:rPr>
                <w:sz w:val="14"/>
                <w:szCs w:val="14"/>
                <w:color w:val="auto"/>
              </w:rPr>
            </w:pPr>
          </w:p>
        </w:tc>
      </w:tr>
      <w:tr>
        <w:trPr>
          <w:trHeight w:val="20"/>
        </w:trPr>
        <w:tc>
          <w:tcPr>
            <w:tcW w:w="248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960" w:type="dxa"/>
            <w:vAlign w:val="bottom"/>
            <w:gridSpan w:val="7"/>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61"/>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9220" w:type="dxa"/>
            <w:vAlign w:val="bottom"/>
            <w:gridSpan w:val="40"/>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Southwest Gas Corporation Directors Deferral Plan, amended and restated November 14, 2018. Incorporated herein by</w:t>
              </w:r>
            </w:hyperlink>
          </w:p>
        </w:tc>
      </w:tr>
      <w:tr>
        <w:trPr>
          <w:trHeight w:val="154"/>
        </w:trPr>
        <w:tc>
          <w:tcPr>
            <w:tcW w:w="2480" w:type="dxa"/>
            <w:vAlign w:val="bottom"/>
          </w:tcPr>
          <w:p>
            <w:pPr>
              <w:spacing w:after="0"/>
              <w:rPr>
                <w:sz w:val="13"/>
                <w:szCs w:val="13"/>
                <w:color w:val="auto"/>
              </w:rPr>
            </w:pPr>
          </w:p>
        </w:tc>
        <w:tc>
          <w:tcPr>
            <w:tcW w:w="8920" w:type="dxa"/>
            <w:vAlign w:val="bottom"/>
            <w:tcBorders>
              <w:top w:val="single" w:sz="8" w:color="0000FF"/>
            </w:tcBorders>
            <w:gridSpan w:val="25"/>
          </w:tcPr>
          <w:p>
            <w:pPr>
              <w:spacing w:after="0" w:line="154" w:lineRule="exact"/>
              <w:rPr>
                <w:rFonts w:ascii="Times New Roman" w:cs="Times New Roman" w:eastAsia="Times New Roman" w:hAnsi="Times New Roman"/>
                <w:sz w:val="17"/>
                <w:szCs w:val="17"/>
                <w:color w:val="0000FF"/>
              </w:rPr>
            </w:pPr>
            <w:hyperlink r:id="rId188">
              <w:r>
                <w:rPr>
                  <w:rFonts w:ascii="Times New Roman" w:cs="Times New Roman" w:eastAsia="Times New Roman" w:hAnsi="Times New Roman"/>
                  <w:sz w:val="17"/>
                  <w:szCs w:val="17"/>
                  <w:color w:val="0000FF"/>
                </w:rPr>
                <w:t>reference to Exhibit 10.29 to Form 10-K for the year ended December 31, 2018, File Nos. 001-37976 and 001-07850.</w:t>
              </w:r>
            </w:hyperlink>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0"/>
        </w:trPr>
        <w:tc>
          <w:tcPr>
            <w:tcW w:w="2480" w:type="dxa"/>
            <w:vAlign w:val="bottom"/>
          </w:tcPr>
          <w:p>
            <w:pPr>
              <w:spacing w:after="0" w:line="20" w:lineRule="exact"/>
              <w:rPr>
                <w:sz w:val="1"/>
                <w:szCs w:val="1"/>
                <w:color w:val="auto"/>
              </w:rPr>
            </w:pPr>
          </w:p>
        </w:tc>
        <w:tc>
          <w:tcPr>
            <w:tcW w:w="272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960" w:type="dxa"/>
            <w:vAlign w:val="bottom"/>
            <w:gridSpan w:val="7"/>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74"/>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9220" w:type="dxa"/>
            <w:vAlign w:val="bottom"/>
            <w:gridSpan w:val="40"/>
          </w:tcPr>
          <w:p>
            <w:pPr>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Southwest Gas Corporation Employees’ Investment Plan. Incorporated herein by reference to Exhibit 4.1 to Form S-8</w:t>
              </w:r>
            </w:hyperlink>
          </w:p>
        </w:tc>
      </w:tr>
      <w:tr>
        <w:trPr>
          <w:trHeight w:val="154"/>
        </w:trPr>
        <w:tc>
          <w:tcPr>
            <w:tcW w:w="2480" w:type="dxa"/>
            <w:vAlign w:val="bottom"/>
          </w:tcPr>
          <w:p>
            <w:pPr>
              <w:spacing w:after="0"/>
              <w:rPr>
                <w:sz w:val="13"/>
                <w:szCs w:val="13"/>
                <w:color w:val="auto"/>
              </w:rPr>
            </w:pPr>
          </w:p>
        </w:tc>
        <w:tc>
          <w:tcPr>
            <w:tcW w:w="9020" w:type="dxa"/>
            <w:vAlign w:val="bottom"/>
            <w:tcBorders>
              <w:top w:val="single" w:sz="8" w:color="0000FF"/>
            </w:tcBorders>
            <w:gridSpan w:val="30"/>
          </w:tcPr>
          <w:p>
            <w:pPr>
              <w:spacing w:after="0" w:line="154" w:lineRule="exact"/>
              <w:rPr>
                <w:rFonts w:ascii="Times New Roman" w:cs="Times New Roman" w:eastAsia="Times New Roman" w:hAnsi="Times New Roman"/>
                <w:sz w:val="17"/>
                <w:szCs w:val="17"/>
                <w:color w:val="0000FF"/>
              </w:rPr>
            </w:pPr>
            <w:hyperlink r:id="rId189">
              <w:r>
                <w:rPr>
                  <w:rFonts w:ascii="Times New Roman" w:cs="Times New Roman" w:eastAsia="Times New Roman" w:hAnsi="Times New Roman"/>
                  <w:sz w:val="17"/>
                  <w:szCs w:val="17"/>
                  <w:color w:val="0000FF"/>
                </w:rPr>
                <w:t>dated December 16, 2016, File No. 333-215145.</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0"/>
        </w:trPr>
        <w:tc>
          <w:tcPr>
            <w:tcW w:w="2480" w:type="dxa"/>
            <w:vAlign w:val="bottom"/>
          </w:tcPr>
          <w:p>
            <w:pPr>
              <w:spacing w:after="0" w:line="20" w:lineRule="exact"/>
              <w:rPr>
                <w:sz w:val="1"/>
                <w:szCs w:val="1"/>
                <w:color w:val="auto"/>
              </w:rPr>
            </w:pPr>
          </w:p>
        </w:tc>
        <w:tc>
          <w:tcPr>
            <w:tcW w:w="272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960" w:type="dxa"/>
            <w:vAlign w:val="bottom"/>
            <w:gridSpan w:val="7"/>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74"/>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9220" w:type="dxa"/>
            <w:vAlign w:val="bottom"/>
            <w:gridSpan w:val="40"/>
          </w:tcPr>
          <w:p>
            <w:pP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Second Amended and Restated Credit Agreement with Wells Fargo Securities, LLC and BofA Securities, Inc., as joint</w:t>
              </w:r>
            </w:hyperlink>
          </w:p>
        </w:tc>
      </w:tr>
      <w:tr>
        <w:trPr>
          <w:trHeight w:val="154"/>
        </w:trPr>
        <w:tc>
          <w:tcPr>
            <w:tcW w:w="2480" w:type="dxa"/>
            <w:vAlign w:val="bottom"/>
          </w:tcPr>
          <w:p>
            <w:pPr>
              <w:spacing w:after="0"/>
              <w:rPr>
                <w:sz w:val="13"/>
                <w:szCs w:val="13"/>
                <w:color w:val="auto"/>
              </w:rPr>
            </w:pPr>
          </w:p>
        </w:tc>
        <w:tc>
          <w:tcPr>
            <w:tcW w:w="8860" w:type="dxa"/>
            <w:vAlign w:val="bottom"/>
            <w:tcBorders>
              <w:top w:val="single" w:sz="8" w:color="0000FF"/>
            </w:tcBorders>
            <w:gridSpan w:val="22"/>
          </w:tcPr>
          <w:p>
            <w:pPr>
              <w:spacing w:after="0" w:line="154" w:lineRule="exact"/>
              <w:rPr>
                <w:rFonts w:ascii="Times New Roman" w:cs="Times New Roman" w:eastAsia="Times New Roman" w:hAnsi="Times New Roman"/>
                <w:sz w:val="17"/>
                <w:szCs w:val="17"/>
                <w:color w:val="0000FF"/>
              </w:rPr>
            </w:pPr>
            <w:hyperlink r:id="rId190">
              <w:r>
                <w:rPr>
                  <w:rFonts w:ascii="Times New Roman" w:cs="Times New Roman" w:eastAsia="Times New Roman" w:hAnsi="Times New Roman"/>
                  <w:sz w:val="17"/>
                  <w:szCs w:val="17"/>
                  <w:color w:val="0000FF"/>
                </w:rPr>
                <w:t>lead arrangers, Wells Fargo Bank, National Association, as administrative agent, Bank of America, N.A., as syndication</w:t>
              </w:r>
            </w:hyperlink>
          </w:p>
        </w:tc>
        <w:tc>
          <w:tcPr>
            <w:tcW w:w="180" w:type="dxa"/>
            <w:vAlign w:val="bottom"/>
            <w:gridSpan w:val="9"/>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167"/>
        </w:trPr>
        <w:tc>
          <w:tcPr>
            <w:tcW w:w="2480" w:type="dxa"/>
            <w:vAlign w:val="bottom"/>
          </w:tcPr>
          <w:p>
            <w:pPr>
              <w:spacing w:after="0"/>
              <w:rPr>
                <w:sz w:val="14"/>
                <w:szCs w:val="14"/>
                <w:color w:val="auto"/>
              </w:rPr>
            </w:pPr>
          </w:p>
        </w:tc>
        <w:tc>
          <w:tcPr>
            <w:tcW w:w="8740" w:type="dxa"/>
            <w:vAlign w:val="bottom"/>
            <w:tcBorders>
              <w:top w:val="single" w:sz="8" w:color="0000FF"/>
              <w:bottom w:val="single" w:sz="8" w:color="0000FF"/>
            </w:tcBorders>
            <w:gridSpan w:val="16"/>
          </w:tcPr>
          <w:p>
            <w:pPr>
              <w:spacing w:after="0" w:line="167"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agent, and the other lenders and agents party thereto. Incorporated herein by reference to Exhibit 10.1 to Form 8-K dated</w:t>
              </w:r>
            </w:hyperlink>
          </w:p>
        </w:tc>
        <w:tc>
          <w:tcPr>
            <w:tcW w:w="300" w:type="dxa"/>
            <w:vAlign w:val="bottom"/>
            <w:tcBorders>
              <w:bottom w:val="single" w:sz="8" w:color="0000FF"/>
            </w:tcBorders>
            <w:gridSpan w:val="15"/>
          </w:tcPr>
          <w:p>
            <w:pPr>
              <w:spacing w:after="0"/>
              <w:rPr>
                <w:sz w:val="14"/>
                <w:szCs w:val="14"/>
                <w:color w:val="auto"/>
              </w:rPr>
            </w:pPr>
          </w:p>
        </w:tc>
        <w:tc>
          <w:tcPr>
            <w:tcW w:w="60" w:type="dxa"/>
            <w:vAlign w:val="bottom"/>
            <w:gridSpan w:val="3"/>
          </w:tcPr>
          <w:p>
            <w:pPr>
              <w:spacing w:after="0"/>
              <w:rPr>
                <w:sz w:val="14"/>
                <w:szCs w:val="14"/>
                <w:color w:val="auto"/>
              </w:rPr>
            </w:pPr>
          </w:p>
        </w:tc>
        <w:tc>
          <w:tcPr>
            <w:tcW w:w="120" w:type="dxa"/>
            <w:vAlign w:val="bottom"/>
            <w:gridSpan w:val="6"/>
          </w:tcPr>
          <w:p>
            <w:pPr>
              <w:spacing w:after="0"/>
              <w:rPr>
                <w:sz w:val="14"/>
                <w:szCs w:val="14"/>
                <w:color w:val="auto"/>
              </w:rPr>
            </w:pPr>
          </w:p>
        </w:tc>
      </w:tr>
      <w:tr>
        <w:trPr>
          <w:trHeight w:val="154"/>
        </w:trPr>
        <w:tc>
          <w:tcPr>
            <w:tcW w:w="2480" w:type="dxa"/>
            <w:vAlign w:val="bottom"/>
          </w:tcPr>
          <w:p>
            <w:pPr>
              <w:spacing w:after="0"/>
              <w:rPr>
                <w:sz w:val="13"/>
                <w:szCs w:val="13"/>
                <w:color w:val="auto"/>
              </w:rPr>
            </w:pPr>
          </w:p>
        </w:tc>
        <w:tc>
          <w:tcPr>
            <w:tcW w:w="2720" w:type="dxa"/>
            <w:vAlign w:val="bottom"/>
            <w:tcBorders>
              <w:bottom w:val="single" w:sz="8" w:color="0000FF"/>
            </w:tcBorders>
            <w:gridSpan w:val="2"/>
          </w:tcPr>
          <w:p>
            <w:pPr>
              <w:spacing w:after="0" w:line="154" w:lineRule="exact"/>
              <w:rPr>
                <w:rFonts w:ascii="Times New Roman" w:cs="Times New Roman" w:eastAsia="Times New Roman" w:hAnsi="Times New Roman"/>
                <w:sz w:val="17"/>
                <w:szCs w:val="17"/>
                <w:color w:val="0000FF"/>
              </w:rPr>
            </w:pPr>
            <w:hyperlink r:id="rId190">
              <w:r>
                <w:rPr>
                  <w:rFonts w:ascii="Times New Roman" w:cs="Times New Roman" w:eastAsia="Times New Roman" w:hAnsi="Times New Roman"/>
                  <w:sz w:val="17"/>
                  <w:szCs w:val="17"/>
                  <w:color w:val="0000FF"/>
                </w:rPr>
                <w:t>August 27, 2021, File No. 001-37976.</w:t>
              </w:r>
            </w:hyperlink>
          </w:p>
        </w:tc>
        <w:tc>
          <w:tcPr>
            <w:tcW w:w="6320" w:type="dxa"/>
            <w:vAlign w:val="bottom"/>
            <w:gridSpan w:val="29"/>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61"/>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9220" w:type="dxa"/>
            <w:vAlign w:val="bottom"/>
            <w:gridSpan w:val="40"/>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 xml:space="preserve">Amendment No. 1 to the Southwest Gas Corporation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400 million Credit Facility. Incorporated herein by reference to</w:t>
              </w:r>
            </w:hyperlink>
          </w:p>
        </w:tc>
      </w:tr>
      <w:tr>
        <w:trPr>
          <w:trHeight w:val="154"/>
        </w:trPr>
        <w:tc>
          <w:tcPr>
            <w:tcW w:w="2480" w:type="dxa"/>
            <w:vAlign w:val="bottom"/>
          </w:tcPr>
          <w:p>
            <w:pPr>
              <w:spacing w:after="0"/>
              <w:rPr>
                <w:sz w:val="13"/>
                <w:szCs w:val="13"/>
                <w:color w:val="auto"/>
              </w:rPr>
            </w:pPr>
          </w:p>
        </w:tc>
        <w:tc>
          <w:tcPr>
            <w:tcW w:w="9100" w:type="dxa"/>
            <w:vAlign w:val="bottom"/>
            <w:tcBorders>
              <w:top w:val="single" w:sz="8" w:color="0000FF"/>
            </w:tcBorders>
            <w:gridSpan w:val="34"/>
          </w:tcPr>
          <w:p>
            <w:pPr>
              <w:spacing w:after="0" w:line="154" w:lineRule="exact"/>
              <w:rPr>
                <w:rFonts w:ascii="Times New Roman" w:cs="Times New Roman" w:eastAsia="Times New Roman" w:hAnsi="Times New Roman"/>
                <w:sz w:val="17"/>
                <w:szCs w:val="17"/>
                <w:color w:val="0000FF"/>
              </w:rPr>
            </w:pPr>
            <w:hyperlink r:id="rId191">
              <w:r>
                <w:rPr>
                  <w:rFonts w:ascii="Times New Roman" w:cs="Times New Roman" w:eastAsia="Times New Roman" w:hAnsi="Times New Roman"/>
                  <w:sz w:val="17"/>
                  <w:szCs w:val="17"/>
                  <w:color w:val="0000FF"/>
                </w:rPr>
                <w:t>Exhibit 10.2 to Form 8-K dated December 28, 2021, File Nos. 001-37976 and 001-07850.</w:t>
              </w:r>
            </w:hyperlink>
          </w:p>
        </w:tc>
        <w:tc>
          <w:tcPr>
            <w:tcW w:w="120" w:type="dxa"/>
            <w:vAlign w:val="bottom"/>
            <w:gridSpan w:val="6"/>
          </w:tcPr>
          <w:p>
            <w:pPr>
              <w:spacing w:after="0"/>
              <w:rPr>
                <w:sz w:val="13"/>
                <w:szCs w:val="13"/>
                <w:color w:val="auto"/>
              </w:rPr>
            </w:pPr>
          </w:p>
        </w:tc>
      </w:tr>
      <w:tr>
        <w:trPr>
          <w:trHeight w:val="970"/>
        </w:trPr>
        <w:tc>
          <w:tcPr>
            <w:tcW w:w="2480" w:type="dxa"/>
            <w:vAlign w:val="bottom"/>
          </w:tcPr>
          <w:p>
            <w:pPr>
              <w:spacing w:after="0"/>
              <w:rPr>
                <w:sz w:val="24"/>
                <w:szCs w:val="24"/>
                <w:color w:val="auto"/>
              </w:rPr>
            </w:pPr>
          </w:p>
        </w:tc>
        <w:tc>
          <w:tcPr>
            <w:tcW w:w="3440" w:type="dxa"/>
            <w:vAlign w:val="bottom"/>
            <w:tcBorders>
              <w:top w:val="single" w:sz="8" w:color="0000FF"/>
            </w:tcBorders>
            <w:gridSpan w:val="5"/>
          </w:tcPr>
          <w:p>
            <w:pPr>
              <w:ind w:left="3020"/>
              <w:spacing w:after="0"/>
              <w:rPr>
                <w:sz w:val="20"/>
                <w:szCs w:val="20"/>
                <w:color w:val="auto"/>
              </w:rPr>
            </w:pPr>
            <w:r>
              <w:rPr>
                <w:rFonts w:ascii="Times New Roman" w:cs="Times New Roman" w:eastAsia="Times New Roman" w:hAnsi="Times New Roman"/>
                <w:sz w:val="18"/>
                <w:szCs w:val="18"/>
                <w:color w:val="auto"/>
              </w:rPr>
              <w:t>108</w:t>
            </w:r>
          </w:p>
        </w:tc>
        <w:tc>
          <w:tcPr>
            <w:tcW w:w="4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7"/>
        </w:trPr>
        <w:tc>
          <w:tcPr>
            <w:tcW w:w="2480" w:type="dxa"/>
            <w:vAlign w:val="bottom"/>
            <w:tcBorders>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440" w:type="dxa"/>
            <w:vAlign w:val="bottom"/>
            <w:tcBorders>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166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07"/>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9160" w:type="dxa"/>
            <w:vAlign w:val="bottom"/>
            <w:gridSpan w:val="36"/>
          </w:tcPr>
          <w:p>
            <w:pP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 xml:space="preserve">Amendment No. 1 to the Southwest Gas Holdings, Inc.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200 million Credit Facility. Incorporated herein by reference to</w:t>
              </w:r>
            </w:hyperlink>
          </w:p>
        </w:tc>
      </w:tr>
      <w:tr>
        <w:trPr>
          <w:trHeight w:val="154"/>
        </w:trPr>
        <w:tc>
          <w:tcPr>
            <w:tcW w:w="2460" w:type="dxa"/>
            <w:vAlign w:val="bottom"/>
          </w:tcPr>
          <w:p>
            <w:pPr>
              <w:spacing w:after="0"/>
              <w:rPr>
                <w:sz w:val="13"/>
                <w:szCs w:val="13"/>
                <w:color w:val="auto"/>
              </w:rPr>
            </w:pPr>
          </w:p>
        </w:tc>
        <w:tc>
          <w:tcPr>
            <w:tcW w:w="8760" w:type="dxa"/>
            <w:vAlign w:val="bottom"/>
            <w:tcBorders>
              <w:top w:val="single" w:sz="8" w:color="0000FF"/>
            </w:tcBorders>
            <w:gridSpan w:val="16"/>
          </w:tcPr>
          <w:p>
            <w:pPr>
              <w:spacing w:after="0" w:line="154" w:lineRule="exact"/>
              <w:rPr>
                <w:rFonts w:ascii="Times New Roman" w:cs="Times New Roman" w:eastAsia="Times New Roman" w:hAnsi="Times New Roman"/>
                <w:sz w:val="17"/>
                <w:szCs w:val="17"/>
                <w:color w:val="0000FF"/>
              </w:rPr>
            </w:pPr>
            <w:hyperlink r:id="rId194">
              <w:r>
                <w:rPr>
                  <w:rFonts w:ascii="Times New Roman" w:cs="Times New Roman" w:eastAsia="Times New Roman" w:hAnsi="Times New Roman"/>
                  <w:sz w:val="17"/>
                  <w:szCs w:val="17"/>
                  <w:color w:val="0000FF"/>
                </w:rPr>
                <w:t>Exhibit 10.1 to Form 8-K dated December 28, 2021, File Nos. 001-37976 and 001-07850.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46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4"/>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9160" w:type="dxa"/>
            <w:vAlign w:val="bottom"/>
            <w:gridSpan w:val="36"/>
          </w:tcPr>
          <w:p>
            <w:pPr>
              <w:spacing w:after="0"/>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Letter Agreement by and among Southwest Gas Holdings, Inc. and the Icahn Group, dated August 3, 2022. Incorporated</w:t>
              </w:r>
            </w:hyperlink>
          </w:p>
        </w:tc>
      </w:tr>
      <w:tr>
        <w:trPr>
          <w:trHeight w:val="154"/>
        </w:trPr>
        <w:tc>
          <w:tcPr>
            <w:tcW w:w="2460" w:type="dxa"/>
            <w:vAlign w:val="bottom"/>
          </w:tcPr>
          <w:p>
            <w:pPr>
              <w:spacing w:after="0"/>
              <w:rPr>
                <w:sz w:val="13"/>
                <w:szCs w:val="13"/>
                <w:color w:val="auto"/>
              </w:rPr>
            </w:pPr>
          </w:p>
        </w:tc>
        <w:tc>
          <w:tcPr>
            <w:tcW w:w="6520" w:type="dxa"/>
            <w:vAlign w:val="bottom"/>
            <w:tcBorders>
              <w:top w:val="single" w:sz="8" w:color="0000FF"/>
              <w:bottom w:val="single" w:sz="8" w:color="0000FF"/>
            </w:tcBorders>
            <w:gridSpan w:val="9"/>
          </w:tcPr>
          <w:p>
            <w:pPr>
              <w:spacing w:after="0" w:line="154" w:lineRule="exact"/>
              <w:rPr>
                <w:rFonts w:ascii="Times New Roman" w:cs="Times New Roman" w:eastAsia="Times New Roman" w:hAnsi="Times New Roman"/>
                <w:sz w:val="17"/>
                <w:szCs w:val="17"/>
                <w:color w:val="0000FF"/>
              </w:rPr>
            </w:pPr>
            <w:hyperlink r:id="rId195">
              <w:r>
                <w:rPr>
                  <w:rFonts w:ascii="Times New Roman" w:cs="Times New Roman" w:eastAsia="Times New Roman" w:hAnsi="Times New Roman"/>
                  <w:sz w:val="17"/>
                  <w:szCs w:val="17"/>
                  <w:color w:val="0000FF"/>
                </w:rPr>
                <w:t>herein by reference to Exhibit 10.1 to Form 8-K dated August 2, 2022, File No. 001-37976.</w:t>
              </w:r>
            </w:hyperlink>
          </w:p>
        </w:tc>
        <w:tc>
          <w:tcPr>
            <w:tcW w:w="2580" w:type="dxa"/>
            <w:vAlign w:val="bottom"/>
            <w:tcBorders>
              <w:top w:val="single" w:sz="8" w:color="0000FF"/>
            </w:tcBorders>
            <w:gridSpan w:val="2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4"/>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9160" w:type="dxa"/>
            <w:vAlign w:val="bottom"/>
            <w:gridSpan w:val="36"/>
          </w:tcPr>
          <w:p>
            <w:pPr>
              <w:spacing w:after="0"/>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Executive Employment Agreement by and between Southwest Gas Holdings, Inc., Southwest Gas Corporation and Robert</w:t>
              </w:r>
            </w:hyperlink>
          </w:p>
        </w:tc>
      </w:tr>
      <w:tr>
        <w:trPr>
          <w:trHeight w:val="154"/>
        </w:trPr>
        <w:tc>
          <w:tcPr>
            <w:tcW w:w="2460" w:type="dxa"/>
            <w:vAlign w:val="bottom"/>
          </w:tcPr>
          <w:p>
            <w:pPr>
              <w:spacing w:after="0"/>
              <w:rPr>
                <w:sz w:val="13"/>
                <w:szCs w:val="13"/>
                <w:color w:val="auto"/>
              </w:rPr>
            </w:pPr>
          </w:p>
        </w:tc>
        <w:tc>
          <w:tcPr>
            <w:tcW w:w="9120" w:type="dxa"/>
            <w:vAlign w:val="bottom"/>
            <w:tcBorders>
              <w:top w:val="single" w:sz="8" w:color="0000FF"/>
            </w:tcBorders>
            <w:gridSpan w:val="34"/>
          </w:tcPr>
          <w:p>
            <w:pPr>
              <w:spacing w:after="0" w:line="154" w:lineRule="exact"/>
              <w:rPr>
                <w:rFonts w:ascii="Times New Roman" w:cs="Times New Roman" w:eastAsia="Times New Roman" w:hAnsi="Times New Roman"/>
                <w:sz w:val="17"/>
                <w:szCs w:val="17"/>
                <w:color w:val="0000FF"/>
              </w:rPr>
            </w:pPr>
            <w:hyperlink r:id="rId196">
              <w:r>
                <w:rPr>
                  <w:rFonts w:ascii="Times New Roman" w:cs="Times New Roman" w:eastAsia="Times New Roman" w:hAnsi="Times New Roman"/>
                  <w:sz w:val="17"/>
                  <w:szCs w:val="17"/>
                  <w:color w:val="0000FF"/>
                </w:rPr>
                <w:t>J. Stefani. Incorporated herein by reference to Exhibit 10.1 to Form 8-K dated November 7, 2022, File Nos. 001-37976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2460" w:type="dxa"/>
            <w:vAlign w:val="bottom"/>
          </w:tcPr>
          <w:p>
            <w:pPr>
              <w:spacing w:after="0"/>
              <w:rPr>
                <w:sz w:val="14"/>
                <w:szCs w:val="14"/>
                <w:color w:val="auto"/>
              </w:rPr>
            </w:pPr>
          </w:p>
        </w:tc>
        <w:tc>
          <w:tcPr>
            <w:tcW w:w="1120" w:type="dxa"/>
            <w:vAlign w:val="bottom"/>
            <w:tcBorders>
              <w:top w:val="single" w:sz="8" w:color="0000FF"/>
              <w:bottom w:val="single" w:sz="8" w:color="0000FF"/>
            </w:tcBorders>
            <w:gridSpan w:val="2"/>
          </w:tcPr>
          <w:p>
            <w:pPr>
              <w:spacing w:after="0" w:line="167" w:lineRule="exact"/>
              <w:rPr>
                <w:rFonts w:ascii="Times New Roman" w:cs="Times New Roman" w:eastAsia="Times New Roman" w:hAnsi="Times New Roman"/>
                <w:sz w:val="18"/>
                <w:szCs w:val="18"/>
                <w:color w:val="0000FF"/>
                <w:w w:val="97"/>
              </w:rPr>
            </w:pPr>
            <w:hyperlink r:id="rId196">
              <w:r>
                <w:rPr>
                  <w:rFonts w:ascii="Times New Roman" w:cs="Times New Roman" w:eastAsia="Times New Roman" w:hAnsi="Times New Roman"/>
                  <w:sz w:val="18"/>
                  <w:szCs w:val="18"/>
                  <w:color w:val="0000FF"/>
                  <w:w w:val="97"/>
                </w:rPr>
                <w:t>and 001-07850.</w:t>
              </w:r>
            </w:hyperlink>
          </w:p>
        </w:tc>
        <w:tc>
          <w:tcPr>
            <w:tcW w:w="7900" w:type="dxa"/>
            <w:vAlign w:val="bottom"/>
            <w:tcBorders>
              <w:top w:val="single" w:sz="8" w:color="0000FF"/>
            </w:tcBorders>
            <w:gridSpan w:val="2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61"/>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9160" w:type="dxa"/>
            <w:vAlign w:val="bottom"/>
            <w:gridSpan w:val="36"/>
          </w:tcPr>
          <w:p>
            <w:pPr>
              <w:spacing w:after="0"/>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Change in Control Agreement by and between Southwest Gas Holdings, Inc., Southwest Gas Corporation and Robert J.</w:t>
              </w:r>
            </w:hyperlink>
          </w:p>
        </w:tc>
      </w:tr>
      <w:tr>
        <w:trPr>
          <w:trHeight w:val="154"/>
        </w:trPr>
        <w:tc>
          <w:tcPr>
            <w:tcW w:w="2460" w:type="dxa"/>
            <w:vAlign w:val="bottom"/>
          </w:tcPr>
          <w:p>
            <w:pPr>
              <w:spacing w:after="0"/>
              <w:rPr>
                <w:sz w:val="13"/>
                <w:szCs w:val="13"/>
                <w:color w:val="auto"/>
              </w:rPr>
            </w:pPr>
          </w:p>
        </w:tc>
        <w:tc>
          <w:tcPr>
            <w:tcW w:w="9040" w:type="dxa"/>
            <w:vAlign w:val="bottom"/>
            <w:tcBorders>
              <w:top w:val="single" w:sz="8" w:color="0000FF"/>
            </w:tcBorders>
            <w:gridSpan w:val="30"/>
          </w:tcPr>
          <w:p>
            <w:pPr>
              <w:spacing w:after="0" w:line="154" w:lineRule="exact"/>
              <w:rPr>
                <w:rFonts w:ascii="Times New Roman" w:cs="Times New Roman" w:eastAsia="Times New Roman" w:hAnsi="Times New Roman"/>
                <w:sz w:val="17"/>
                <w:szCs w:val="17"/>
                <w:color w:val="0000FF"/>
              </w:rPr>
            </w:pPr>
            <w:hyperlink r:id="rId197">
              <w:r>
                <w:rPr>
                  <w:rFonts w:ascii="Times New Roman" w:cs="Times New Roman" w:eastAsia="Times New Roman" w:hAnsi="Times New Roman"/>
                  <w:sz w:val="17"/>
                  <w:szCs w:val="17"/>
                  <w:color w:val="0000FF"/>
                </w:rPr>
                <w:t>Stefani. Incorporated herein by reference to Exhibit 10.2 to Form 8-K dated November 7, 2022, File Nos. 001-37976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2460" w:type="dxa"/>
            <w:vAlign w:val="bottom"/>
          </w:tcPr>
          <w:p>
            <w:pPr>
              <w:spacing w:after="0"/>
              <w:rPr>
                <w:sz w:val="14"/>
                <w:szCs w:val="14"/>
                <w:color w:val="auto"/>
              </w:rPr>
            </w:pPr>
          </w:p>
        </w:tc>
        <w:tc>
          <w:tcPr>
            <w:tcW w:w="800" w:type="dxa"/>
            <w:vAlign w:val="bottom"/>
            <w:tcBorders>
              <w:top w:val="single" w:sz="8" w:color="0000FF"/>
              <w:bottom w:val="single" w:sz="8" w:color="0000FF"/>
            </w:tcBorders>
          </w:tcPr>
          <w:p>
            <w:pPr>
              <w:spacing w:after="0" w:line="167" w:lineRule="exact"/>
              <w:rPr>
                <w:rFonts w:ascii="Times New Roman" w:cs="Times New Roman" w:eastAsia="Times New Roman" w:hAnsi="Times New Roman"/>
                <w:sz w:val="18"/>
                <w:szCs w:val="18"/>
                <w:color w:val="0000FF"/>
                <w:w w:val="94"/>
              </w:rPr>
            </w:pPr>
            <w:hyperlink r:id="rId197">
              <w:r>
                <w:rPr>
                  <w:rFonts w:ascii="Times New Roman" w:cs="Times New Roman" w:eastAsia="Times New Roman" w:hAnsi="Times New Roman"/>
                  <w:sz w:val="18"/>
                  <w:szCs w:val="18"/>
                  <w:color w:val="0000FF"/>
                  <w:w w:val="94"/>
                </w:rPr>
                <w:t>001-07850.</w:t>
              </w:r>
            </w:hyperlink>
          </w:p>
        </w:tc>
        <w:tc>
          <w:tcPr>
            <w:tcW w:w="32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26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1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00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1"/>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9160" w:type="dxa"/>
            <w:vAlign w:val="bottom"/>
            <w:gridSpan w:val="36"/>
          </w:tcPr>
          <w:p>
            <w:pPr>
              <w:spacing w:after="0"/>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Amended Change in Control Agreement by and between Southwest Gas Holdings, Inc., Southwest Gas Corporation and</w:t>
              </w:r>
            </w:hyperlink>
          </w:p>
        </w:tc>
      </w:tr>
      <w:tr>
        <w:trPr>
          <w:trHeight w:val="154"/>
        </w:trPr>
        <w:tc>
          <w:tcPr>
            <w:tcW w:w="2460" w:type="dxa"/>
            <w:vAlign w:val="bottom"/>
          </w:tcPr>
          <w:p>
            <w:pPr>
              <w:spacing w:after="0"/>
              <w:rPr>
                <w:sz w:val="13"/>
                <w:szCs w:val="13"/>
                <w:color w:val="auto"/>
              </w:rPr>
            </w:pPr>
          </w:p>
        </w:tc>
        <w:tc>
          <w:tcPr>
            <w:tcW w:w="8900" w:type="dxa"/>
            <w:vAlign w:val="bottom"/>
            <w:tcBorders>
              <w:top w:val="single" w:sz="8" w:color="0000FF"/>
              <w:bottom w:val="single" w:sz="8" w:color="0000FF"/>
            </w:tcBorders>
            <w:gridSpan w:val="23"/>
          </w:tcPr>
          <w:p>
            <w:pPr>
              <w:spacing w:after="0" w:line="154" w:lineRule="exact"/>
              <w:rPr>
                <w:rFonts w:ascii="Times New Roman" w:cs="Times New Roman" w:eastAsia="Times New Roman" w:hAnsi="Times New Roman"/>
                <w:sz w:val="17"/>
                <w:szCs w:val="17"/>
                <w:color w:val="0000FF"/>
              </w:rPr>
            </w:pPr>
            <w:hyperlink r:id="rId198">
              <w:r>
                <w:rPr>
                  <w:rFonts w:ascii="Times New Roman" w:cs="Times New Roman" w:eastAsia="Times New Roman" w:hAnsi="Times New Roman"/>
                  <w:sz w:val="17"/>
                  <w:szCs w:val="17"/>
                  <w:color w:val="0000FF"/>
                </w:rPr>
                <w:t>Karen Haller. Incorporated herein by reference to Exhibit 10.46 to Form 10-K for the year ended December 31, 2022, File</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2460" w:type="dxa"/>
            <w:vAlign w:val="bottom"/>
          </w:tcPr>
          <w:p>
            <w:pPr>
              <w:spacing w:after="0"/>
              <w:rPr>
                <w:sz w:val="14"/>
                <w:szCs w:val="14"/>
                <w:color w:val="auto"/>
              </w:rPr>
            </w:pPr>
          </w:p>
        </w:tc>
        <w:tc>
          <w:tcPr>
            <w:tcW w:w="8920" w:type="dxa"/>
            <w:vAlign w:val="bottom"/>
            <w:gridSpan w:val="24"/>
          </w:tcPr>
          <w:p>
            <w:pPr>
              <w:spacing w:after="0" w:line="167"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Nos. 001-37976 and 001-07850.</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460" w:type="dxa"/>
            <w:vAlign w:val="bottom"/>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1"/>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9160" w:type="dxa"/>
            <w:vAlign w:val="bottom"/>
            <w:gridSpan w:val="36"/>
          </w:tcPr>
          <w:p>
            <w:pPr>
              <w:spacing w:after="0"/>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First Amendment Second Amended and Restated Centuri Credit Facility Agreement. Incorporated herein by reference to</w:t>
              </w:r>
            </w:hyperlink>
          </w:p>
        </w:tc>
      </w:tr>
      <w:tr>
        <w:trPr>
          <w:trHeight w:val="154"/>
        </w:trPr>
        <w:tc>
          <w:tcPr>
            <w:tcW w:w="2460" w:type="dxa"/>
            <w:vAlign w:val="bottom"/>
          </w:tcPr>
          <w:p>
            <w:pPr>
              <w:spacing w:after="0"/>
              <w:rPr>
                <w:sz w:val="13"/>
                <w:szCs w:val="13"/>
                <w:color w:val="auto"/>
              </w:rPr>
            </w:pPr>
          </w:p>
        </w:tc>
        <w:tc>
          <w:tcPr>
            <w:tcW w:w="7500" w:type="dxa"/>
            <w:vAlign w:val="bottom"/>
            <w:tcBorders>
              <w:top w:val="single" w:sz="8" w:color="0000FF"/>
              <w:bottom w:val="single" w:sz="8" w:color="0000FF"/>
            </w:tcBorders>
            <w:gridSpan w:val="11"/>
          </w:tcPr>
          <w:p>
            <w:pPr>
              <w:spacing w:after="0" w:line="154" w:lineRule="exact"/>
              <w:rPr>
                <w:rFonts w:ascii="Times New Roman" w:cs="Times New Roman" w:eastAsia="Times New Roman" w:hAnsi="Times New Roman"/>
                <w:sz w:val="17"/>
                <w:szCs w:val="17"/>
                <w:color w:val="0000FF"/>
              </w:rPr>
            </w:pPr>
            <w:hyperlink r:id="rId199">
              <w:r>
                <w:rPr>
                  <w:rFonts w:ascii="Times New Roman" w:cs="Times New Roman" w:eastAsia="Times New Roman" w:hAnsi="Times New Roman"/>
                  <w:sz w:val="17"/>
                  <w:szCs w:val="17"/>
                  <w:color w:val="0000FF"/>
                </w:rPr>
                <w:t>Exhibit 10.47 to Form 10-K for the year ended December 31, 2022, File Nos. 001-37976 and 001-07850.</w:t>
              </w:r>
            </w:hyperlink>
          </w:p>
        </w:tc>
        <w:tc>
          <w:tcPr>
            <w:tcW w:w="1640" w:type="dxa"/>
            <w:vAlign w:val="bottom"/>
            <w:tcBorders>
              <w:top w:val="single" w:sz="8" w:color="0000FF"/>
            </w:tcBorders>
            <w:gridSpan w:val="24"/>
          </w:tcPr>
          <w:p>
            <w:pPr>
              <w:spacing w:after="0"/>
              <w:rPr>
                <w:sz w:val="13"/>
                <w:szCs w:val="13"/>
                <w:color w:val="auto"/>
              </w:rPr>
            </w:pPr>
          </w:p>
        </w:tc>
        <w:tc>
          <w:tcPr>
            <w:tcW w:w="20" w:type="dxa"/>
            <w:vAlign w:val="bottom"/>
          </w:tcPr>
          <w:p>
            <w:pPr>
              <w:spacing w:after="0"/>
              <w:rPr>
                <w:sz w:val="13"/>
                <w:szCs w:val="13"/>
                <w:color w:val="auto"/>
              </w:rPr>
            </w:pPr>
          </w:p>
        </w:tc>
      </w:tr>
      <w:tr>
        <w:trPr>
          <w:trHeight w:val="274"/>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9160" w:type="dxa"/>
            <w:vAlign w:val="bottom"/>
            <w:gridSpan w:val="36"/>
          </w:tcPr>
          <w:p>
            <w:pPr>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Term Loan Credit Agreement, dated as of April 17, 2023, by and among Southwest Gas Holdings, Inc., the lenders from</w:t>
              </w:r>
            </w:hyperlink>
          </w:p>
        </w:tc>
      </w:tr>
      <w:tr>
        <w:trPr>
          <w:trHeight w:val="154"/>
        </w:trPr>
        <w:tc>
          <w:tcPr>
            <w:tcW w:w="2460" w:type="dxa"/>
            <w:vAlign w:val="bottom"/>
          </w:tcPr>
          <w:p>
            <w:pPr>
              <w:spacing w:after="0"/>
              <w:rPr>
                <w:sz w:val="13"/>
                <w:szCs w:val="13"/>
                <w:color w:val="auto"/>
              </w:rPr>
            </w:pPr>
          </w:p>
        </w:tc>
        <w:tc>
          <w:tcPr>
            <w:tcW w:w="8940" w:type="dxa"/>
            <w:vAlign w:val="bottom"/>
            <w:tcBorders>
              <w:top w:val="single" w:sz="8" w:color="0000FF"/>
              <w:bottom w:val="single" w:sz="8" w:color="0000FF"/>
            </w:tcBorders>
            <w:gridSpan w:val="25"/>
          </w:tcPr>
          <w:p>
            <w:pPr>
              <w:spacing w:after="0" w:line="154" w:lineRule="exact"/>
              <w:rPr>
                <w:rFonts w:ascii="Times New Roman" w:cs="Times New Roman" w:eastAsia="Times New Roman" w:hAnsi="Times New Roman"/>
                <w:sz w:val="17"/>
                <w:szCs w:val="17"/>
                <w:color w:val="0000FF"/>
              </w:rPr>
            </w:pPr>
            <w:hyperlink r:id="rId200">
              <w:r>
                <w:rPr>
                  <w:rFonts w:ascii="Times New Roman" w:cs="Times New Roman" w:eastAsia="Times New Roman" w:hAnsi="Times New Roman"/>
                  <w:sz w:val="17"/>
                  <w:szCs w:val="17"/>
                  <w:color w:val="0000FF"/>
                </w:rPr>
                <w:t>time to time party thereto, JPMorgan Chase Bank, N.A., as Administrative Agent, Bank of America, N.A. as Syndication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67"/>
        </w:trPr>
        <w:tc>
          <w:tcPr>
            <w:tcW w:w="2460" w:type="dxa"/>
            <w:vAlign w:val="bottom"/>
          </w:tcPr>
          <w:p>
            <w:pPr>
              <w:spacing w:after="0"/>
              <w:rPr>
                <w:sz w:val="14"/>
                <w:szCs w:val="14"/>
                <w:color w:val="auto"/>
              </w:rPr>
            </w:pPr>
          </w:p>
        </w:tc>
        <w:tc>
          <w:tcPr>
            <w:tcW w:w="8980" w:type="dxa"/>
            <w:vAlign w:val="bottom"/>
            <w:gridSpan w:val="27"/>
          </w:tcPr>
          <w:p>
            <w:pPr>
              <w:spacing w:after="0" w:line="167"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Agent, JPMorgan Chase Bank, N.A., BofA Securities, Inc., Wells Fargo Bank, N.A. and U.S. Bank, National Association</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r>
      <w:tr>
        <w:trPr>
          <w:trHeight w:val="154"/>
        </w:trPr>
        <w:tc>
          <w:tcPr>
            <w:tcW w:w="2460" w:type="dxa"/>
            <w:vAlign w:val="bottom"/>
          </w:tcPr>
          <w:p>
            <w:pPr>
              <w:spacing w:after="0"/>
              <w:rPr>
                <w:sz w:val="13"/>
                <w:szCs w:val="13"/>
                <w:color w:val="auto"/>
              </w:rPr>
            </w:pPr>
          </w:p>
        </w:tc>
        <w:tc>
          <w:tcPr>
            <w:tcW w:w="8840" w:type="dxa"/>
            <w:vAlign w:val="bottom"/>
            <w:tcBorders>
              <w:top w:val="single" w:sz="8" w:color="0000FF"/>
              <w:bottom w:val="single" w:sz="8" w:color="0000FF"/>
            </w:tcBorders>
            <w:gridSpan w:val="20"/>
          </w:tcPr>
          <w:p>
            <w:pPr>
              <w:spacing w:after="0" w:line="154" w:lineRule="exact"/>
              <w:rPr>
                <w:rFonts w:ascii="Times New Roman" w:cs="Times New Roman" w:eastAsia="Times New Roman" w:hAnsi="Times New Roman"/>
                <w:sz w:val="17"/>
                <w:szCs w:val="17"/>
                <w:color w:val="0000FF"/>
              </w:rPr>
            </w:pPr>
            <w:hyperlink r:id="rId200">
              <w:r>
                <w:rPr>
                  <w:rFonts w:ascii="Times New Roman" w:cs="Times New Roman" w:eastAsia="Times New Roman" w:hAnsi="Times New Roman"/>
                  <w:sz w:val="17"/>
                  <w:szCs w:val="17"/>
                  <w:color w:val="0000FF"/>
                </w:rPr>
                <w:t>as Joint Lead Arrangers and Joint Bookrunners, and Wells Fargo Bank, N.A. and U.S. Bank, National Association as Co-</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54"/>
        </w:trPr>
        <w:tc>
          <w:tcPr>
            <w:tcW w:w="2460" w:type="dxa"/>
            <w:vAlign w:val="bottom"/>
          </w:tcPr>
          <w:p>
            <w:pPr>
              <w:spacing w:after="0"/>
              <w:rPr>
                <w:sz w:val="13"/>
                <w:szCs w:val="13"/>
                <w:color w:val="auto"/>
              </w:rPr>
            </w:pPr>
          </w:p>
        </w:tc>
        <w:tc>
          <w:tcPr>
            <w:tcW w:w="9000" w:type="dxa"/>
            <w:vAlign w:val="bottom"/>
            <w:gridSpan w:val="28"/>
          </w:tcPr>
          <w:p>
            <w:pPr>
              <w:spacing w:after="0" w:line="154" w:lineRule="exact"/>
              <w:rPr>
                <w:rFonts w:ascii="Times New Roman" w:cs="Times New Roman" w:eastAsia="Times New Roman" w:hAnsi="Times New Roman"/>
                <w:sz w:val="17"/>
                <w:szCs w:val="17"/>
                <w:color w:val="0000FF"/>
              </w:rPr>
            </w:pPr>
            <w:hyperlink r:id="rId200">
              <w:r>
                <w:rPr>
                  <w:rFonts w:ascii="Times New Roman" w:cs="Times New Roman" w:eastAsia="Times New Roman" w:hAnsi="Times New Roman"/>
                  <w:sz w:val="17"/>
                  <w:szCs w:val="17"/>
                  <w:color w:val="0000FF"/>
                </w:rPr>
                <w:t>Documentation Agents. Incorporated herein by reference to Exhibit 10.1 to Form 8-K dated April 17, 2023, File Nos. 001-</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67"/>
        </w:trPr>
        <w:tc>
          <w:tcPr>
            <w:tcW w:w="2460" w:type="dxa"/>
            <w:vAlign w:val="bottom"/>
          </w:tcPr>
          <w:p>
            <w:pPr>
              <w:spacing w:after="0"/>
              <w:rPr>
                <w:sz w:val="14"/>
                <w:szCs w:val="14"/>
                <w:color w:val="auto"/>
              </w:rPr>
            </w:pPr>
          </w:p>
        </w:tc>
        <w:tc>
          <w:tcPr>
            <w:tcW w:w="8960" w:type="dxa"/>
            <w:vAlign w:val="bottom"/>
            <w:tcBorders>
              <w:top w:val="single" w:sz="8" w:color="0000FF"/>
            </w:tcBorders>
            <w:gridSpan w:val="26"/>
          </w:tcPr>
          <w:p>
            <w:pPr>
              <w:spacing w:after="0" w:line="167"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37976 and 001-07850.</w:t>
              </w:r>
            </w:hyperlink>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r>
      <w:tr>
        <w:trPr>
          <w:trHeight w:val="20"/>
        </w:trPr>
        <w:tc>
          <w:tcPr>
            <w:tcW w:w="2460" w:type="dxa"/>
            <w:vAlign w:val="bottom"/>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61"/>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9160" w:type="dxa"/>
            <w:vAlign w:val="bottom"/>
            <w:gridSpan w:val="36"/>
          </w:tcPr>
          <w:p>
            <w:pPr>
              <w:spacing w:after="0"/>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Grant Agreement for Time-Lapse Restricted Stock Units under the Southwest Gas Holdings, Inc. Omnibus Incentive Plan.</w:t>
              </w:r>
            </w:hyperlink>
          </w:p>
        </w:tc>
      </w:tr>
      <w:tr>
        <w:trPr>
          <w:trHeight w:val="154"/>
        </w:trPr>
        <w:tc>
          <w:tcPr>
            <w:tcW w:w="2460" w:type="dxa"/>
            <w:vAlign w:val="bottom"/>
          </w:tcPr>
          <w:p>
            <w:pPr>
              <w:spacing w:after="0"/>
              <w:rPr>
                <w:sz w:val="13"/>
                <w:szCs w:val="13"/>
                <w:color w:val="auto"/>
              </w:rPr>
            </w:pPr>
          </w:p>
        </w:tc>
        <w:tc>
          <w:tcPr>
            <w:tcW w:w="8700" w:type="dxa"/>
            <w:vAlign w:val="bottom"/>
            <w:tcBorders>
              <w:top w:val="single" w:sz="8" w:color="0000FF"/>
              <w:bottom w:val="single" w:sz="8" w:color="0000FF"/>
            </w:tcBorders>
            <w:gridSpan w:val="14"/>
          </w:tcPr>
          <w:p>
            <w:pPr>
              <w:spacing w:after="0" w:line="154" w:lineRule="exact"/>
              <w:rPr>
                <w:rFonts w:ascii="Times New Roman" w:cs="Times New Roman" w:eastAsia="Times New Roman" w:hAnsi="Times New Roman"/>
                <w:sz w:val="17"/>
                <w:szCs w:val="17"/>
                <w:color w:val="0000FF"/>
              </w:rPr>
            </w:pPr>
            <w:hyperlink r:id="rId201">
              <w:r>
                <w:rPr>
                  <w:rFonts w:ascii="Times New Roman" w:cs="Times New Roman" w:eastAsia="Times New Roman" w:hAnsi="Times New Roman"/>
                  <w:sz w:val="17"/>
                  <w:szCs w:val="17"/>
                  <w:color w:val="0000FF"/>
                </w:rPr>
                <w:t>Incorporated herein by reference to Exhibit 10.1 to Form 8-K dated March 29, 2023, File Nos. 001-37976 and 001-07850.</w:t>
              </w:r>
            </w:hyperlink>
          </w:p>
        </w:tc>
        <w:tc>
          <w:tcPr>
            <w:tcW w:w="380" w:type="dxa"/>
            <w:vAlign w:val="bottom"/>
            <w:tcBorders>
              <w:top w:val="single" w:sz="8" w:color="0000FF"/>
            </w:tcBorders>
            <w:gridSpan w:val="18"/>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74"/>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9160" w:type="dxa"/>
            <w:vAlign w:val="bottom"/>
            <w:gridSpan w:val="36"/>
          </w:tcPr>
          <w:p>
            <w:pPr>
              <w:spacing w:after="0"/>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Performance Share Unit Grant Agreement under the Southwest Gas Holdings, Inc. Omnibus Incentive Plan (UNI/ROE</w:t>
              </w:r>
            </w:hyperlink>
          </w:p>
        </w:tc>
      </w:tr>
      <w:tr>
        <w:trPr>
          <w:trHeight w:val="154"/>
        </w:trPr>
        <w:tc>
          <w:tcPr>
            <w:tcW w:w="2460" w:type="dxa"/>
            <w:vAlign w:val="bottom"/>
          </w:tcPr>
          <w:p>
            <w:pPr>
              <w:spacing w:after="0"/>
              <w:rPr>
                <w:sz w:val="13"/>
                <w:szCs w:val="13"/>
                <w:color w:val="auto"/>
              </w:rPr>
            </w:pPr>
          </w:p>
        </w:tc>
        <w:tc>
          <w:tcPr>
            <w:tcW w:w="8740" w:type="dxa"/>
            <w:vAlign w:val="bottom"/>
            <w:tcBorders>
              <w:top w:val="single" w:sz="8" w:color="0000FF"/>
            </w:tcBorders>
            <w:gridSpan w:val="15"/>
          </w:tcPr>
          <w:p>
            <w:pPr>
              <w:spacing w:after="0" w:line="154" w:lineRule="exact"/>
              <w:rPr>
                <w:rFonts w:ascii="Times New Roman" w:cs="Times New Roman" w:eastAsia="Times New Roman" w:hAnsi="Times New Roman"/>
                <w:sz w:val="17"/>
                <w:szCs w:val="17"/>
                <w:color w:val="0000FF"/>
              </w:rPr>
            </w:pPr>
            <w:hyperlink r:id="rId202">
              <w:r>
                <w:rPr>
                  <w:rFonts w:ascii="Times New Roman" w:cs="Times New Roman" w:eastAsia="Times New Roman" w:hAnsi="Times New Roman"/>
                  <w:sz w:val="17"/>
                  <w:szCs w:val="17"/>
                  <w:color w:val="0000FF"/>
                </w:rPr>
                <w:t>Shares). Incorporated herein by reference to Exhibit 10.2 to Form 8-K dated March 29, 2023, File Nos. 001-37976 and</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9"/>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167"/>
        </w:trPr>
        <w:tc>
          <w:tcPr>
            <w:tcW w:w="2460" w:type="dxa"/>
            <w:vAlign w:val="bottom"/>
          </w:tcPr>
          <w:p>
            <w:pPr>
              <w:spacing w:after="0"/>
              <w:rPr>
                <w:sz w:val="14"/>
                <w:szCs w:val="14"/>
                <w:color w:val="auto"/>
              </w:rPr>
            </w:pPr>
          </w:p>
        </w:tc>
        <w:tc>
          <w:tcPr>
            <w:tcW w:w="800" w:type="dxa"/>
            <w:vAlign w:val="bottom"/>
            <w:tcBorders>
              <w:top w:val="single" w:sz="8" w:color="0000FF"/>
              <w:bottom w:val="single" w:sz="8" w:color="0000FF"/>
            </w:tcBorders>
          </w:tcPr>
          <w:p>
            <w:pPr>
              <w:spacing w:after="0" w:line="167" w:lineRule="exact"/>
              <w:rPr>
                <w:rFonts w:ascii="Times New Roman" w:cs="Times New Roman" w:eastAsia="Times New Roman" w:hAnsi="Times New Roman"/>
                <w:sz w:val="18"/>
                <w:szCs w:val="18"/>
                <w:color w:val="0000FF"/>
                <w:w w:val="94"/>
              </w:rPr>
            </w:pPr>
            <w:hyperlink r:id="rId202">
              <w:r>
                <w:rPr>
                  <w:rFonts w:ascii="Times New Roman" w:cs="Times New Roman" w:eastAsia="Times New Roman" w:hAnsi="Times New Roman"/>
                  <w:sz w:val="18"/>
                  <w:szCs w:val="18"/>
                  <w:color w:val="0000FF"/>
                  <w:w w:val="94"/>
                </w:rPr>
                <w:t>001-07850.</w:t>
              </w:r>
            </w:hyperlink>
          </w:p>
        </w:tc>
        <w:tc>
          <w:tcPr>
            <w:tcW w:w="32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26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1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00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1"/>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9160" w:type="dxa"/>
            <w:vAlign w:val="bottom"/>
            <w:gridSpan w:val="36"/>
          </w:tcPr>
          <w:p>
            <w:pPr>
              <w:spacing w:after="0"/>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Performance Share Unit Grant Agreement under the Southwest Gas Holdings, Inc. Omnibus Incentive Plan (EPS/ROE</w:t>
              </w:r>
            </w:hyperlink>
          </w:p>
        </w:tc>
      </w:tr>
      <w:tr>
        <w:trPr>
          <w:trHeight w:val="154"/>
        </w:trPr>
        <w:tc>
          <w:tcPr>
            <w:tcW w:w="2460" w:type="dxa"/>
            <w:vAlign w:val="bottom"/>
          </w:tcPr>
          <w:p>
            <w:pPr>
              <w:spacing w:after="0"/>
              <w:rPr>
                <w:sz w:val="13"/>
                <w:szCs w:val="13"/>
                <w:color w:val="auto"/>
              </w:rPr>
            </w:pPr>
          </w:p>
        </w:tc>
        <w:tc>
          <w:tcPr>
            <w:tcW w:w="8800" w:type="dxa"/>
            <w:vAlign w:val="bottom"/>
            <w:tcBorders>
              <w:top w:val="single" w:sz="8" w:color="0000FF"/>
            </w:tcBorders>
            <w:gridSpan w:val="18"/>
          </w:tcPr>
          <w:p>
            <w:pPr>
              <w:spacing w:after="0" w:line="154" w:lineRule="exact"/>
              <w:rPr>
                <w:rFonts w:ascii="Times New Roman" w:cs="Times New Roman" w:eastAsia="Times New Roman" w:hAnsi="Times New Roman"/>
                <w:sz w:val="17"/>
                <w:szCs w:val="17"/>
                <w:color w:val="0000FF"/>
              </w:rPr>
            </w:pPr>
            <w:hyperlink r:id="rId203">
              <w:r>
                <w:rPr>
                  <w:rFonts w:ascii="Times New Roman" w:cs="Times New Roman" w:eastAsia="Times New Roman" w:hAnsi="Times New Roman"/>
                  <w:sz w:val="17"/>
                  <w:szCs w:val="17"/>
                  <w:color w:val="0000FF"/>
                </w:rPr>
                <w:t>Shares). Incorporated herein by reference to Exhibit 10.3 to Form 8-K dated March 29, 2023, File Nos. 001-37976 and</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9"/>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167"/>
        </w:trPr>
        <w:tc>
          <w:tcPr>
            <w:tcW w:w="2460" w:type="dxa"/>
            <w:vAlign w:val="bottom"/>
          </w:tcPr>
          <w:p>
            <w:pPr>
              <w:spacing w:after="0"/>
              <w:rPr>
                <w:sz w:val="14"/>
                <w:szCs w:val="14"/>
                <w:color w:val="auto"/>
              </w:rPr>
            </w:pPr>
          </w:p>
        </w:tc>
        <w:tc>
          <w:tcPr>
            <w:tcW w:w="800" w:type="dxa"/>
            <w:vAlign w:val="bottom"/>
            <w:tcBorders>
              <w:top w:val="single" w:sz="8" w:color="0000FF"/>
              <w:bottom w:val="single" w:sz="8" w:color="0000FF"/>
            </w:tcBorders>
          </w:tcPr>
          <w:p>
            <w:pPr>
              <w:spacing w:after="0" w:line="167" w:lineRule="exact"/>
              <w:rPr>
                <w:rFonts w:ascii="Times New Roman" w:cs="Times New Roman" w:eastAsia="Times New Roman" w:hAnsi="Times New Roman"/>
                <w:sz w:val="18"/>
                <w:szCs w:val="18"/>
                <w:color w:val="0000FF"/>
                <w:w w:val="94"/>
              </w:rPr>
            </w:pPr>
            <w:hyperlink r:id="rId203">
              <w:r>
                <w:rPr>
                  <w:rFonts w:ascii="Times New Roman" w:cs="Times New Roman" w:eastAsia="Times New Roman" w:hAnsi="Times New Roman"/>
                  <w:sz w:val="18"/>
                  <w:szCs w:val="18"/>
                  <w:color w:val="0000FF"/>
                  <w:w w:val="94"/>
                </w:rPr>
                <w:t>001-07850.</w:t>
              </w:r>
            </w:hyperlink>
          </w:p>
        </w:tc>
        <w:tc>
          <w:tcPr>
            <w:tcW w:w="32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26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1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00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1"/>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9160" w:type="dxa"/>
            <w:vAlign w:val="bottom"/>
            <w:gridSpan w:val="36"/>
          </w:tcPr>
          <w:p>
            <w:pPr>
              <w:spacing w:after="0"/>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Amendment No. 2 to the Southwest Gas Holdings, Inc. Credit Facility. Incorporated herein by reference to Exhibit 10.1 to</w:t>
              </w:r>
            </w:hyperlink>
          </w:p>
        </w:tc>
      </w:tr>
      <w:tr>
        <w:trPr>
          <w:trHeight w:val="154"/>
        </w:trPr>
        <w:tc>
          <w:tcPr>
            <w:tcW w:w="2460" w:type="dxa"/>
            <w:vAlign w:val="bottom"/>
          </w:tcPr>
          <w:p>
            <w:pPr>
              <w:spacing w:after="0"/>
              <w:rPr>
                <w:sz w:val="13"/>
                <w:szCs w:val="13"/>
                <w:color w:val="auto"/>
              </w:rPr>
            </w:pPr>
          </w:p>
        </w:tc>
        <w:tc>
          <w:tcPr>
            <w:tcW w:w="8820" w:type="dxa"/>
            <w:vAlign w:val="bottom"/>
            <w:tcBorders>
              <w:top w:val="single" w:sz="8" w:color="0000FF"/>
            </w:tcBorders>
            <w:gridSpan w:val="19"/>
          </w:tcPr>
          <w:p>
            <w:pPr>
              <w:spacing w:after="0" w:line="154" w:lineRule="exact"/>
              <w:rPr>
                <w:rFonts w:ascii="Times New Roman" w:cs="Times New Roman" w:eastAsia="Times New Roman" w:hAnsi="Times New Roman"/>
                <w:sz w:val="17"/>
                <w:szCs w:val="17"/>
                <w:color w:val="0000FF"/>
              </w:rPr>
            </w:pPr>
            <w:hyperlink r:id="rId204">
              <w:r>
                <w:rPr>
                  <w:rFonts w:ascii="Times New Roman" w:cs="Times New Roman" w:eastAsia="Times New Roman" w:hAnsi="Times New Roman"/>
                  <w:sz w:val="17"/>
                  <w:szCs w:val="17"/>
                  <w:color w:val="0000FF"/>
                </w:rPr>
                <w:t>Form 8-K dated April 25, 2023, File Nos. 001-37976 and 001-07850.</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9"/>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0"/>
        </w:trPr>
        <w:tc>
          <w:tcPr>
            <w:tcW w:w="2460" w:type="dxa"/>
            <w:vAlign w:val="bottom"/>
          </w:tcPr>
          <w:p>
            <w:pPr>
              <w:spacing w:after="0" w:line="20" w:lineRule="exact"/>
              <w:rPr>
                <w:sz w:val="1"/>
                <w:szCs w:val="1"/>
                <w:color w:val="auto"/>
              </w:rPr>
            </w:pPr>
          </w:p>
        </w:tc>
        <w:tc>
          <w:tcPr>
            <w:tcW w:w="494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74"/>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10.36</w:t>
            </w:r>
          </w:p>
        </w:tc>
        <w:tc>
          <w:tcPr>
            <w:tcW w:w="9160" w:type="dxa"/>
            <w:vAlign w:val="bottom"/>
            <w:gridSpan w:val="36"/>
          </w:tcPr>
          <w:p>
            <w:pPr>
              <w:spacing w:after="0"/>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Second Amendment to Second Amended and Restated Centuri Credit Agreement. Incorporated herein by reference to</w:t>
              </w:r>
            </w:hyperlink>
          </w:p>
        </w:tc>
      </w:tr>
      <w:tr>
        <w:trPr>
          <w:trHeight w:val="154"/>
        </w:trPr>
        <w:tc>
          <w:tcPr>
            <w:tcW w:w="2460" w:type="dxa"/>
            <w:vAlign w:val="bottom"/>
          </w:tcPr>
          <w:p>
            <w:pPr>
              <w:spacing w:after="0"/>
              <w:rPr>
                <w:sz w:val="13"/>
                <w:szCs w:val="13"/>
                <w:color w:val="auto"/>
              </w:rPr>
            </w:pPr>
          </w:p>
        </w:tc>
        <w:tc>
          <w:tcPr>
            <w:tcW w:w="7200" w:type="dxa"/>
            <w:vAlign w:val="bottom"/>
            <w:tcBorders>
              <w:top w:val="single" w:sz="8" w:color="0000FF"/>
              <w:bottom w:val="single" w:sz="8" w:color="0000FF"/>
            </w:tcBorders>
            <w:gridSpan w:val="10"/>
          </w:tcPr>
          <w:p>
            <w:pPr>
              <w:spacing w:after="0" w:line="154" w:lineRule="exact"/>
              <w:rPr>
                <w:rFonts w:ascii="Times New Roman" w:cs="Times New Roman" w:eastAsia="Times New Roman" w:hAnsi="Times New Roman"/>
                <w:sz w:val="17"/>
                <w:szCs w:val="17"/>
                <w:color w:val="0000FF"/>
              </w:rPr>
            </w:pPr>
            <w:hyperlink r:id="rId205">
              <w:r>
                <w:rPr>
                  <w:rFonts w:ascii="Times New Roman" w:cs="Times New Roman" w:eastAsia="Times New Roman" w:hAnsi="Times New Roman"/>
                  <w:sz w:val="17"/>
                  <w:szCs w:val="17"/>
                  <w:color w:val="0000FF"/>
                </w:rPr>
                <w:t>Exhibit 10.1 to Form 10-Q for the quarter ended June 30, 2023, File Nos. 001-37976 and 001-07850.</w:t>
              </w:r>
            </w:hyperlink>
          </w:p>
        </w:tc>
        <w:tc>
          <w:tcPr>
            <w:tcW w:w="166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9"/>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74"/>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10.37</w:t>
            </w:r>
          </w:p>
        </w:tc>
        <w:tc>
          <w:tcPr>
            <w:tcW w:w="9160" w:type="dxa"/>
            <w:vAlign w:val="bottom"/>
            <w:gridSpan w:val="36"/>
          </w:tcPr>
          <w:p>
            <w:pPr>
              <w:spacing w:after="0"/>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Form of Indemnification Agreement for Southwest Gas Holdings, Inc. Directors and Officers. Incorporated herein by</w:t>
              </w:r>
            </w:hyperlink>
          </w:p>
        </w:tc>
      </w:tr>
      <w:tr>
        <w:trPr>
          <w:trHeight w:val="154"/>
        </w:trPr>
        <w:tc>
          <w:tcPr>
            <w:tcW w:w="2460" w:type="dxa"/>
            <w:vAlign w:val="bottom"/>
          </w:tcPr>
          <w:p>
            <w:pPr>
              <w:spacing w:after="0"/>
              <w:rPr>
                <w:sz w:val="13"/>
                <w:szCs w:val="13"/>
                <w:color w:val="auto"/>
              </w:rPr>
            </w:pPr>
          </w:p>
        </w:tc>
        <w:tc>
          <w:tcPr>
            <w:tcW w:w="8620" w:type="dxa"/>
            <w:vAlign w:val="bottom"/>
            <w:tcBorders>
              <w:top w:val="single" w:sz="8" w:color="0000FF"/>
              <w:bottom w:val="single" w:sz="8" w:color="0000FF"/>
            </w:tcBorders>
            <w:gridSpan w:val="13"/>
          </w:tcPr>
          <w:p>
            <w:pPr>
              <w:spacing w:after="0" w:line="154" w:lineRule="exact"/>
              <w:rPr>
                <w:rFonts w:ascii="Times New Roman" w:cs="Times New Roman" w:eastAsia="Times New Roman" w:hAnsi="Times New Roman"/>
                <w:sz w:val="17"/>
                <w:szCs w:val="17"/>
                <w:color w:val="0000FF"/>
              </w:rPr>
            </w:pPr>
            <w:hyperlink r:id="rId206">
              <w:r>
                <w:rPr>
                  <w:rFonts w:ascii="Times New Roman" w:cs="Times New Roman" w:eastAsia="Times New Roman" w:hAnsi="Times New Roman"/>
                  <w:sz w:val="17"/>
                  <w:szCs w:val="17"/>
                  <w:color w:val="0000FF"/>
                </w:rPr>
                <w:t>reference to Exhibit 10.01 to Form 10-Q for the quarter ended September 30, 2023, File Nos. 001-37976 and 001-07850.</w:t>
              </w:r>
            </w:hyperlink>
          </w:p>
        </w:tc>
        <w:tc>
          <w:tcPr>
            <w:tcW w:w="160" w:type="dxa"/>
            <w:vAlign w:val="bottom"/>
            <w:tcBorders>
              <w:top w:val="single" w:sz="8" w:color="0000FF"/>
            </w:tcBorders>
            <w:gridSpan w:val="4"/>
          </w:tcPr>
          <w:p>
            <w:pPr>
              <w:spacing w:after="0"/>
              <w:rPr>
                <w:sz w:val="13"/>
                <w:szCs w:val="13"/>
                <w:color w:val="auto"/>
              </w:rPr>
            </w:pPr>
          </w:p>
        </w:tc>
        <w:tc>
          <w:tcPr>
            <w:tcW w:w="100" w:type="dxa"/>
            <w:vAlign w:val="bottom"/>
            <w:gridSpan w:val="5"/>
          </w:tcPr>
          <w:p>
            <w:pPr>
              <w:spacing w:after="0"/>
              <w:rPr>
                <w:sz w:val="13"/>
                <w:szCs w:val="13"/>
                <w:color w:val="auto"/>
              </w:rPr>
            </w:pPr>
          </w:p>
        </w:tc>
        <w:tc>
          <w:tcPr>
            <w:tcW w:w="180" w:type="dxa"/>
            <w:vAlign w:val="bottom"/>
            <w:gridSpan w:val="9"/>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74"/>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10.38</w:t>
            </w:r>
          </w:p>
        </w:tc>
        <w:tc>
          <w:tcPr>
            <w:tcW w:w="9160" w:type="dxa"/>
            <w:vAlign w:val="bottom"/>
            <w:gridSpan w:val="36"/>
          </w:tcPr>
          <w:p>
            <w:pPr>
              <w:spacing w:after="0"/>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Form of Indemnification Agreement for Southwest Gas Corporation Directors and Officers. Incorporated herein by</w:t>
              </w:r>
            </w:hyperlink>
          </w:p>
        </w:tc>
      </w:tr>
      <w:tr>
        <w:trPr>
          <w:trHeight w:val="154"/>
        </w:trPr>
        <w:tc>
          <w:tcPr>
            <w:tcW w:w="2460" w:type="dxa"/>
            <w:vAlign w:val="bottom"/>
          </w:tcPr>
          <w:p>
            <w:pPr>
              <w:spacing w:after="0"/>
              <w:rPr>
                <w:sz w:val="13"/>
                <w:szCs w:val="13"/>
                <w:color w:val="auto"/>
              </w:rPr>
            </w:pPr>
          </w:p>
        </w:tc>
        <w:tc>
          <w:tcPr>
            <w:tcW w:w="8620" w:type="dxa"/>
            <w:vAlign w:val="bottom"/>
            <w:tcBorders>
              <w:top w:val="single" w:sz="8" w:color="0000FF"/>
              <w:bottom w:val="single" w:sz="8" w:color="0000FF"/>
            </w:tcBorders>
            <w:gridSpan w:val="13"/>
          </w:tcPr>
          <w:p>
            <w:pPr>
              <w:spacing w:after="0" w:line="154" w:lineRule="exact"/>
              <w:rPr>
                <w:rFonts w:ascii="Times New Roman" w:cs="Times New Roman" w:eastAsia="Times New Roman" w:hAnsi="Times New Roman"/>
                <w:sz w:val="17"/>
                <w:szCs w:val="17"/>
                <w:color w:val="0000FF"/>
              </w:rPr>
            </w:pPr>
            <w:hyperlink r:id="rId207">
              <w:r>
                <w:rPr>
                  <w:rFonts w:ascii="Times New Roman" w:cs="Times New Roman" w:eastAsia="Times New Roman" w:hAnsi="Times New Roman"/>
                  <w:sz w:val="17"/>
                  <w:szCs w:val="17"/>
                  <w:color w:val="0000FF"/>
                </w:rPr>
                <w:t>reference to Exhibit 10.02 to Form 10-Q for the quarter ended September 30, 2023. File Nos. 001-37976 and 001-07850.</w:t>
              </w:r>
            </w:hyperlink>
          </w:p>
        </w:tc>
        <w:tc>
          <w:tcPr>
            <w:tcW w:w="400" w:type="dxa"/>
            <w:vAlign w:val="bottom"/>
            <w:tcBorders>
              <w:top w:val="single" w:sz="8" w:color="0000FF"/>
            </w:tcBorders>
            <w:gridSpan w:val="16"/>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74"/>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10.39</w:t>
            </w:r>
          </w:p>
        </w:tc>
        <w:tc>
          <w:tcPr>
            <w:tcW w:w="9160" w:type="dxa"/>
            <w:vAlign w:val="bottom"/>
            <w:gridSpan w:val="36"/>
          </w:tcPr>
          <w:p>
            <w:pPr>
              <w:spacing w:after="0"/>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Amendment No. 3 to Second Amended and Restated Centuri Credit Agreement. Incorporated herein by reference to</w:t>
              </w:r>
            </w:hyperlink>
          </w:p>
        </w:tc>
      </w:tr>
      <w:tr>
        <w:trPr>
          <w:trHeight w:val="154"/>
        </w:trPr>
        <w:tc>
          <w:tcPr>
            <w:tcW w:w="2460" w:type="dxa"/>
            <w:vAlign w:val="bottom"/>
          </w:tcPr>
          <w:p>
            <w:pPr>
              <w:spacing w:after="0"/>
              <w:rPr>
                <w:sz w:val="13"/>
                <w:szCs w:val="13"/>
                <w:color w:val="auto"/>
              </w:rPr>
            </w:pPr>
          </w:p>
        </w:tc>
        <w:tc>
          <w:tcPr>
            <w:tcW w:w="5240" w:type="dxa"/>
            <w:vAlign w:val="bottom"/>
            <w:tcBorders>
              <w:top w:val="single" w:sz="8" w:color="0000FF"/>
              <w:bottom w:val="single" w:sz="8" w:color="0000FF"/>
            </w:tcBorders>
            <w:gridSpan w:val="7"/>
          </w:tcPr>
          <w:p>
            <w:pPr>
              <w:spacing w:after="0" w:line="154" w:lineRule="exact"/>
              <w:rPr>
                <w:rFonts w:ascii="Times New Roman" w:cs="Times New Roman" w:eastAsia="Times New Roman" w:hAnsi="Times New Roman"/>
                <w:sz w:val="17"/>
                <w:szCs w:val="17"/>
                <w:color w:val="0000FF"/>
              </w:rPr>
            </w:pPr>
            <w:hyperlink r:id="rId208">
              <w:r>
                <w:rPr>
                  <w:rFonts w:ascii="Times New Roman" w:cs="Times New Roman" w:eastAsia="Times New Roman" w:hAnsi="Times New Roman"/>
                  <w:sz w:val="17"/>
                  <w:szCs w:val="17"/>
                  <w:color w:val="0000FF"/>
                </w:rPr>
                <w:t>Exhibit 10.1 to Form 8-K dated November 13, 2023, File No. 001-37976.</w:t>
              </w:r>
            </w:hyperlink>
          </w:p>
        </w:tc>
        <w:tc>
          <w:tcPr>
            <w:tcW w:w="3820" w:type="dxa"/>
            <w:vAlign w:val="bottom"/>
            <w:tcBorders>
              <w:top w:val="single" w:sz="8" w:color="0000FF"/>
            </w:tcBorders>
            <w:gridSpan w:val="24"/>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74"/>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10.40*</w:t>
            </w:r>
          </w:p>
        </w:tc>
        <w:tc>
          <w:tcPr>
            <w:tcW w:w="9160" w:type="dxa"/>
            <w:vAlign w:val="bottom"/>
            <w:gridSpan w:val="36"/>
          </w:tcPr>
          <w:p>
            <w:pPr>
              <w:spacing w:after="0"/>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Transition and Separation Letter, dated as of December 13, 2023, by and between Southwest Gas Holdings, Inc. and Paul</w:t>
              </w:r>
            </w:hyperlink>
          </w:p>
        </w:tc>
      </w:tr>
      <w:tr>
        <w:trPr>
          <w:trHeight w:val="154"/>
        </w:trPr>
        <w:tc>
          <w:tcPr>
            <w:tcW w:w="2460" w:type="dxa"/>
            <w:vAlign w:val="bottom"/>
          </w:tcPr>
          <w:p>
            <w:pPr>
              <w:spacing w:after="0"/>
              <w:rPr>
                <w:sz w:val="13"/>
                <w:szCs w:val="13"/>
                <w:color w:val="auto"/>
              </w:rPr>
            </w:pPr>
          </w:p>
        </w:tc>
        <w:tc>
          <w:tcPr>
            <w:tcW w:w="8500" w:type="dxa"/>
            <w:vAlign w:val="bottom"/>
            <w:tcBorders>
              <w:top w:val="single" w:sz="8" w:color="0000FF"/>
              <w:bottom w:val="single" w:sz="8" w:color="0000FF"/>
            </w:tcBorders>
            <w:gridSpan w:val="12"/>
          </w:tcPr>
          <w:p>
            <w:pPr>
              <w:spacing w:after="0" w:line="154" w:lineRule="exact"/>
              <w:rPr>
                <w:rFonts w:ascii="Times New Roman" w:cs="Times New Roman" w:eastAsia="Times New Roman" w:hAnsi="Times New Roman"/>
                <w:sz w:val="17"/>
                <w:szCs w:val="17"/>
                <w:color w:val="0000FF"/>
              </w:rPr>
            </w:pPr>
            <w:hyperlink r:id="rId209">
              <w:r>
                <w:rPr>
                  <w:rFonts w:ascii="Times New Roman" w:cs="Times New Roman" w:eastAsia="Times New Roman" w:hAnsi="Times New Roman"/>
                  <w:sz w:val="17"/>
                  <w:szCs w:val="17"/>
                  <w:color w:val="0000FF"/>
                </w:rPr>
                <w:t>M. Daily. Incorporated herein by reference to Exhibit 10.1 to Form 8-K dated December 13, 2023, File No. 001-37976.</w:t>
              </w:r>
            </w:hyperlink>
          </w:p>
        </w:tc>
        <w:tc>
          <w:tcPr>
            <w:tcW w:w="64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r>
      <w:tr>
        <w:trPr>
          <w:trHeight w:val="274"/>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9160" w:type="dxa"/>
            <w:vAlign w:val="bottom"/>
            <w:gridSpan w:val="36"/>
          </w:tcPr>
          <w:p>
            <w:pPr>
              <w:spacing w:after="0"/>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Amendment No.4 to Second Amended and Restated Centuri Credit Agreement. Incorporated herein by reference to</w:t>
              </w:r>
            </w:hyperlink>
          </w:p>
        </w:tc>
      </w:tr>
      <w:tr>
        <w:trPr>
          <w:trHeight w:val="154"/>
        </w:trPr>
        <w:tc>
          <w:tcPr>
            <w:tcW w:w="2460" w:type="dxa"/>
            <w:vAlign w:val="bottom"/>
          </w:tcPr>
          <w:p>
            <w:pPr>
              <w:spacing w:after="0"/>
              <w:rPr>
                <w:sz w:val="13"/>
                <w:szCs w:val="13"/>
                <w:color w:val="auto"/>
              </w:rPr>
            </w:pPr>
          </w:p>
        </w:tc>
        <w:tc>
          <w:tcPr>
            <w:tcW w:w="4960" w:type="dxa"/>
            <w:vAlign w:val="bottom"/>
            <w:tcBorders>
              <w:top w:val="single" w:sz="8" w:color="0000FF"/>
              <w:bottom w:val="single" w:sz="8" w:color="0000FF"/>
            </w:tcBorders>
            <w:gridSpan w:val="6"/>
          </w:tcPr>
          <w:p>
            <w:pPr>
              <w:spacing w:after="0" w:line="154" w:lineRule="exact"/>
              <w:rPr>
                <w:rFonts w:ascii="Times New Roman" w:cs="Times New Roman" w:eastAsia="Times New Roman" w:hAnsi="Times New Roman"/>
                <w:sz w:val="17"/>
                <w:szCs w:val="17"/>
                <w:color w:val="0000FF"/>
              </w:rPr>
            </w:pPr>
            <w:hyperlink r:id="rId210">
              <w:r>
                <w:rPr>
                  <w:rFonts w:ascii="Times New Roman" w:cs="Times New Roman" w:eastAsia="Times New Roman" w:hAnsi="Times New Roman"/>
                  <w:sz w:val="17"/>
                  <w:szCs w:val="17"/>
                  <w:color w:val="0000FF"/>
                </w:rPr>
                <w:t>Exhibit 10.1 to Form 8-K dated March 22, 2024. File No. 001-37976.</w:t>
              </w:r>
            </w:hyperlink>
          </w:p>
        </w:tc>
        <w:tc>
          <w:tcPr>
            <w:tcW w:w="3920" w:type="dxa"/>
            <w:vAlign w:val="bottom"/>
            <w:tcBorders>
              <w:top w:val="single" w:sz="8" w:color="0000FF"/>
            </w:tcBorders>
            <w:gridSpan w:val="16"/>
          </w:tcPr>
          <w:p>
            <w:pPr>
              <w:spacing w:after="0"/>
              <w:rPr>
                <w:sz w:val="13"/>
                <w:szCs w:val="13"/>
                <w:color w:val="auto"/>
              </w:rPr>
            </w:pPr>
          </w:p>
        </w:tc>
        <w:tc>
          <w:tcPr>
            <w:tcW w:w="280" w:type="dxa"/>
            <w:vAlign w:val="bottom"/>
            <w:gridSpan w:val="14"/>
          </w:tcPr>
          <w:p>
            <w:pPr>
              <w:spacing w:after="0"/>
              <w:rPr>
                <w:sz w:val="13"/>
                <w:szCs w:val="13"/>
                <w:color w:val="auto"/>
              </w:rPr>
            </w:pPr>
          </w:p>
        </w:tc>
      </w:tr>
      <w:tr>
        <w:trPr>
          <w:trHeight w:val="276"/>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10.42**</w:t>
            </w:r>
          </w:p>
        </w:tc>
        <w:tc>
          <w:tcPr>
            <w:tcW w:w="9160" w:type="dxa"/>
            <w:vAlign w:val="bottom"/>
            <w:gridSpan w:val="36"/>
          </w:tcPr>
          <w:p>
            <w:pPr>
              <w:spacing w:after="0"/>
              <w:rPr>
                <w:sz w:val="20"/>
                <w:szCs w:val="20"/>
                <w:color w:val="auto"/>
              </w:rPr>
            </w:pPr>
            <w:r>
              <w:rPr>
                <w:rFonts w:ascii="Times New Roman" w:cs="Times New Roman" w:eastAsia="Times New Roman" w:hAnsi="Times New Roman"/>
                <w:sz w:val="18"/>
                <w:szCs w:val="18"/>
                <w:u w:val="single" w:color="auto"/>
                <w:color w:val="0000FF"/>
              </w:rPr>
              <w:t>Amendment No. 5 to Second Amended and Restated Credit Agreement, dated as of May 13, 2024, among Centuri Group,</w:t>
            </w:r>
          </w:p>
        </w:tc>
      </w:tr>
    </w:tbl>
    <w:p>
      <w:pPr>
        <w:ind w:left="2460"/>
        <w:spacing w:after="0" w:line="231" w:lineRule="auto"/>
        <w:rPr>
          <w:sz w:val="20"/>
          <w:szCs w:val="20"/>
          <w:color w:val="auto"/>
        </w:rPr>
      </w:pPr>
      <w:r>
        <w:rPr>
          <w:rFonts w:ascii="Times New Roman" w:cs="Times New Roman" w:eastAsia="Times New Roman" w:hAnsi="Times New Roman"/>
          <w:sz w:val="18"/>
          <w:szCs w:val="18"/>
          <w:u w:val="single" w:color="auto"/>
          <w:color w:val="0000FF"/>
        </w:rPr>
        <w:t>Inc., Centuri Canada Division Inc., the lenders party thereto, Wells Fargo Bank, National Association, as administrative agent, and the other parties named therein.</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130810</wp:posOffset>
            </wp:positionV>
            <wp:extent cx="71589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40" w:top="1163" w:right="35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07"/>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10.43</w:t>
            </w:r>
          </w:p>
        </w:tc>
        <w:tc>
          <w:tcPr>
            <w:tcW w:w="9200" w:type="dxa"/>
            <w:vAlign w:val="bottom"/>
            <w:gridSpan w:val="39"/>
          </w:tcPr>
          <w:p>
            <w:pPr>
              <w:spacing w:after="0"/>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Separation Agreement, dated as of April 11, 2024, by and between Southwest Gas Holdings, Inc. and Centuri Holdings,</w:t>
              </w:r>
            </w:hyperlink>
          </w:p>
        </w:tc>
      </w:tr>
      <w:tr>
        <w:trPr>
          <w:trHeight w:val="154"/>
        </w:trPr>
        <w:tc>
          <w:tcPr>
            <w:tcW w:w="2480" w:type="dxa"/>
            <w:vAlign w:val="bottom"/>
          </w:tcPr>
          <w:p>
            <w:pPr>
              <w:spacing w:after="0"/>
              <w:rPr>
                <w:sz w:val="13"/>
                <w:szCs w:val="13"/>
                <w:color w:val="auto"/>
              </w:rPr>
            </w:pPr>
          </w:p>
        </w:tc>
        <w:tc>
          <w:tcPr>
            <w:tcW w:w="7740" w:type="dxa"/>
            <w:vAlign w:val="bottom"/>
            <w:tcBorders>
              <w:top w:val="single" w:sz="8" w:color="0000FF"/>
              <w:bottom w:val="single" w:sz="8" w:color="0000FF"/>
            </w:tcBorders>
            <w:gridSpan w:val="14"/>
          </w:tcPr>
          <w:p>
            <w:pPr>
              <w:spacing w:after="0" w:line="154" w:lineRule="exact"/>
              <w:rPr>
                <w:rFonts w:ascii="Times New Roman" w:cs="Times New Roman" w:eastAsia="Times New Roman" w:hAnsi="Times New Roman"/>
                <w:sz w:val="17"/>
                <w:szCs w:val="17"/>
                <w:color w:val="0000FF"/>
              </w:rPr>
            </w:pPr>
            <w:hyperlink r:id="rId212">
              <w:r>
                <w:rPr>
                  <w:rFonts w:ascii="Times New Roman" w:cs="Times New Roman" w:eastAsia="Times New Roman" w:hAnsi="Times New Roman"/>
                  <w:sz w:val="17"/>
                  <w:szCs w:val="17"/>
                  <w:color w:val="0000FF"/>
                </w:rPr>
                <w:t>Inc. Incorporated herein by reference to Exhibit 10.1 to Form 8-K dated April 11, 2024. File No. 001-37976.</w:t>
              </w:r>
            </w:hyperlink>
          </w:p>
        </w:tc>
        <w:tc>
          <w:tcPr>
            <w:tcW w:w="124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4"/>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10.44</w:t>
            </w:r>
          </w:p>
        </w:tc>
        <w:tc>
          <w:tcPr>
            <w:tcW w:w="9200" w:type="dxa"/>
            <w:vAlign w:val="bottom"/>
            <w:gridSpan w:val="39"/>
          </w:tcPr>
          <w:p>
            <w:pPr>
              <w:spacing w:after="0"/>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Tax Matters Agreement, dated as of April 11, 2024, by and between Southwest Gas Holdings, Inc. and Centuri Holdings,</w:t>
              </w:r>
            </w:hyperlink>
          </w:p>
        </w:tc>
      </w:tr>
      <w:tr>
        <w:trPr>
          <w:trHeight w:val="154"/>
        </w:trPr>
        <w:tc>
          <w:tcPr>
            <w:tcW w:w="2480" w:type="dxa"/>
            <w:vAlign w:val="bottom"/>
          </w:tcPr>
          <w:p>
            <w:pPr>
              <w:spacing w:after="0"/>
              <w:rPr>
                <w:sz w:val="13"/>
                <w:szCs w:val="13"/>
                <w:color w:val="auto"/>
              </w:rPr>
            </w:pPr>
          </w:p>
        </w:tc>
        <w:tc>
          <w:tcPr>
            <w:tcW w:w="7740" w:type="dxa"/>
            <w:vAlign w:val="bottom"/>
            <w:tcBorders>
              <w:top w:val="single" w:sz="8" w:color="0000FF"/>
              <w:bottom w:val="single" w:sz="8" w:color="0000FF"/>
            </w:tcBorders>
            <w:gridSpan w:val="14"/>
          </w:tcPr>
          <w:p>
            <w:pPr>
              <w:spacing w:after="0" w:line="154" w:lineRule="exact"/>
              <w:rPr>
                <w:rFonts w:ascii="Times New Roman" w:cs="Times New Roman" w:eastAsia="Times New Roman" w:hAnsi="Times New Roman"/>
                <w:sz w:val="17"/>
                <w:szCs w:val="17"/>
                <w:color w:val="0000FF"/>
              </w:rPr>
            </w:pPr>
            <w:hyperlink r:id="rId213">
              <w:r>
                <w:rPr>
                  <w:rFonts w:ascii="Times New Roman" w:cs="Times New Roman" w:eastAsia="Times New Roman" w:hAnsi="Times New Roman"/>
                  <w:sz w:val="17"/>
                  <w:szCs w:val="17"/>
                  <w:color w:val="0000FF"/>
                </w:rPr>
                <w:t>Inc. Incorporated herein by reference to Exhibit 10.2 to Form 8-K dated April 11, 2024. File No. 001-37976.</w:t>
              </w:r>
            </w:hyperlink>
          </w:p>
        </w:tc>
        <w:tc>
          <w:tcPr>
            <w:tcW w:w="112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4"/>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10.45</w:t>
            </w:r>
          </w:p>
        </w:tc>
        <w:tc>
          <w:tcPr>
            <w:tcW w:w="9200" w:type="dxa"/>
            <w:vAlign w:val="bottom"/>
            <w:gridSpan w:val="39"/>
          </w:tcPr>
          <w:p>
            <w:pPr>
              <w:spacing w:after="0"/>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Registration Rights Agreement, dated as of April 11, 2024, by and between Southwest Gas Holdings, Inc. and Centuri</w:t>
              </w:r>
            </w:hyperlink>
          </w:p>
        </w:tc>
      </w:tr>
      <w:tr>
        <w:trPr>
          <w:trHeight w:val="154"/>
        </w:trPr>
        <w:tc>
          <w:tcPr>
            <w:tcW w:w="2480" w:type="dxa"/>
            <w:vAlign w:val="bottom"/>
          </w:tcPr>
          <w:p>
            <w:pPr>
              <w:spacing w:after="0"/>
              <w:rPr>
                <w:sz w:val="13"/>
                <w:szCs w:val="13"/>
                <w:color w:val="auto"/>
              </w:rPr>
            </w:pPr>
          </w:p>
        </w:tc>
        <w:tc>
          <w:tcPr>
            <w:tcW w:w="8480" w:type="dxa"/>
            <w:vAlign w:val="bottom"/>
            <w:tcBorders>
              <w:top w:val="single" w:sz="8" w:color="0000FF"/>
              <w:bottom w:val="single" w:sz="8" w:color="0000FF"/>
            </w:tcBorders>
            <w:gridSpan w:val="15"/>
          </w:tcPr>
          <w:p>
            <w:pPr>
              <w:spacing w:after="0" w:line="154" w:lineRule="exact"/>
              <w:rPr>
                <w:rFonts w:ascii="Times New Roman" w:cs="Times New Roman" w:eastAsia="Times New Roman" w:hAnsi="Times New Roman"/>
                <w:sz w:val="17"/>
                <w:szCs w:val="17"/>
                <w:color w:val="0000FF"/>
              </w:rPr>
            </w:pPr>
            <w:hyperlink r:id="rId214">
              <w:r>
                <w:rPr>
                  <w:rFonts w:ascii="Times New Roman" w:cs="Times New Roman" w:eastAsia="Times New Roman" w:hAnsi="Times New Roman"/>
                  <w:sz w:val="17"/>
                  <w:szCs w:val="17"/>
                  <w:color w:val="0000FF"/>
                </w:rPr>
                <w:t>Holdings, Inc. Incorporated herein by reference to Exhibit 10.3 to Form 8-K dated April 11, 2024. File No. 001-37976.</w:t>
              </w:r>
            </w:hyperlink>
          </w:p>
        </w:tc>
        <w:tc>
          <w:tcPr>
            <w:tcW w:w="34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4"/>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10.46*</w:t>
            </w:r>
          </w:p>
        </w:tc>
        <w:tc>
          <w:tcPr>
            <w:tcW w:w="9200" w:type="dxa"/>
            <w:vAlign w:val="bottom"/>
            <w:gridSpan w:val="39"/>
          </w:tcPr>
          <w:p>
            <w:pPr>
              <w:spacing w:after="0"/>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Form of Restricted Stock Unit Award Agreement under the Southwest Gas Holdings, Inc. 2024 Omnibus Incentive Plan.</w:t>
              </w:r>
            </w:hyperlink>
          </w:p>
        </w:tc>
      </w:tr>
      <w:tr>
        <w:trPr>
          <w:trHeight w:val="154"/>
        </w:trPr>
        <w:tc>
          <w:tcPr>
            <w:tcW w:w="2480" w:type="dxa"/>
            <w:vAlign w:val="bottom"/>
          </w:tcPr>
          <w:p>
            <w:pPr>
              <w:spacing w:after="0"/>
              <w:rPr>
                <w:sz w:val="13"/>
                <w:szCs w:val="13"/>
                <w:color w:val="auto"/>
              </w:rPr>
            </w:pPr>
          </w:p>
        </w:tc>
        <w:tc>
          <w:tcPr>
            <w:tcW w:w="9120" w:type="dxa"/>
            <w:vAlign w:val="bottom"/>
            <w:tcBorders>
              <w:top w:val="single" w:sz="8" w:color="0000FF"/>
            </w:tcBorders>
            <w:gridSpan w:val="35"/>
          </w:tcPr>
          <w:p>
            <w:pPr>
              <w:spacing w:after="0" w:line="154" w:lineRule="exact"/>
              <w:rPr>
                <w:rFonts w:ascii="Times New Roman" w:cs="Times New Roman" w:eastAsia="Times New Roman" w:hAnsi="Times New Roman"/>
                <w:sz w:val="17"/>
                <w:szCs w:val="17"/>
                <w:color w:val="0000FF"/>
              </w:rPr>
            </w:pPr>
            <w:hyperlink r:id="rId215">
              <w:r>
                <w:rPr>
                  <w:rFonts w:ascii="Times New Roman" w:cs="Times New Roman" w:eastAsia="Times New Roman" w:hAnsi="Times New Roman"/>
                  <w:sz w:val="17"/>
                  <w:szCs w:val="17"/>
                  <w:color w:val="0000FF"/>
                </w:rPr>
                <w:t>Incorporated herein by reference to Exhibit 10.1 to Form 8-K dated May 2, 2024. File No. 001-37976.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4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4"/>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10.47*</w:t>
            </w:r>
          </w:p>
        </w:tc>
        <w:tc>
          <w:tcPr>
            <w:tcW w:w="9200" w:type="dxa"/>
            <w:vAlign w:val="bottom"/>
            <w:gridSpan w:val="39"/>
          </w:tcPr>
          <w:p>
            <w:pPr>
              <w:spacing w:after="0"/>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Form of Performance Stock Unit Award Agreement (EPS and ROE) under the Southwest Gas Holdings, Inc. 2024</w:t>
              </w:r>
            </w:hyperlink>
          </w:p>
        </w:tc>
      </w:tr>
      <w:tr>
        <w:trPr>
          <w:trHeight w:val="154"/>
        </w:trPr>
        <w:tc>
          <w:tcPr>
            <w:tcW w:w="2480" w:type="dxa"/>
            <w:vAlign w:val="bottom"/>
          </w:tcPr>
          <w:p>
            <w:pPr>
              <w:spacing w:after="0"/>
              <w:rPr>
                <w:sz w:val="13"/>
                <w:szCs w:val="13"/>
                <w:color w:val="auto"/>
              </w:rPr>
            </w:pPr>
          </w:p>
        </w:tc>
        <w:tc>
          <w:tcPr>
            <w:tcW w:w="8840" w:type="dxa"/>
            <w:vAlign w:val="bottom"/>
            <w:tcBorders>
              <w:top w:val="single" w:sz="8" w:color="0000FF"/>
              <w:bottom w:val="single" w:sz="8" w:color="0000FF"/>
            </w:tcBorders>
            <w:gridSpan w:val="21"/>
          </w:tcPr>
          <w:p>
            <w:pPr>
              <w:spacing w:after="0" w:line="154" w:lineRule="exact"/>
              <w:rPr>
                <w:rFonts w:ascii="Times New Roman" w:cs="Times New Roman" w:eastAsia="Times New Roman" w:hAnsi="Times New Roman"/>
                <w:sz w:val="17"/>
                <w:szCs w:val="17"/>
                <w:color w:val="0000FF"/>
              </w:rPr>
            </w:pPr>
            <w:hyperlink r:id="rId216">
              <w:r>
                <w:rPr>
                  <w:rFonts w:ascii="Times New Roman" w:cs="Times New Roman" w:eastAsia="Times New Roman" w:hAnsi="Times New Roman"/>
                  <w:sz w:val="17"/>
                  <w:szCs w:val="17"/>
                  <w:color w:val="0000FF"/>
                </w:rPr>
                <w:t>Omnibus Incentive Plan. Incorporated herein by reference to Exhibit 10.2 to Form 8-K dated May 2, 2024. File No. 001-</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2480" w:type="dxa"/>
            <w:vAlign w:val="bottom"/>
          </w:tcPr>
          <w:p>
            <w:pPr>
              <w:spacing w:after="0"/>
              <w:rPr>
                <w:sz w:val="14"/>
                <w:szCs w:val="14"/>
                <w:color w:val="auto"/>
              </w:rPr>
            </w:pPr>
          </w:p>
        </w:tc>
        <w:tc>
          <w:tcPr>
            <w:tcW w:w="480" w:type="dxa"/>
            <w:vAlign w:val="bottom"/>
            <w:tcBorders>
              <w:bottom w:val="single" w:sz="8" w:color="0000FF"/>
            </w:tcBorders>
            <w:gridSpan w:val="4"/>
          </w:tcPr>
          <w:p>
            <w:pPr>
              <w:spacing w:after="0" w:line="167" w:lineRule="exact"/>
              <w:rPr>
                <w:rFonts w:ascii="Times New Roman" w:cs="Times New Roman" w:eastAsia="Times New Roman" w:hAnsi="Times New Roman"/>
                <w:sz w:val="18"/>
                <w:szCs w:val="18"/>
                <w:color w:val="0000FF"/>
                <w:w w:val="92"/>
              </w:rPr>
            </w:pPr>
            <w:hyperlink r:id="rId216">
              <w:r>
                <w:rPr>
                  <w:rFonts w:ascii="Times New Roman" w:cs="Times New Roman" w:eastAsia="Times New Roman" w:hAnsi="Times New Roman"/>
                  <w:sz w:val="18"/>
                  <w:szCs w:val="18"/>
                  <w:color w:val="0000FF"/>
                  <w:w w:val="92"/>
                </w:rPr>
                <w:t>37976.</w:t>
              </w:r>
            </w:hyperlink>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1"/>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10.48*</w:t>
            </w:r>
          </w:p>
        </w:tc>
        <w:tc>
          <w:tcPr>
            <w:tcW w:w="9200" w:type="dxa"/>
            <w:vAlign w:val="bottom"/>
            <w:gridSpan w:val="39"/>
          </w:tcPr>
          <w:p>
            <w:pPr>
              <w:spacing w:after="0"/>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Form of Performance Stock Unit Award Agreement (UNI and ROE) under the Southwest Gas Holdings, Inc. 2024</w:t>
              </w:r>
            </w:hyperlink>
          </w:p>
        </w:tc>
      </w:tr>
      <w:tr>
        <w:trPr>
          <w:trHeight w:val="154"/>
        </w:trPr>
        <w:tc>
          <w:tcPr>
            <w:tcW w:w="2480" w:type="dxa"/>
            <w:vAlign w:val="bottom"/>
          </w:tcPr>
          <w:p>
            <w:pPr>
              <w:spacing w:after="0"/>
              <w:rPr>
                <w:sz w:val="13"/>
                <w:szCs w:val="13"/>
                <w:color w:val="auto"/>
              </w:rPr>
            </w:pPr>
          </w:p>
        </w:tc>
        <w:tc>
          <w:tcPr>
            <w:tcW w:w="9140" w:type="dxa"/>
            <w:vAlign w:val="bottom"/>
            <w:tcBorders>
              <w:top w:val="single" w:sz="8" w:color="0000FF"/>
            </w:tcBorders>
            <w:gridSpan w:val="36"/>
          </w:tcPr>
          <w:p>
            <w:pPr>
              <w:spacing w:after="0" w:line="154" w:lineRule="exact"/>
              <w:rPr>
                <w:rFonts w:ascii="Times New Roman" w:cs="Times New Roman" w:eastAsia="Times New Roman" w:hAnsi="Times New Roman"/>
                <w:sz w:val="17"/>
                <w:szCs w:val="17"/>
                <w:color w:val="0000FF"/>
              </w:rPr>
            </w:pPr>
            <w:hyperlink r:id="rId217">
              <w:r>
                <w:rPr>
                  <w:rFonts w:ascii="Times New Roman" w:cs="Times New Roman" w:eastAsia="Times New Roman" w:hAnsi="Times New Roman"/>
                  <w:sz w:val="17"/>
                  <w:szCs w:val="17"/>
                  <w:color w:val="0000FF"/>
                </w:rPr>
                <w:t>Omnibus Incentive Plan. Incorporated herein by reference to Exhibit 10.3 to Form 8-K dated May 2, 2024. File No. 001-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2480" w:type="dxa"/>
            <w:vAlign w:val="bottom"/>
          </w:tcPr>
          <w:p>
            <w:pPr>
              <w:spacing w:after="0"/>
              <w:rPr>
                <w:sz w:val="14"/>
                <w:szCs w:val="14"/>
                <w:color w:val="auto"/>
              </w:rPr>
            </w:pPr>
          </w:p>
        </w:tc>
        <w:tc>
          <w:tcPr>
            <w:tcW w:w="480" w:type="dxa"/>
            <w:vAlign w:val="bottom"/>
            <w:tcBorders>
              <w:top w:val="single" w:sz="8" w:color="0000FF"/>
              <w:bottom w:val="single" w:sz="8" w:color="0000FF"/>
            </w:tcBorders>
            <w:gridSpan w:val="4"/>
          </w:tcPr>
          <w:p>
            <w:pPr>
              <w:spacing w:after="0" w:line="167" w:lineRule="exact"/>
              <w:rPr>
                <w:rFonts w:ascii="Times New Roman" w:cs="Times New Roman" w:eastAsia="Times New Roman" w:hAnsi="Times New Roman"/>
                <w:sz w:val="18"/>
                <w:szCs w:val="18"/>
                <w:color w:val="0000FF"/>
                <w:w w:val="92"/>
              </w:rPr>
            </w:pPr>
            <w:hyperlink r:id="rId217">
              <w:r>
                <w:rPr>
                  <w:rFonts w:ascii="Times New Roman" w:cs="Times New Roman" w:eastAsia="Times New Roman" w:hAnsi="Times New Roman"/>
                  <w:sz w:val="18"/>
                  <w:szCs w:val="18"/>
                  <w:color w:val="0000FF"/>
                  <w:w w:val="92"/>
                </w:rPr>
                <w:t>37976.</w:t>
              </w:r>
            </w:hyperlink>
          </w:p>
        </w:tc>
        <w:tc>
          <w:tcPr>
            <w:tcW w:w="10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160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940" w:type="dxa"/>
            <w:vAlign w:val="bottom"/>
            <w:tcBorders>
              <w:top w:val="single" w:sz="8" w:color="0000FF"/>
            </w:tcBorders>
          </w:tcPr>
          <w:p>
            <w:pPr>
              <w:spacing w:after="0"/>
              <w:rPr>
                <w:sz w:val="14"/>
                <w:szCs w:val="14"/>
                <w:color w:val="auto"/>
              </w:rPr>
            </w:pPr>
          </w:p>
        </w:tc>
        <w:tc>
          <w:tcPr>
            <w:tcW w:w="226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7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1"/>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10.49*</w:t>
            </w:r>
          </w:p>
        </w:tc>
        <w:tc>
          <w:tcPr>
            <w:tcW w:w="9200" w:type="dxa"/>
            <w:vAlign w:val="bottom"/>
            <w:gridSpan w:val="39"/>
          </w:tcPr>
          <w:p>
            <w:pPr>
              <w:spacing w:after="0"/>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Performance Stock Unit Award Agreement with Karen S. Haller. Incorporated herein by reference to Exhibit 10.4 to Form</w:t>
              </w:r>
            </w:hyperlink>
          </w:p>
        </w:tc>
      </w:tr>
      <w:tr>
        <w:trPr>
          <w:trHeight w:val="154"/>
        </w:trPr>
        <w:tc>
          <w:tcPr>
            <w:tcW w:w="2480" w:type="dxa"/>
            <w:vAlign w:val="bottom"/>
          </w:tcPr>
          <w:p>
            <w:pPr>
              <w:spacing w:after="0"/>
              <w:rPr>
                <w:sz w:val="13"/>
                <w:szCs w:val="13"/>
                <w:color w:val="auto"/>
              </w:rPr>
            </w:pPr>
          </w:p>
        </w:tc>
        <w:tc>
          <w:tcPr>
            <w:tcW w:w="8760" w:type="dxa"/>
            <w:vAlign w:val="bottom"/>
            <w:tcBorders>
              <w:top w:val="single" w:sz="8" w:color="0000FF"/>
            </w:tcBorders>
            <w:gridSpan w:val="17"/>
          </w:tcPr>
          <w:p>
            <w:pPr>
              <w:spacing w:after="0" w:line="154" w:lineRule="exact"/>
              <w:rPr>
                <w:rFonts w:ascii="Times New Roman" w:cs="Times New Roman" w:eastAsia="Times New Roman" w:hAnsi="Times New Roman"/>
                <w:sz w:val="17"/>
                <w:szCs w:val="17"/>
                <w:color w:val="0000FF"/>
              </w:rPr>
            </w:pPr>
            <w:hyperlink r:id="rId218">
              <w:r>
                <w:rPr>
                  <w:rFonts w:ascii="Times New Roman" w:cs="Times New Roman" w:eastAsia="Times New Roman" w:hAnsi="Times New Roman"/>
                  <w:sz w:val="17"/>
                  <w:szCs w:val="17"/>
                  <w:color w:val="0000FF"/>
                </w:rPr>
                <w:t>8-K dated May 2, 2024. File No. 001-37976.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4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4"/>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10.50*</w:t>
            </w:r>
          </w:p>
        </w:tc>
        <w:tc>
          <w:tcPr>
            <w:tcW w:w="9200" w:type="dxa"/>
            <w:vAlign w:val="bottom"/>
            <w:gridSpan w:val="39"/>
          </w:tcPr>
          <w:p>
            <w:pPr>
              <w:spacing w:after="0"/>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Performance Stock Unit Award Agreement with Robert J. Stefani. Incorporated herein by reference to Exhibit 10.5 to</w:t>
              </w:r>
            </w:hyperlink>
          </w:p>
        </w:tc>
      </w:tr>
      <w:tr>
        <w:trPr>
          <w:trHeight w:val="154"/>
        </w:trPr>
        <w:tc>
          <w:tcPr>
            <w:tcW w:w="2480" w:type="dxa"/>
            <w:vAlign w:val="bottom"/>
          </w:tcPr>
          <w:p>
            <w:pPr>
              <w:spacing w:after="0"/>
              <w:rPr>
                <w:sz w:val="13"/>
                <w:szCs w:val="13"/>
                <w:color w:val="auto"/>
              </w:rPr>
            </w:pPr>
          </w:p>
        </w:tc>
        <w:tc>
          <w:tcPr>
            <w:tcW w:w="3620" w:type="dxa"/>
            <w:vAlign w:val="bottom"/>
            <w:tcBorders>
              <w:top w:val="single" w:sz="8" w:color="0000FF"/>
              <w:bottom w:val="single" w:sz="8" w:color="0000FF"/>
            </w:tcBorders>
            <w:gridSpan w:val="9"/>
          </w:tcPr>
          <w:p>
            <w:pPr>
              <w:spacing w:after="0" w:line="154" w:lineRule="exact"/>
              <w:rPr>
                <w:rFonts w:ascii="Times New Roman" w:cs="Times New Roman" w:eastAsia="Times New Roman" w:hAnsi="Times New Roman"/>
                <w:sz w:val="17"/>
                <w:szCs w:val="17"/>
                <w:color w:val="0000FF"/>
              </w:rPr>
            </w:pPr>
            <w:hyperlink r:id="rId219">
              <w:r>
                <w:rPr>
                  <w:rFonts w:ascii="Times New Roman" w:cs="Times New Roman" w:eastAsia="Times New Roman" w:hAnsi="Times New Roman"/>
                  <w:sz w:val="17"/>
                  <w:szCs w:val="17"/>
                  <w:color w:val="0000FF"/>
                </w:rPr>
                <w:t>Form 8-K dated May 2, 2024. File No. 001-37976.</w:t>
              </w:r>
            </w:hyperlink>
          </w:p>
        </w:tc>
        <w:tc>
          <w:tcPr>
            <w:tcW w:w="538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4"/>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10.51*</w:t>
            </w:r>
          </w:p>
        </w:tc>
        <w:tc>
          <w:tcPr>
            <w:tcW w:w="9200" w:type="dxa"/>
            <w:vAlign w:val="bottom"/>
            <w:gridSpan w:val="39"/>
          </w:tcPr>
          <w:p>
            <w:pPr>
              <w:spacing w:after="0"/>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Performance Stock Unit Award Agreement with Justin L. Brown. Incorporated herein by reference to Exhibit 10.6 to</w:t>
              </w:r>
            </w:hyperlink>
          </w:p>
        </w:tc>
      </w:tr>
      <w:tr>
        <w:trPr>
          <w:trHeight w:val="154"/>
        </w:trPr>
        <w:tc>
          <w:tcPr>
            <w:tcW w:w="2480" w:type="dxa"/>
            <w:vAlign w:val="bottom"/>
          </w:tcPr>
          <w:p>
            <w:pPr>
              <w:spacing w:after="0"/>
              <w:rPr>
                <w:sz w:val="13"/>
                <w:szCs w:val="13"/>
                <w:color w:val="auto"/>
              </w:rPr>
            </w:pPr>
          </w:p>
        </w:tc>
        <w:tc>
          <w:tcPr>
            <w:tcW w:w="3620" w:type="dxa"/>
            <w:vAlign w:val="bottom"/>
            <w:tcBorders>
              <w:top w:val="single" w:sz="8" w:color="0000FF"/>
              <w:bottom w:val="single" w:sz="8" w:color="0000FF"/>
            </w:tcBorders>
            <w:gridSpan w:val="9"/>
          </w:tcPr>
          <w:p>
            <w:pPr>
              <w:spacing w:after="0" w:line="154" w:lineRule="exact"/>
              <w:rPr>
                <w:rFonts w:ascii="Times New Roman" w:cs="Times New Roman" w:eastAsia="Times New Roman" w:hAnsi="Times New Roman"/>
                <w:sz w:val="17"/>
                <w:szCs w:val="17"/>
                <w:color w:val="0000FF"/>
              </w:rPr>
            </w:pPr>
            <w:hyperlink r:id="rId220">
              <w:r>
                <w:rPr>
                  <w:rFonts w:ascii="Times New Roman" w:cs="Times New Roman" w:eastAsia="Times New Roman" w:hAnsi="Times New Roman"/>
                  <w:sz w:val="17"/>
                  <w:szCs w:val="17"/>
                  <w:color w:val="0000FF"/>
                </w:rPr>
                <w:t>Form 8-K dated May 2, 2024. File No. 001-37976.</w:t>
              </w:r>
            </w:hyperlink>
          </w:p>
        </w:tc>
        <w:tc>
          <w:tcPr>
            <w:tcW w:w="544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4"/>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10.52*</w:t>
            </w:r>
          </w:p>
        </w:tc>
        <w:tc>
          <w:tcPr>
            <w:tcW w:w="9200" w:type="dxa"/>
            <w:vAlign w:val="bottom"/>
            <w:gridSpan w:val="39"/>
          </w:tcPr>
          <w:p>
            <w:pPr>
              <w:spacing w:after="0"/>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Southwest Gas Holdings, Inc. 2024 Omnibus Incentive Plan. Incorporated by reference to Exhibit 10.1 to Registration</w:t>
              </w:r>
            </w:hyperlink>
          </w:p>
        </w:tc>
      </w:tr>
      <w:tr>
        <w:trPr>
          <w:trHeight w:val="154"/>
        </w:trPr>
        <w:tc>
          <w:tcPr>
            <w:tcW w:w="2480" w:type="dxa"/>
            <w:vAlign w:val="bottom"/>
          </w:tcPr>
          <w:p>
            <w:pPr>
              <w:spacing w:after="0"/>
              <w:rPr>
                <w:sz w:val="13"/>
                <w:szCs w:val="13"/>
                <w:color w:val="auto"/>
              </w:rPr>
            </w:pPr>
          </w:p>
        </w:tc>
        <w:tc>
          <w:tcPr>
            <w:tcW w:w="8740" w:type="dxa"/>
            <w:vAlign w:val="bottom"/>
            <w:tcBorders>
              <w:top w:val="single" w:sz="8" w:color="0000FF"/>
            </w:tcBorders>
            <w:gridSpan w:val="16"/>
          </w:tcPr>
          <w:p>
            <w:pPr>
              <w:spacing w:after="0" w:line="154" w:lineRule="exact"/>
              <w:rPr>
                <w:rFonts w:ascii="Times New Roman" w:cs="Times New Roman" w:eastAsia="Times New Roman" w:hAnsi="Times New Roman"/>
                <w:sz w:val="17"/>
                <w:szCs w:val="17"/>
                <w:color w:val="0000FF"/>
              </w:rPr>
            </w:pPr>
            <w:hyperlink r:id="rId221">
              <w:r>
                <w:rPr>
                  <w:rFonts w:ascii="Times New Roman" w:cs="Times New Roman" w:eastAsia="Times New Roman" w:hAnsi="Times New Roman"/>
                  <w:sz w:val="17"/>
                  <w:szCs w:val="17"/>
                  <w:color w:val="0000FF"/>
                </w:rPr>
                <w:t>Statement on Form S-8 dated May 10, 2024. File No. 333-279320.</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4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4"/>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10.53</w:t>
            </w:r>
          </w:p>
        </w:tc>
        <w:tc>
          <w:tcPr>
            <w:tcW w:w="9200" w:type="dxa"/>
            <w:vAlign w:val="bottom"/>
            <w:gridSpan w:val="39"/>
          </w:tcPr>
          <w:p>
            <w:pPr>
              <w:spacing w:after="0"/>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Amended and Restated Term Loan Credit Agreement, dated as of August 1, 2024, by and among Southwest Gas</w:t>
              </w:r>
            </w:hyperlink>
          </w:p>
        </w:tc>
      </w:tr>
      <w:tr>
        <w:trPr>
          <w:trHeight w:val="154"/>
        </w:trPr>
        <w:tc>
          <w:tcPr>
            <w:tcW w:w="2480" w:type="dxa"/>
            <w:vAlign w:val="bottom"/>
          </w:tcPr>
          <w:p>
            <w:pPr>
              <w:spacing w:after="0"/>
              <w:rPr>
                <w:sz w:val="13"/>
                <w:szCs w:val="13"/>
                <w:color w:val="auto"/>
              </w:rPr>
            </w:pPr>
          </w:p>
        </w:tc>
        <w:tc>
          <w:tcPr>
            <w:tcW w:w="8800" w:type="dxa"/>
            <w:vAlign w:val="bottom"/>
            <w:tcBorders>
              <w:top w:val="single" w:sz="8" w:color="0000FF"/>
            </w:tcBorders>
            <w:gridSpan w:val="19"/>
          </w:tcPr>
          <w:p>
            <w:pPr>
              <w:spacing w:after="0" w:line="154" w:lineRule="exact"/>
              <w:rPr>
                <w:rFonts w:ascii="Times New Roman" w:cs="Times New Roman" w:eastAsia="Times New Roman" w:hAnsi="Times New Roman"/>
                <w:sz w:val="17"/>
                <w:szCs w:val="17"/>
                <w:color w:val="0000FF"/>
              </w:rPr>
            </w:pPr>
            <w:hyperlink r:id="rId222">
              <w:r>
                <w:rPr>
                  <w:rFonts w:ascii="Times New Roman" w:cs="Times New Roman" w:eastAsia="Times New Roman" w:hAnsi="Times New Roman"/>
                  <w:sz w:val="17"/>
                  <w:szCs w:val="17"/>
                  <w:color w:val="0000FF"/>
                </w:rPr>
                <w:t>Holdings, Inc., the lenders party thereto, JPMorgan Chase Bank, N.A., as Administrative Agent, Bank of America, N.A.</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2480" w:type="dxa"/>
            <w:vAlign w:val="bottom"/>
          </w:tcPr>
          <w:p>
            <w:pPr>
              <w:spacing w:after="0"/>
              <w:rPr>
                <w:sz w:val="14"/>
                <w:szCs w:val="14"/>
                <w:color w:val="auto"/>
              </w:rPr>
            </w:pPr>
          </w:p>
        </w:tc>
        <w:tc>
          <w:tcPr>
            <w:tcW w:w="9000" w:type="dxa"/>
            <w:vAlign w:val="bottom"/>
            <w:tcBorders>
              <w:top w:val="single" w:sz="8" w:color="0000FF"/>
            </w:tcBorders>
            <w:gridSpan w:val="29"/>
          </w:tcPr>
          <w:p>
            <w:pPr>
              <w:spacing w:after="0" w:line="167"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as Syndication Agent, JPMorgan Chase Bank, N.A., BofA Securities, Inc., Wells Fargo Bank, N.A. and U.S. Bank,</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4"/>
        </w:trPr>
        <w:tc>
          <w:tcPr>
            <w:tcW w:w="2480" w:type="dxa"/>
            <w:vAlign w:val="bottom"/>
          </w:tcPr>
          <w:p>
            <w:pPr>
              <w:spacing w:after="0"/>
              <w:rPr>
                <w:sz w:val="13"/>
                <w:szCs w:val="13"/>
                <w:color w:val="auto"/>
              </w:rPr>
            </w:pPr>
          </w:p>
        </w:tc>
        <w:tc>
          <w:tcPr>
            <w:tcW w:w="8900" w:type="dxa"/>
            <w:vAlign w:val="bottom"/>
            <w:tcBorders>
              <w:top w:val="single" w:sz="8" w:color="0000FF"/>
              <w:bottom w:val="single" w:sz="8" w:color="0000FF"/>
            </w:tcBorders>
            <w:gridSpan w:val="24"/>
          </w:tcPr>
          <w:p>
            <w:pPr>
              <w:spacing w:after="0" w:line="154" w:lineRule="exact"/>
              <w:rPr>
                <w:rFonts w:ascii="Times New Roman" w:cs="Times New Roman" w:eastAsia="Times New Roman" w:hAnsi="Times New Roman"/>
                <w:sz w:val="17"/>
                <w:szCs w:val="17"/>
                <w:color w:val="0000FF"/>
              </w:rPr>
            </w:pPr>
            <w:hyperlink r:id="rId222">
              <w:r>
                <w:rPr>
                  <w:rFonts w:ascii="Times New Roman" w:cs="Times New Roman" w:eastAsia="Times New Roman" w:hAnsi="Times New Roman"/>
                  <w:sz w:val="17"/>
                  <w:szCs w:val="17"/>
                  <w:color w:val="0000FF"/>
                </w:rPr>
                <w:t>National Association as Joint Lead Arrangers and Joint Bookrunners, and Wells Fargo Bank, N.A. and U.S. Bank,</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2480" w:type="dxa"/>
            <w:vAlign w:val="bottom"/>
          </w:tcPr>
          <w:p>
            <w:pPr>
              <w:spacing w:after="0"/>
              <w:rPr>
                <w:sz w:val="13"/>
                <w:szCs w:val="13"/>
                <w:color w:val="auto"/>
              </w:rPr>
            </w:pPr>
          </w:p>
        </w:tc>
        <w:tc>
          <w:tcPr>
            <w:tcW w:w="9180" w:type="dxa"/>
            <w:vAlign w:val="bottom"/>
            <w:gridSpan w:val="38"/>
          </w:tcPr>
          <w:p>
            <w:pPr>
              <w:spacing w:after="0" w:line="154" w:lineRule="exact"/>
              <w:rPr>
                <w:rFonts w:ascii="Times New Roman" w:cs="Times New Roman" w:eastAsia="Times New Roman" w:hAnsi="Times New Roman"/>
                <w:sz w:val="17"/>
                <w:szCs w:val="17"/>
                <w:color w:val="0000FF"/>
              </w:rPr>
            </w:pPr>
            <w:hyperlink r:id="rId222">
              <w:r>
                <w:rPr>
                  <w:rFonts w:ascii="Times New Roman" w:cs="Times New Roman" w:eastAsia="Times New Roman" w:hAnsi="Times New Roman"/>
                  <w:sz w:val="17"/>
                  <w:szCs w:val="17"/>
                  <w:color w:val="0000FF"/>
                </w:rPr>
                <w:t>National Association as Co-Documentation Agents. Incorporated herein by reference to Exhibit 10.1 to Form 8-K dated</w:t>
              </w:r>
            </w:hyperlink>
          </w:p>
        </w:tc>
        <w:tc>
          <w:tcPr>
            <w:tcW w:w="20" w:type="dxa"/>
            <w:vAlign w:val="bottom"/>
          </w:tcPr>
          <w:p>
            <w:pPr>
              <w:spacing w:after="0"/>
              <w:rPr>
                <w:sz w:val="13"/>
                <w:szCs w:val="13"/>
                <w:color w:val="auto"/>
              </w:rPr>
            </w:pPr>
          </w:p>
        </w:tc>
      </w:tr>
      <w:tr>
        <w:trPr>
          <w:trHeight w:val="167"/>
        </w:trPr>
        <w:tc>
          <w:tcPr>
            <w:tcW w:w="2480" w:type="dxa"/>
            <w:vAlign w:val="bottom"/>
          </w:tcPr>
          <w:p>
            <w:pPr>
              <w:spacing w:after="0"/>
              <w:rPr>
                <w:sz w:val="14"/>
                <w:szCs w:val="14"/>
                <w:color w:val="auto"/>
              </w:rPr>
            </w:pPr>
          </w:p>
        </w:tc>
        <w:tc>
          <w:tcPr>
            <w:tcW w:w="9100" w:type="dxa"/>
            <w:vAlign w:val="bottom"/>
            <w:tcBorders>
              <w:top w:val="single" w:sz="8" w:color="0000FF"/>
            </w:tcBorders>
            <w:gridSpan w:val="34"/>
          </w:tcPr>
          <w:p>
            <w:pPr>
              <w:spacing w:after="0" w:line="167"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August 1, 2024. File Nos. 001-37976 and 001-07850.</w:t>
              </w:r>
            </w:hyperlink>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24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1"/>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10.54</w:t>
            </w:r>
          </w:p>
        </w:tc>
        <w:tc>
          <w:tcPr>
            <w:tcW w:w="9200" w:type="dxa"/>
            <w:vAlign w:val="bottom"/>
            <w:gridSpan w:val="39"/>
          </w:tcPr>
          <w:p>
            <w:pPr>
              <w:spacing w:after="0"/>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Revolving Credit Agreement, dated as of August 1, 2024, by and among Southwest Gas Corporation, the lenders party</w:t>
              </w:r>
            </w:hyperlink>
          </w:p>
        </w:tc>
      </w:tr>
      <w:tr>
        <w:trPr>
          <w:trHeight w:val="154"/>
        </w:trPr>
        <w:tc>
          <w:tcPr>
            <w:tcW w:w="2480" w:type="dxa"/>
            <w:vAlign w:val="bottom"/>
          </w:tcPr>
          <w:p>
            <w:pPr>
              <w:spacing w:after="0"/>
              <w:rPr>
                <w:sz w:val="13"/>
                <w:szCs w:val="13"/>
                <w:color w:val="auto"/>
              </w:rPr>
            </w:pPr>
          </w:p>
        </w:tc>
        <w:tc>
          <w:tcPr>
            <w:tcW w:w="8880" w:type="dxa"/>
            <w:vAlign w:val="bottom"/>
            <w:tcBorders>
              <w:top w:val="single" w:sz="8" w:color="0000FF"/>
              <w:bottom w:val="single" w:sz="8" w:color="0000FF"/>
            </w:tcBorders>
            <w:gridSpan w:val="23"/>
          </w:tcPr>
          <w:p>
            <w:pPr>
              <w:spacing w:after="0" w:line="154" w:lineRule="exact"/>
              <w:rPr>
                <w:rFonts w:ascii="Times New Roman" w:cs="Times New Roman" w:eastAsia="Times New Roman" w:hAnsi="Times New Roman"/>
                <w:sz w:val="17"/>
                <w:szCs w:val="17"/>
                <w:color w:val="0000FF"/>
              </w:rPr>
            </w:pPr>
            <w:hyperlink r:id="rId223">
              <w:r>
                <w:rPr>
                  <w:rFonts w:ascii="Times New Roman" w:cs="Times New Roman" w:eastAsia="Times New Roman" w:hAnsi="Times New Roman"/>
                  <w:sz w:val="17"/>
                  <w:szCs w:val="17"/>
                  <w:color w:val="0000FF"/>
                </w:rPr>
                <w:t>thereto, Bank of America, N.A., as Administrative Agent, JPMorgan Chase Bank, N.A. and Wells Fargo Bank, National</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7"/>
        </w:trPr>
        <w:tc>
          <w:tcPr>
            <w:tcW w:w="2480" w:type="dxa"/>
            <w:vAlign w:val="bottom"/>
          </w:tcPr>
          <w:p>
            <w:pPr>
              <w:spacing w:after="0"/>
              <w:rPr>
                <w:sz w:val="14"/>
                <w:szCs w:val="14"/>
                <w:color w:val="auto"/>
              </w:rPr>
            </w:pPr>
          </w:p>
        </w:tc>
        <w:tc>
          <w:tcPr>
            <w:tcW w:w="9160" w:type="dxa"/>
            <w:vAlign w:val="bottom"/>
            <w:gridSpan w:val="37"/>
          </w:tcPr>
          <w:p>
            <w:pPr>
              <w:spacing w:after="0" w:line="167"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Association as Co-Syndication Agents, U.S. Bank National Association, MUFG Bank, Ltd., TD Bank, N.A., Keybank</w:t>
              </w:r>
            </w:hyperlink>
          </w:p>
        </w:tc>
        <w:tc>
          <w:tcPr>
            <w:tcW w:w="40" w:type="dxa"/>
            <w:vAlign w:val="bottom"/>
            <w:gridSpan w:val="2"/>
          </w:tcPr>
          <w:p>
            <w:pPr>
              <w:spacing w:after="0"/>
              <w:rPr>
                <w:sz w:val="14"/>
                <w:szCs w:val="14"/>
                <w:color w:val="auto"/>
              </w:rPr>
            </w:pPr>
          </w:p>
        </w:tc>
      </w:tr>
      <w:tr>
        <w:trPr>
          <w:trHeight w:val="154"/>
        </w:trPr>
        <w:tc>
          <w:tcPr>
            <w:tcW w:w="2480" w:type="dxa"/>
            <w:vAlign w:val="bottom"/>
          </w:tcPr>
          <w:p>
            <w:pPr>
              <w:spacing w:after="0"/>
              <w:rPr>
                <w:sz w:val="13"/>
                <w:szCs w:val="13"/>
                <w:color w:val="auto"/>
              </w:rPr>
            </w:pPr>
          </w:p>
        </w:tc>
        <w:tc>
          <w:tcPr>
            <w:tcW w:w="9080" w:type="dxa"/>
            <w:vAlign w:val="bottom"/>
            <w:tcBorders>
              <w:top w:val="single" w:sz="8" w:color="0000FF"/>
            </w:tcBorders>
            <w:gridSpan w:val="33"/>
          </w:tcPr>
          <w:p>
            <w:pPr>
              <w:spacing w:after="0" w:line="154" w:lineRule="exact"/>
              <w:rPr>
                <w:rFonts w:ascii="Times New Roman" w:cs="Times New Roman" w:eastAsia="Times New Roman" w:hAnsi="Times New Roman"/>
                <w:sz w:val="17"/>
                <w:szCs w:val="17"/>
                <w:color w:val="0000FF"/>
              </w:rPr>
            </w:pPr>
            <w:hyperlink r:id="rId223">
              <w:r>
                <w:rPr>
                  <w:rFonts w:ascii="Times New Roman" w:cs="Times New Roman" w:eastAsia="Times New Roman" w:hAnsi="Times New Roman"/>
                  <w:sz w:val="17"/>
                  <w:szCs w:val="17"/>
                  <w:color w:val="0000FF"/>
                </w:rPr>
                <w:t>National Association and Mizuho Bank, Ltd. as Co-Documentation Agents, and BofA Securities, Inc., JPMorgan Chase</w:t>
              </w:r>
            </w:hyperlink>
          </w:p>
        </w:tc>
        <w:tc>
          <w:tcPr>
            <w:tcW w:w="120" w:type="dxa"/>
            <w:vAlign w:val="bottom"/>
            <w:gridSpan w:val="6"/>
          </w:tcPr>
          <w:p>
            <w:pPr>
              <w:spacing w:after="0"/>
              <w:rPr>
                <w:sz w:val="13"/>
                <w:szCs w:val="13"/>
                <w:color w:val="auto"/>
              </w:rPr>
            </w:pPr>
          </w:p>
        </w:tc>
      </w:tr>
      <w:tr>
        <w:trPr>
          <w:trHeight w:val="154"/>
        </w:trPr>
        <w:tc>
          <w:tcPr>
            <w:tcW w:w="2480" w:type="dxa"/>
            <w:vAlign w:val="bottom"/>
          </w:tcPr>
          <w:p>
            <w:pPr>
              <w:spacing w:after="0"/>
              <w:rPr>
                <w:sz w:val="13"/>
                <w:szCs w:val="13"/>
                <w:color w:val="auto"/>
              </w:rPr>
            </w:pPr>
          </w:p>
        </w:tc>
        <w:tc>
          <w:tcPr>
            <w:tcW w:w="8780" w:type="dxa"/>
            <w:vAlign w:val="bottom"/>
            <w:tcBorders>
              <w:top w:val="single" w:sz="8" w:color="0000FF"/>
              <w:bottom w:val="single" w:sz="8" w:color="0000FF"/>
            </w:tcBorders>
            <w:gridSpan w:val="18"/>
          </w:tcPr>
          <w:p>
            <w:pPr>
              <w:spacing w:after="0" w:line="154" w:lineRule="exact"/>
              <w:rPr>
                <w:rFonts w:ascii="Times New Roman" w:cs="Times New Roman" w:eastAsia="Times New Roman" w:hAnsi="Times New Roman"/>
                <w:sz w:val="17"/>
                <w:szCs w:val="17"/>
                <w:color w:val="0000FF"/>
              </w:rPr>
            </w:pPr>
            <w:hyperlink r:id="rId223">
              <w:r>
                <w:rPr>
                  <w:rFonts w:ascii="Times New Roman" w:cs="Times New Roman" w:eastAsia="Times New Roman" w:hAnsi="Times New Roman"/>
                  <w:sz w:val="17"/>
                  <w:szCs w:val="17"/>
                  <w:color w:val="0000FF"/>
                </w:rPr>
                <w:t>Bank, N.A. and Wells Fargo Securities, LLC as Joint Lead Arrangers and Joint Bookrunners. Incorporated herein by</w:t>
              </w:r>
            </w:hyperlink>
          </w:p>
        </w:tc>
        <w:tc>
          <w:tcPr>
            <w:tcW w:w="140" w:type="dxa"/>
            <w:vAlign w:val="bottom"/>
            <w:tcBorders>
              <w:bottom w:val="single" w:sz="8" w:color="0000FF"/>
            </w:tcBorders>
            <w:gridSpan w:val="7"/>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167"/>
        </w:trPr>
        <w:tc>
          <w:tcPr>
            <w:tcW w:w="2480" w:type="dxa"/>
            <w:vAlign w:val="bottom"/>
          </w:tcPr>
          <w:p>
            <w:pPr>
              <w:spacing w:after="0"/>
              <w:rPr>
                <w:sz w:val="14"/>
                <w:szCs w:val="14"/>
                <w:color w:val="auto"/>
              </w:rPr>
            </w:pPr>
          </w:p>
        </w:tc>
        <w:tc>
          <w:tcPr>
            <w:tcW w:w="7000" w:type="dxa"/>
            <w:vAlign w:val="bottom"/>
            <w:tcBorders>
              <w:bottom w:val="single" w:sz="8" w:color="0000FF"/>
            </w:tcBorders>
            <w:gridSpan w:val="12"/>
          </w:tcPr>
          <w:p>
            <w:pPr>
              <w:spacing w:after="0" w:line="167" w:lineRule="exact"/>
              <w:rPr>
                <w:rFonts w:ascii="Times New Roman" w:cs="Times New Roman" w:eastAsia="Times New Roman" w:hAnsi="Times New Roman"/>
                <w:sz w:val="18"/>
                <w:szCs w:val="18"/>
                <w:color w:val="0000FF"/>
                <w:w w:val="98"/>
              </w:rPr>
            </w:pPr>
            <w:hyperlink r:id="rId223">
              <w:r>
                <w:rPr>
                  <w:rFonts w:ascii="Times New Roman" w:cs="Times New Roman" w:eastAsia="Times New Roman" w:hAnsi="Times New Roman"/>
                  <w:sz w:val="18"/>
                  <w:szCs w:val="18"/>
                  <w:color w:val="0000FF"/>
                  <w:w w:val="98"/>
                </w:rPr>
                <w:t>reference to Exhibit 10.2 to Form 8-K dated August 1, 2024. File Nos. 001-37976 and 001-07850.</w:t>
              </w:r>
            </w:hyperlink>
          </w:p>
        </w:tc>
        <w:tc>
          <w:tcPr>
            <w:tcW w:w="2020" w:type="dxa"/>
            <w:vAlign w:val="bottom"/>
            <w:gridSpan w:val="18"/>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8"/>
          </w:tcPr>
          <w:p>
            <w:pPr>
              <w:spacing w:after="0"/>
              <w:rPr>
                <w:sz w:val="14"/>
                <w:szCs w:val="14"/>
                <w:color w:val="auto"/>
              </w:rPr>
            </w:pPr>
          </w:p>
        </w:tc>
      </w:tr>
      <w:tr>
        <w:trPr>
          <w:trHeight w:val="261"/>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10.55</w:t>
            </w:r>
          </w:p>
        </w:tc>
        <w:tc>
          <w:tcPr>
            <w:tcW w:w="9200" w:type="dxa"/>
            <w:vAlign w:val="bottom"/>
            <w:gridSpan w:val="39"/>
          </w:tcPr>
          <w:p>
            <w:pPr>
              <w:spacing w:after="0"/>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Amended and Restated Cooperation Agreement, dated as of October 15, 2024, by and among the Icahn Group and</w:t>
              </w:r>
            </w:hyperlink>
          </w:p>
        </w:tc>
      </w:tr>
      <w:tr>
        <w:trPr>
          <w:trHeight w:val="154"/>
        </w:trPr>
        <w:tc>
          <w:tcPr>
            <w:tcW w:w="2480" w:type="dxa"/>
            <w:vAlign w:val="bottom"/>
          </w:tcPr>
          <w:p>
            <w:pPr>
              <w:spacing w:after="0"/>
              <w:rPr>
                <w:sz w:val="13"/>
                <w:szCs w:val="13"/>
                <w:color w:val="auto"/>
              </w:rPr>
            </w:pPr>
          </w:p>
        </w:tc>
        <w:tc>
          <w:tcPr>
            <w:tcW w:w="8960" w:type="dxa"/>
            <w:vAlign w:val="bottom"/>
            <w:tcBorders>
              <w:top w:val="single" w:sz="8" w:color="0000FF"/>
              <w:bottom w:val="single" w:sz="8" w:color="0000FF"/>
            </w:tcBorders>
            <w:gridSpan w:val="27"/>
          </w:tcPr>
          <w:p>
            <w:pPr>
              <w:spacing w:after="0" w:line="154" w:lineRule="exact"/>
              <w:rPr>
                <w:rFonts w:ascii="Times New Roman" w:cs="Times New Roman" w:eastAsia="Times New Roman" w:hAnsi="Times New Roman"/>
                <w:sz w:val="17"/>
                <w:szCs w:val="17"/>
                <w:color w:val="0000FF"/>
              </w:rPr>
            </w:pPr>
            <w:hyperlink r:id="rId224">
              <w:r>
                <w:rPr>
                  <w:rFonts w:ascii="Times New Roman" w:cs="Times New Roman" w:eastAsia="Times New Roman" w:hAnsi="Times New Roman"/>
                  <w:sz w:val="17"/>
                  <w:szCs w:val="17"/>
                  <w:color w:val="0000FF"/>
                </w:rPr>
                <w:t>Southwest Gas Holdings, Inc. Incorporated herein by reference to Exhibit 10.1 to Form 8-K dated October 15, 2024. File</w:t>
              </w:r>
            </w:hyperlink>
          </w:p>
        </w:tc>
        <w:tc>
          <w:tcPr>
            <w:tcW w:w="80" w:type="dxa"/>
            <w:vAlign w:val="bottom"/>
            <w:tcBorders>
              <w:bottom w:val="single" w:sz="8" w:color="0000FF"/>
            </w:tcBorders>
            <w:gridSpan w:val="4"/>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167"/>
        </w:trPr>
        <w:tc>
          <w:tcPr>
            <w:tcW w:w="2480" w:type="dxa"/>
            <w:vAlign w:val="bottom"/>
          </w:tcPr>
          <w:p>
            <w:pPr>
              <w:spacing w:after="0"/>
              <w:rPr>
                <w:sz w:val="14"/>
                <w:szCs w:val="14"/>
                <w:color w:val="auto"/>
              </w:rPr>
            </w:pPr>
          </w:p>
        </w:tc>
        <w:tc>
          <w:tcPr>
            <w:tcW w:w="1120" w:type="dxa"/>
            <w:vAlign w:val="bottom"/>
            <w:tcBorders>
              <w:bottom w:val="single" w:sz="8" w:color="0000FF"/>
            </w:tcBorders>
            <w:gridSpan w:val="6"/>
          </w:tcPr>
          <w:p>
            <w:pPr>
              <w:spacing w:after="0" w:line="167" w:lineRule="exact"/>
              <w:rPr>
                <w:rFonts w:ascii="Times New Roman" w:cs="Times New Roman" w:eastAsia="Times New Roman" w:hAnsi="Times New Roman"/>
                <w:sz w:val="18"/>
                <w:szCs w:val="18"/>
                <w:color w:val="0000FF"/>
                <w:w w:val="96"/>
              </w:rPr>
            </w:pPr>
            <w:hyperlink r:id="rId224">
              <w:r>
                <w:rPr>
                  <w:rFonts w:ascii="Times New Roman" w:cs="Times New Roman" w:eastAsia="Times New Roman" w:hAnsi="Times New Roman"/>
                  <w:sz w:val="18"/>
                  <w:szCs w:val="18"/>
                  <w:color w:val="0000FF"/>
                  <w:w w:val="96"/>
                </w:rPr>
                <w:t>No. 001-37976.</w:t>
              </w:r>
            </w:hyperlink>
          </w:p>
        </w:tc>
        <w:tc>
          <w:tcPr>
            <w:tcW w:w="7920" w:type="dxa"/>
            <w:vAlign w:val="bottom"/>
            <w:gridSpan w:val="25"/>
          </w:tcPr>
          <w:p>
            <w:pPr>
              <w:spacing w:after="0"/>
              <w:rPr>
                <w:sz w:val="14"/>
                <w:szCs w:val="14"/>
                <w:color w:val="auto"/>
              </w:rPr>
            </w:pPr>
          </w:p>
        </w:tc>
        <w:tc>
          <w:tcPr>
            <w:tcW w:w="160" w:type="dxa"/>
            <w:vAlign w:val="bottom"/>
            <w:gridSpan w:val="8"/>
          </w:tcPr>
          <w:p>
            <w:pPr>
              <w:spacing w:after="0"/>
              <w:rPr>
                <w:sz w:val="14"/>
                <w:szCs w:val="14"/>
                <w:color w:val="auto"/>
              </w:rPr>
            </w:pPr>
          </w:p>
        </w:tc>
      </w:tr>
      <w:tr>
        <w:trPr>
          <w:trHeight w:val="261"/>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10.56**</w:t>
            </w:r>
          </w:p>
        </w:tc>
        <w:tc>
          <w:tcPr>
            <w:tcW w:w="920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Tax Settlement Agreement dated February 24, 2025 by and between Southwest Gas Holdings, Inc. and Centuri Holdings,</w:t>
            </w:r>
          </w:p>
        </w:tc>
      </w:tr>
      <w:tr>
        <w:trPr>
          <w:trHeight w:val="154"/>
        </w:trPr>
        <w:tc>
          <w:tcPr>
            <w:tcW w:w="2480" w:type="dxa"/>
            <w:vAlign w:val="bottom"/>
          </w:tcPr>
          <w:p>
            <w:pPr>
              <w:spacing w:after="0"/>
              <w:rPr>
                <w:sz w:val="13"/>
                <w:szCs w:val="13"/>
                <w:color w:val="auto"/>
              </w:rPr>
            </w:pPr>
          </w:p>
        </w:tc>
        <w:tc>
          <w:tcPr>
            <w:tcW w:w="8920" w:type="dxa"/>
            <w:vAlign w:val="bottom"/>
            <w:tcBorders>
              <w:top w:val="single" w:sz="8" w:color="0000FF"/>
            </w:tcBorders>
            <w:gridSpan w:val="25"/>
          </w:tcPr>
          <w:p>
            <w:pPr>
              <w:spacing w:after="0" w:line="154" w:lineRule="exact"/>
              <w:rPr>
                <w:sz w:val="20"/>
                <w:szCs w:val="20"/>
                <w:color w:val="auto"/>
              </w:rPr>
            </w:pPr>
            <w:r>
              <w:rPr>
                <w:rFonts w:ascii="Times New Roman" w:cs="Times New Roman" w:eastAsia="Times New Roman" w:hAnsi="Times New Roman"/>
                <w:sz w:val="17"/>
                <w:szCs w:val="17"/>
                <w:color w:val="0000FF"/>
              </w:rPr>
              <w:t>Inc.</w:t>
            </w:r>
          </w:p>
        </w:tc>
        <w:tc>
          <w:tcPr>
            <w:tcW w:w="20" w:type="dxa"/>
            <w:vAlign w:val="bottom"/>
          </w:tcPr>
          <w:p>
            <w:pPr>
              <w:spacing w:after="0"/>
              <w:rPr>
                <w:sz w:val="13"/>
                <w:szCs w:val="13"/>
                <w:color w:val="auto"/>
              </w:rPr>
            </w:pPr>
          </w:p>
        </w:tc>
        <w:tc>
          <w:tcPr>
            <w:tcW w:w="260" w:type="dxa"/>
            <w:vAlign w:val="bottom"/>
            <w:gridSpan w:val="13"/>
          </w:tcPr>
          <w:p>
            <w:pPr>
              <w:spacing w:after="0"/>
              <w:rPr>
                <w:sz w:val="13"/>
                <w:szCs w:val="13"/>
                <w:color w:val="auto"/>
              </w:rPr>
            </w:pPr>
          </w:p>
        </w:tc>
      </w:tr>
      <w:tr>
        <w:trPr>
          <w:trHeight w:val="20"/>
        </w:trPr>
        <w:tc>
          <w:tcPr>
            <w:tcW w:w="24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320" w:type="dxa"/>
            <w:vAlign w:val="bottom"/>
            <w:gridSpan w:val="17"/>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r>
      <w:tr>
        <w:trPr>
          <w:trHeight w:val="274"/>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10.57**</w:t>
            </w:r>
          </w:p>
        </w:tc>
        <w:tc>
          <w:tcPr>
            <w:tcW w:w="920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Performance Share Unit Grant Agreement under the Southwest Gas Holdings, Inc. Omnibus Incentive Plan (EPS/ROE</w:t>
            </w:r>
          </w:p>
        </w:tc>
      </w:tr>
      <w:tr>
        <w:trPr>
          <w:trHeight w:val="154"/>
        </w:trPr>
        <w:tc>
          <w:tcPr>
            <w:tcW w:w="2480" w:type="dxa"/>
            <w:vAlign w:val="bottom"/>
          </w:tcPr>
          <w:p>
            <w:pPr>
              <w:spacing w:after="0"/>
              <w:rPr>
                <w:sz w:val="13"/>
                <w:szCs w:val="13"/>
                <w:color w:val="auto"/>
              </w:rPr>
            </w:pPr>
          </w:p>
        </w:tc>
        <w:tc>
          <w:tcPr>
            <w:tcW w:w="580" w:type="dxa"/>
            <w:vAlign w:val="bottom"/>
            <w:tcBorders>
              <w:top w:val="single" w:sz="8" w:color="0000FF"/>
              <w:bottom w:val="single" w:sz="8" w:color="0000FF"/>
            </w:tcBorders>
            <w:gridSpan w:val="5"/>
          </w:tcPr>
          <w:p>
            <w:pPr>
              <w:spacing w:after="0" w:line="154" w:lineRule="exact"/>
              <w:rPr>
                <w:sz w:val="20"/>
                <w:szCs w:val="20"/>
                <w:color w:val="auto"/>
              </w:rPr>
            </w:pPr>
            <w:r>
              <w:rPr>
                <w:rFonts w:ascii="Times New Roman" w:cs="Times New Roman" w:eastAsia="Times New Roman" w:hAnsi="Times New Roman"/>
                <w:sz w:val="17"/>
                <w:szCs w:val="17"/>
                <w:color w:val="0000FF"/>
              </w:rPr>
              <w:t>Shares).</w:t>
            </w:r>
          </w:p>
        </w:tc>
        <w:tc>
          <w:tcPr>
            <w:tcW w:w="8360" w:type="dxa"/>
            <w:vAlign w:val="bottom"/>
            <w:tcBorders>
              <w:top w:val="single" w:sz="8" w:color="0000FF"/>
            </w:tcBorders>
            <w:gridSpan w:val="21"/>
          </w:tcPr>
          <w:p>
            <w:pPr>
              <w:spacing w:after="0"/>
              <w:rPr>
                <w:sz w:val="13"/>
                <w:szCs w:val="13"/>
                <w:color w:val="auto"/>
              </w:rPr>
            </w:pPr>
          </w:p>
        </w:tc>
        <w:tc>
          <w:tcPr>
            <w:tcW w:w="260" w:type="dxa"/>
            <w:vAlign w:val="bottom"/>
            <w:gridSpan w:val="13"/>
          </w:tcPr>
          <w:p>
            <w:pPr>
              <w:spacing w:after="0"/>
              <w:rPr>
                <w:sz w:val="13"/>
                <w:szCs w:val="13"/>
                <w:color w:val="auto"/>
              </w:rPr>
            </w:pPr>
          </w:p>
        </w:tc>
      </w:tr>
      <w:tr>
        <w:trPr>
          <w:trHeight w:val="274"/>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10.58**</w:t>
            </w:r>
          </w:p>
        </w:tc>
        <w:tc>
          <w:tcPr>
            <w:tcW w:w="920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Performance Share Unit Grant Agreement under the Southwest Gas Holdings, Inc. Omnibus Incentive Plan (UNI and</w:t>
            </w:r>
          </w:p>
        </w:tc>
      </w:tr>
      <w:tr>
        <w:trPr>
          <w:trHeight w:val="154"/>
        </w:trPr>
        <w:tc>
          <w:tcPr>
            <w:tcW w:w="2480" w:type="dxa"/>
            <w:vAlign w:val="bottom"/>
          </w:tcPr>
          <w:p>
            <w:pPr>
              <w:spacing w:after="0"/>
              <w:rPr>
                <w:sz w:val="13"/>
                <w:szCs w:val="13"/>
                <w:color w:val="auto"/>
              </w:rPr>
            </w:pPr>
          </w:p>
        </w:tc>
        <w:tc>
          <w:tcPr>
            <w:tcW w:w="460" w:type="dxa"/>
            <w:vAlign w:val="bottom"/>
            <w:tcBorders>
              <w:top w:val="single" w:sz="8" w:color="0000FF"/>
              <w:bottom w:val="single" w:sz="8" w:color="0000FF"/>
            </w:tcBorders>
            <w:gridSpan w:val="3"/>
          </w:tcPr>
          <w:p>
            <w:pPr>
              <w:spacing w:after="0" w:line="154" w:lineRule="exact"/>
              <w:rPr>
                <w:sz w:val="20"/>
                <w:szCs w:val="20"/>
                <w:color w:val="auto"/>
              </w:rPr>
            </w:pPr>
            <w:r>
              <w:rPr>
                <w:rFonts w:ascii="Times New Roman" w:cs="Times New Roman" w:eastAsia="Times New Roman" w:hAnsi="Times New Roman"/>
                <w:sz w:val="17"/>
                <w:szCs w:val="17"/>
                <w:color w:val="0000FF"/>
              </w:rPr>
              <w:t>ROE).</w:t>
            </w:r>
          </w:p>
        </w:tc>
        <w:tc>
          <w:tcPr>
            <w:tcW w:w="8400" w:type="dxa"/>
            <w:vAlign w:val="bottom"/>
            <w:tcBorders>
              <w:top w:val="single" w:sz="8" w:color="0000FF"/>
            </w:tcBorders>
            <w:gridSpan w:val="19"/>
          </w:tcPr>
          <w:p>
            <w:pPr>
              <w:spacing w:after="0"/>
              <w:rPr>
                <w:sz w:val="13"/>
                <w:szCs w:val="13"/>
                <w:color w:val="auto"/>
              </w:rPr>
            </w:pPr>
          </w:p>
        </w:tc>
        <w:tc>
          <w:tcPr>
            <w:tcW w:w="340" w:type="dxa"/>
            <w:vAlign w:val="bottom"/>
            <w:gridSpan w:val="17"/>
          </w:tcPr>
          <w:p>
            <w:pPr>
              <w:spacing w:after="0"/>
              <w:rPr>
                <w:sz w:val="13"/>
                <w:szCs w:val="13"/>
                <w:color w:val="auto"/>
              </w:rPr>
            </w:pPr>
          </w:p>
        </w:tc>
      </w:tr>
      <w:tr>
        <w:trPr>
          <w:trHeight w:val="274"/>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10.59**</w:t>
            </w:r>
          </w:p>
        </w:tc>
        <w:tc>
          <w:tcPr>
            <w:tcW w:w="920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Award Agreement for Time-Lapse Restricted Stock Units under the Southwest Gas Holdings, Inc. Omnibus Incentive</w:t>
            </w:r>
          </w:p>
        </w:tc>
      </w:tr>
      <w:tr>
        <w:trPr>
          <w:trHeight w:val="154"/>
        </w:trPr>
        <w:tc>
          <w:tcPr>
            <w:tcW w:w="2480" w:type="dxa"/>
            <w:vAlign w:val="bottom"/>
          </w:tcPr>
          <w:p>
            <w:pPr>
              <w:spacing w:after="0"/>
              <w:rPr>
                <w:sz w:val="13"/>
                <w:szCs w:val="13"/>
                <w:color w:val="auto"/>
              </w:rPr>
            </w:pPr>
          </w:p>
        </w:tc>
        <w:tc>
          <w:tcPr>
            <w:tcW w:w="360" w:type="dxa"/>
            <w:vAlign w:val="bottom"/>
            <w:tcBorders>
              <w:top w:val="single" w:sz="8" w:color="0000FF"/>
              <w:bottom w:val="single" w:sz="8" w:color="0000FF"/>
            </w:tcBorders>
            <w:gridSpan w:val="2"/>
          </w:tcPr>
          <w:p>
            <w:pPr>
              <w:spacing w:after="0" w:line="154" w:lineRule="exact"/>
              <w:rPr>
                <w:sz w:val="20"/>
                <w:szCs w:val="20"/>
                <w:color w:val="auto"/>
              </w:rPr>
            </w:pPr>
            <w:r>
              <w:rPr>
                <w:rFonts w:ascii="Times New Roman" w:cs="Times New Roman" w:eastAsia="Times New Roman" w:hAnsi="Times New Roman"/>
                <w:sz w:val="17"/>
                <w:szCs w:val="17"/>
                <w:color w:val="0000FF"/>
                <w:w w:val="98"/>
              </w:rPr>
              <w:t>Plan.</w:t>
            </w:r>
          </w:p>
        </w:tc>
        <w:tc>
          <w:tcPr>
            <w:tcW w:w="8620" w:type="dxa"/>
            <w:vAlign w:val="bottom"/>
            <w:tcBorders>
              <w:top w:val="single" w:sz="8" w:color="0000FF"/>
            </w:tcBorders>
            <w:gridSpan w:val="26"/>
          </w:tcPr>
          <w:p>
            <w:pPr>
              <w:spacing w:after="0"/>
              <w:rPr>
                <w:sz w:val="13"/>
                <w:szCs w:val="13"/>
                <w:color w:val="auto"/>
              </w:rPr>
            </w:pPr>
          </w:p>
        </w:tc>
        <w:tc>
          <w:tcPr>
            <w:tcW w:w="220" w:type="dxa"/>
            <w:vAlign w:val="bottom"/>
            <w:gridSpan w:val="11"/>
          </w:tcPr>
          <w:p>
            <w:pPr>
              <w:spacing w:after="0"/>
              <w:rPr>
                <w:sz w:val="13"/>
                <w:szCs w:val="13"/>
                <w:color w:val="auto"/>
              </w:rPr>
            </w:pPr>
          </w:p>
        </w:tc>
      </w:tr>
      <w:tr>
        <w:trPr>
          <w:trHeight w:val="274"/>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19.1**</w:t>
            </w:r>
          </w:p>
        </w:tc>
        <w:tc>
          <w:tcPr>
            <w:tcW w:w="920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Insider Trading Policy</w:t>
            </w:r>
          </w:p>
        </w:tc>
      </w:tr>
      <w:tr>
        <w:trPr>
          <w:trHeight w:val="20"/>
        </w:trPr>
        <w:tc>
          <w:tcPr>
            <w:tcW w:w="2480" w:type="dxa"/>
            <w:vAlign w:val="bottom"/>
          </w:tcPr>
          <w:p>
            <w:pPr>
              <w:spacing w:after="0" w:line="20" w:lineRule="exact"/>
              <w:rPr>
                <w:sz w:val="1"/>
                <w:szCs w:val="1"/>
                <w:color w:val="auto"/>
              </w:rPr>
            </w:pPr>
          </w:p>
        </w:tc>
        <w:tc>
          <w:tcPr>
            <w:tcW w:w="1580" w:type="dxa"/>
            <w:vAlign w:val="bottom"/>
            <w:gridSpan w:val="7"/>
            <w:shd w:val="clear" w:color="auto" w:fill="0000FF"/>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580" w:type="dxa"/>
            <w:vAlign w:val="bottom"/>
            <w:gridSpan w:val="30"/>
          </w:tcPr>
          <w:p>
            <w:pPr>
              <w:spacing w:after="0" w:line="20" w:lineRule="exact"/>
              <w:rPr>
                <w:sz w:val="1"/>
                <w:szCs w:val="1"/>
                <w:color w:val="auto"/>
              </w:rPr>
            </w:pPr>
          </w:p>
        </w:tc>
      </w:tr>
      <w:tr>
        <w:trPr>
          <w:trHeight w:val="261"/>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21.01**</w:t>
            </w:r>
          </w:p>
        </w:tc>
        <w:tc>
          <w:tcPr>
            <w:tcW w:w="920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List of subsidiaries - Southwest Gas Holdings, Inc.</w:t>
            </w:r>
          </w:p>
        </w:tc>
      </w:tr>
      <w:tr>
        <w:trPr>
          <w:trHeight w:val="957"/>
        </w:trPr>
        <w:tc>
          <w:tcPr>
            <w:tcW w:w="2480" w:type="dxa"/>
            <w:vAlign w:val="bottom"/>
          </w:tcPr>
          <w:p>
            <w:pPr>
              <w:spacing w:after="0"/>
              <w:rPr>
                <w:sz w:val="24"/>
                <w:szCs w:val="24"/>
                <w:color w:val="auto"/>
              </w:rPr>
            </w:pPr>
          </w:p>
        </w:tc>
        <w:tc>
          <w:tcPr>
            <w:tcW w:w="3620" w:type="dxa"/>
            <w:vAlign w:val="bottom"/>
            <w:tcBorders>
              <w:top w:val="single" w:sz="8" w:color="0000FF"/>
            </w:tcBorders>
            <w:gridSpan w:val="9"/>
          </w:tcPr>
          <w:p>
            <w:pPr>
              <w:ind w:left="3020"/>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7"/>
        </w:trPr>
        <w:tc>
          <w:tcPr>
            <w:tcW w:w="248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54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c>
          <w:tcPr>
            <w:tcW w:w="44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22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2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110" w:name="page111"/>
    <w:bookmarkEnd w:id="110"/>
    <w:tbl>
      <w:tblPr>
        <w:tblLayout w:type="fixed"/>
        <w:tblInd w:w="20" w:type="dxa"/>
        <w:tblCellMar>
          <w:top w:w="0" w:type="dxa"/>
          <w:left w:w="0" w:type="dxa"/>
          <w:bottom w:w="0" w:type="dxa"/>
          <w:right w:w="0" w:type="dxa"/>
        </w:tblCellMar>
      </w:tblPr>
      <w:tr>
        <w:trPr>
          <w:trHeight w:val="207"/>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23.01**</w:t>
            </w:r>
          </w:p>
        </w:tc>
        <w:tc>
          <w:tcPr>
            <w:tcW w:w="87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Consent of PricewaterhouseCoopers LLP, an independent registered public accounting firm - Southwest Gas Holdings,</w:t>
            </w:r>
          </w:p>
        </w:tc>
      </w:tr>
      <w:tr>
        <w:trPr>
          <w:trHeight w:val="154"/>
        </w:trPr>
        <w:tc>
          <w:tcPr>
            <w:tcW w:w="2460" w:type="dxa"/>
            <w:vAlign w:val="bottom"/>
          </w:tcPr>
          <w:p>
            <w:pPr>
              <w:spacing w:after="0"/>
              <w:rPr>
                <w:sz w:val="13"/>
                <w:szCs w:val="13"/>
                <w:color w:val="auto"/>
              </w:rPr>
            </w:pPr>
          </w:p>
        </w:tc>
        <w:tc>
          <w:tcPr>
            <w:tcW w:w="8760" w:type="dxa"/>
            <w:vAlign w:val="bottom"/>
            <w:tcBorders>
              <w:top w:val="single" w:sz="8" w:color="0000FF"/>
            </w:tcBorders>
            <w:gridSpan w:val="7"/>
          </w:tcPr>
          <w:p>
            <w:pPr>
              <w:spacing w:after="0" w:line="154" w:lineRule="exact"/>
              <w:rPr>
                <w:sz w:val="20"/>
                <w:szCs w:val="20"/>
                <w:color w:val="auto"/>
              </w:rPr>
            </w:pPr>
            <w:r>
              <w:rPr>
                <w:rFonts w:ascii="Times New Roman" w:cs="Times New Roman" w:eastAsia="Times New Roman" w:hAnsi="Times New Roman"/>
                <w:sz w:val="17"/>
                <w:szCs w:val="17"/>
                <w:color w:val="0000FF"/>
              </w:rPr>
              <w:t>Inc.</w:t>
            </w:r>
          </w:p>
        </w:tc>
        <w:tc>
          <w:tcPr>
            <w:tcW w:w="20" w:type="dxa"/>
            <w:vAlign w:val="bottom"/>
          </w:tcPr>
          <w:p>
            <w:pPr>
              <w:spacing w:after="0"/>
              <w:rPr>
                <w:sz w:val="13"/>
                <w:szCs w:val="13"/>
                <w:color w:val="auto"/>
              </w:rPr>
            </w:pPr>
          </w:p>
        </w:tc>
      </w:tr>
      <w:tr>
        <w:trPr>
          <w:trHeight w:val="20"/>
        </w:trPr>
        <w:tc>
          <w:tcPr>
            <w:tcW w:w="24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4"/>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23.02**</w:t>
            </w:r>
          </w:p>
        </w:tc>
        <w:tc>
          <w:tcPr>
            <w:tcW w:w="86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Consent of PricewaterhouseCoopers LLP, an independent registered public accounting firm - Southwest Gas Corporation.</w:t>
            </w:r>
          </w:p>
        </w:tc>
        <w:tc>
          <w:tcPr>
            <w:tcW w:w="100" w:type="dxa"/>
            <w:vAlign w:val="bottom"/>
            <w:gridSpan w:val="3"/>
          </w:tcPr>
          <w:p>
            <w:pPr>
              <w:spacing w:after="0"/>
              <w:rPr>
                <w:sz w:val="23"/>
                <w:szCs w:val="23"/>
                <w:color w:val="auto"/>
              </w:rPr>
            </w:pPr>
          </w:p>
        </w:tc>
      </w:tr>
      <w:tr>
        <w:trPr>
          <w:trHeight w:val="261"/>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31.01**</w:t>
            </w:r>
          </w:p>
        </w:tc>
        <w:tc>
          <w:tcPr>
            <w:tcW w:w="87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Section 302 Certifications–Southwest Gas Holdings, Inc.</w:t>
            </w:r>
          </w:p>
        </w:tc>
      </w:tr>
      <w:tr>
        <w:trPr>
          <w:trHeight w:val="261"/>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31.02**</w:t>
            </w:r>
          </w:p>
        </w:tc>
        <w:tc>
          <w:tcPr>
            <w:tcW w:w="39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Section 302 Certifications–Southwest Gas Corporation.</w:t>
            </w:r>
          </w:p>
        </w:tc>
        <w:tc>
          <w:tcPr>
            <w:tcW w:w="100" w:type="dxa"/>
            <w:vAlign w:val="bottom"/>
            <w:tcBorders>
              <w:top w:val="single" w:sz="8" w:color="0000FF"/>
            </w:tcBorders>
          </w:tcPr>
          <w:p>
            <w:pPr>
              <w:spacing w:after="0"/>
              <w:rPr>
                <w:sz w:val="22"/>
                <w:szCs w:val="22"/>
                <w:color w:val="auto"/>
              </w:rPr>
            </w:pPr>
          </w:p>
        </w:tc>
        <w:tc>
          <w:tcPr>
            <w:tcW w:w="4720" w:type="dxa"/>
            <w:vAlign w:val="bottom"/>
            <w:gridSpan w:val="4"/>
          </w:tcPr>
          <w:p>
            <w:pPr>
              <w:spacing w:after="0"/>
              <w:rPr>
                <w:sz w:val="22"/>
                <w:szCs w:val="22"/>
                <w:color w:val="auto"/>
              </w:rPr>
            </w:pPr>
          </w:p>
        </w:tc>
      </w:tr>
      <w:tr>
        <w:trPr>
          <w:trHeight w:val="261"/>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32.01**</w:t>
            </w:r>
          </w:p>
        </w:tc>
        <w:tc>
          <w:tcPr>
            <w:tcW w:w="87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Section 906 Certifications–Southwest Gas Holdings, Inc.</w:t>
            </w:r>
          </w:p>
        </w:tc>
      </w:tr>
      <w:tr>
        <w:trPr>
          <w:trHeight w:val="261"/>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32.02**</w:t>
            </w:r>
          </w:p>
        </w:tc>
        <w:tc>
          <w:tcPr>
            <w:tcW w:w="39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Section 906 Certifications–Southwest Gas Corporation.</w:t>
            </w:r>
          </w:p>
        </w:tc>
        <w:tc>
          <w:tcPr>
            <w:tcW w:w="100" w:type="dxa"/>
            <w:vAlign w:val="bottom"/>
            <w:tcBorders>
              <w:top w:val="single" w:sz="8" w:color="0000FF"/>
            </w:tcBorders>
          </w:tcPr>
          <w:p>
            <w:pPr>
              <w:spacing w:after="0"/>
              <w:rPr>
                <w:sz w:val="22"/>
                <w:szCs w:val="22"/>
                <w:color w:val="auto"/>
              </w:rPr>
            </w:pPr>
          </w:p>
        </w:tc>
        <w:tc>
          <w:tcPr>
            <w:tcW w:w="4720" w:type="dxa"/>
            <w:vAlign w:val="bottom"/>
            <w:gridSpan w:val="4"/>
          </w:tcPr>
          <w:p>
            <w:pPr>
              <w:spacing w:after="0"/>
              <w:rPr>
                <w:sz w:val="22"/>
                <w:szCs w:val="22"/>
                <w:color w:val="auto"/>
              </w:rPr>
            </w:pPr>
          </w:p>
        </w:tc>
      </w:tr>
      <w:tr>
        <w:trPr>
          <w:trHeight w:val="261"/>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8780" w:type="dxa"/>
            <w:vAlign w:val="bottom"/>
            <w:gridSpan w:val="8"/>
          </w:tcPr>
          <w:p>
            <w:pPr>
              <w:spacing w:after="0"/>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Southwest Gas Holdings, Inc. Clawback Policy. Incorporated herein by reference to Exhibit 97.1 to Form 10-K dated</w:t>
              </w:r>
            </w:hyperlink>
          </w:p>
        </w:tc>
      </w:tr>
      <w:tr>
        <w:trPr>
          <w:trHeight w:val="154"/>
        </w:trPr>
        <w:tc>
          <w:tcPr>
            <w:tcW w:w="2460" w:type="dxa"/>
            <w:vAlign w:val="bottom"/>
          </w:tcPr>
          <w:p>
            <w:pPr>
              <w:spacing w:after="0"/>
              <w:rPr>
                <w:sz w:val="13"/>
                <w:szCs w:val="13"/>
                <w:color w:val="auto"/>
              </w:rPr>
            </w:pPr>
          </w:p>
        </w:tc>
        <w:tc>
          <w:tcPr>
            <w:tcW w:w="1180" w:type="dxa"/>
            <w:vAlign w:val="bottom"/>
            <w:tcBorders>
              <w:top w:val="single" w:sz="8" w:color="0000FF"/>
              <w:bottom w:val="single" w:sz="8" w:color="0000FF"/>
            </w:tcBorders>
            <w:gridSpan w:val="2"/>
          </w:tcPr>
          <w:p>
            <w:pPr>
              <w:spacing w:after="0" w:line="154" w:lineRule="exact"/>
              <w:rPr>
                <w:rFonts w:ascii="Times New Roman" w:cs="Times New Roman" w:eastAsia="Times New Roman" w:hAnsi="Times New Roman"/>
                <w:sz w:val="17"/>
                <w:szCs w:val="17"/>
                <w:color w:val="0000FF"/>
              </w:rPr>
            </w:pPr>
            <w:hyperlink r:id="rId227">
              <w:r>
                <w:rPr>
                  <w:rFonts w:ascii="Times New Roman" w:cs="Times New Roman" w:eastAsia="Times New Roman" w:hAnsi="Times New Roman"/>
                  <w:sz w:val="17"/>
                  <w:szCs w:val="17"/>
                  <w:color w:val="0000FF"/>
                </w:rPr>
                <w:t>March 28, 2024.</w:t>
              </w:r>
            </w:hyperlink>
          </w:p>
        </w:tc>
        <w:tc>
          <w:tcPr>
            <w:tcW w:w="7560" w:type="dxa"/>
            <w:vAlign w:val="bottom"/>
            <w:tcBorders>
              <w:top w:val="single" w:sz="8" w:color="0000FF"/>
            </w:tcBorders>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1"/>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87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materials from the Annual Report on Form 10-K of Southwest Gas Holdings, Inc. and Southwest Gas</w:t>
            </w:r>
          </w:p>
        </w:tc>
      </w:tr>
      <w:tr>
        <w:trPr>
          <w:trHeight w:val="182"/>
        </w:trPr>
        <w:tc>
          <w:tcPr>
            <w:tcW w:w="2460" w:type="dxa"/>
            <w:vAlign w:val="bottom"/>
          </w:tcPr>
          <w:p>
            <w:pPr>
              <w:spacing w:after="0"/>
              <w:rPr>
                <w:sz w:val="15"/>
                <w:szCs w:val="15"/>
                <w:color w:val="auto"/>
              </w:rPr>
            </w:pPr>
          </w:p>
        </w:tc>
        <w:tc>
          <w:tcPr>
            <w:tcW w:w="878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auto"/>
              </w:rPr>
              <w:t>Corporation for the year ended December 31, 2024, were formatted in Inline XBRL (Extensible Business Reporting</w:t>
            </w:r>
          </w:p>
        </w:tc>
      </w:tr>
      <w:tr>
        <w:trPr>
          <w:trHeight w:val="179"/>
        </w:trPr>
        <w:tc>
          <w:tcPr>
            <w:tcW w:w="2460" w:type="dxa"/>
            <w:vAlign w:val="bottom"/>
          </w:tcPr>
          <w:p>
            <w:pPr>
              <w:spacing w:after="0"/>
              <w:rPr>
                <w:sz w:val="15"/>
                <w:szCs w:val="15"/>
                <w:color w:val="auto"/>
              </w:rPr>
            </w:pPr>
          </w:p>
        </w:tc>
        <w:tc>
          <w:tcPr>
            <w:tcW w:w="8780" w:type="dxa"/>
            <w:vAlign w:val="bottom"/>
            <w:gridSpan w:val="8"/>
          </w:tcPr>
          <w:p>
            <w:pPr>
              <w:spacing w:after="0" w:line="179" w:lineRule="exact"/>
              <w:rPr>
                <w:sz w:val="20"/>
                <w:szCs w:val="20"/>
                <w:color w:val="auto"/>
              </w:rPr>
            </w:pPr>
            <w:r>
              <w:rPr>
                <w:rFonts w:ascii="Times New Roman" w:cs="Times New Roman" w:eastAsia="Times New Roman" w:hAnsi="Times New Roman"/>
                <w:sz w:val="18"/>
                <w:szCs w:val="18"/>
                <w:color w:val="auto"/>
              </w:rPr>
              <w:t>Language): (1) Southwest Gas Holdings, Inc. Consolidated Balance Sheets, (ii) Southwest Gas Holdings, Inc.</w:t>
            </w:r>
          </w:p>
        </w:tc>
      </w:tr>
      <w:tr>
        <w:trPr>
          <w:trHeight w:val="174"/>
        </w:trPr>
        <w:tc>
          <w:tcPr>
            <w:tcW w:w="2460" w:type="dxa"/>
            <w:vAlign w:val="bottom"/>
          </w:tcPr>
          <w:p>
            <w:pPr>
              <w:spacing w:after="0"/>
              <w:rPr>
                <w:sz w:val="15"/>
                <w:szCs w:val="15"/>
                <w:color w:val="auto"/>
              </w:rPr>
            </w:pPr>
          </w:p>
        </w:tc>
        <w:tc>
          <w:tcPr>
            <w:tcW w:w="8780" w:type="dxa"/>
            <w:vAlign w:val="bottom"/>
            <w:gridSpan w:val="8"/>
          </w:tcPr>
          <w:p>
            <w:pPr>
              <w:spacing w:after="0" w:line="174" w:lineRule="exact"/>
              <w:rPr>
                <w:sz w:val="20"/>
                <w:szCs w:val="20"/>
                <w:color w:val="auto"/>
              </w:rPr>
            </w:pPr>
            <w:r>
              <w:rPr>
                <w:rFonts w:ascii="Times New Roman" w:cs="Times New Roman" w:eastAsia="Times New Roman" w:hAnsi="Times New Roman"/>
                <w:sz w:val="18"/>
                <w:szCs w:val="18"/>
                <w:color w:val="auto"/>
              </w:rPr>
              <w:t>Consolidated Statements of Income, (iii) Southwest Gas Holdings, Inc. Consolidated Statements of Comprehensive</w:t>
            </w:r>
          </w:p>
        </w:tc>
      </w:tr>
      <w:tr>
        <w:trPr>
          <w:trHeight w:val="182"/>
        </w:trPr>
        <w:tc>
          <w:tcPr>
            <w:tcW w:w="2460" w:type="dxa"/>
            <w:vAlign w:val="bottom"/>
          </w:tcPr>
          <w:p>
            <w:pPr>
              <w:spacing w:after="0"/>
              <w:rPr>
                <w:sz w:val="15"/>
                <w:szCs w:val="15"/>
                <w:color w:val="auto"/>
              </w:rPr>
            </w:pPr>
          </w:p>
        </w:tc>
        <w:tc>
          <w:tcPr>
            <w:tcW w:w="878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auto"/>
              </w:rPr>
              <w:t>Income, (iv) Southwest Gas Holdings, Inc. Consolidated Statements of Cash Flows, (v) Southwest Gas Holdings, Inc.</w:t>
            </w:r>
          </w:p>
        </w:tc>
      </w:tr>
      <w:tr>
        <w:trPr>
          <w:trHeight w:val="179"/>
        </w:trPr>
        <w:tc>
          <w:tcPr>
            <w:tcW w:w="2460" w:type="dxa"/>
            <w:vAlign w:val="bottom"/>
          </w:tcPr>
          <w:p>
            <w:pPr>
              <w:spacing w:after="0"/>
              <w:rPr>
                <w:sz w:val="15"/>
                <w:szCs w:val="15"/>
                <w:color w:val="auto"/>
              </w:rPr>
            </w:pPr>
          </w:p>
        </w:tc>
        <w:tc>
          <w:tcPr>
            <w:tcW w:w="8780" w:type="dxa"/>
            <w:vAlign w:val="bottom"/>
            <w:gridSpan w:val="8"/>
          </w:tcPr>
          <w:p>
            <w:pPr>
              <w:spacing w:after="0" w:line="179" w:lineRule="exact"/>
              <w:rPr>
                <w:sz w:val="20"/>
                <w:szCs w:val="20"/>
                <w:color w:val="auto"/>
              </w:rPr>
            </w:pPr>
            <w:r>
              <w:rPr>
                <w:rFonts w:ascii="Times New Roman" w:cs="Times New Roman" w:eastAsia="Times New Roman" w:hAnsi="Times New Roman"/>
                <w:sz w:val="18"/>
                <w:szCs w:val="18"/>
                <w:color w:val="auto"/>
              </w:rPr>
              <w:t>Consolidated Statements of Equity, (vi) Southwest Gas Corporation Consolidated Balance Sheets, (vii) Southwest Gas</w:t>
            </w:r>
          </w:p>
        </w:tc>
      </w:tr>
      <w:tr>
        <w:trPr>
          <w:trHeight w:val="174"/>
        </w:trPr>
        <w:tc>
          <w:tcPr>
            <w:tcW w:w="2460" w:type="dxa"/>
            <w:vAlign w:val="bottom"/>
          </w:tcPr>
          <w:p>
            <w:pPr>
              <w:spacing w:after="0"/>
              <w:rPr>
                <w:sz w:val="15"/>
                <w:szCs w:val="15"/>
                <w:color w:val="auto"/>
              </w:rPr>
            </w:pPr>
          </w:p>
        </w:tc>
        <w:tc>
          <w:tcPr>
            <w:tcW w:w="8780" w:type="dxa"/>
            <w:vAlign w:val="bottom"/>
            <w:gridSpan w:val="8"/>
          </w:tcPr>
          <w:p>
            <w:pPr>
              <w:spacing w:after="0" w:line="174" w:lineRule="exact"/>
              <w:rPr>
                <w:sz w:val="20"/>
                <w:szCs w:val="20"/>
                <w:color w:val="auto"/>
              </w:rPr>
            </w:pPr>
            <w:r>
              <w:rPr>
                <w:rFonts w:ascii="Times New Roman" w:cs="Times New Roman" w:eastAsia="Times New Roman" w:hAnsi="Times New Roman"/>
                <w:sz w:val="18"/>
                <w:szCs w:val="18"/>
                <w:color w:val="auto"/>
              </w:rPr>
              <w:t>Corporation  Consolidated  Statements  of  Income,  (viii)  Southwest  Gas  Corporation  Consolidated  Statements  of</w:t>
            </w:r>
          </w:p>
        </w:tc>
      </w:tr>
      <w:tr>
        <w:trPr>
          <w:trHeight w:val="182"/>
        </w:trPr>
        <w:tc>
          <w:tcPr>
            <w:tcW w:w="2460" w:type="dxa"/>
            <w:vAlign w:val="bottom"/>
          </w:tcPr>
          <w:p>
            <w:pPr>
              <w:spacing w:after="0"/>
              <w:rPr>
                <w:sz w:val="15"/>
                <w:szCs w:val="15"/>
                <w:color w:val="auto"/>
              </w:rPr>
            </w:pPr>
          </w:p>
        </w:tc>
        <w:tc>
          <w:tcPr>
            <w:tcW w:w="878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auto"/>
              </w:rPr>
              <w:t>Comprehensive Income, (ix) Southwest Gas Corporation Consolidated Statements of Cash Flows, (x) Southwest Gas</w:t>
            </w:r>
          </w:p>
        </w:tc>
      </w:tr>
      <w:tr>
        <w:trPr>
          <w:trHeight w:val="179"/>
        </w:trPr>
        <w:tc>
          <w:tcPr>
            <w:tcW w:w="2460" w:type="dxa"/>
            <w:vAlign w:val="bottom"/>
          </w:tcPr>
          <w:p>
            <w:pPr>
              <w:spacing w:after="0"/>
              <w:rPr>
                <w:sz w:val="15"/>
                <w:szCs w:val="15"/>
                <w:color w:val="auto"/>
              </w:rPr>
            </w:pPr>
          </w:p>
        </w:tc>
        <w:tc>
          <w:tcPr>
            <w:tcW w:w="8780" w:type="dxa"/>
            <w:vAlign w:val="bottom"/>
            <w:gridSpan w:val="8"/>
          </w:tcPr>
          <w:p>
            <w:pPr>
              <w:spacing w:after="0" w:line="179" w:lineRule="exact"/>
              <w:rPr>
                <w:sz w:val="20"/>
                <w:szCs w:val="20"/>
                <w:color w:val="auto"/>
              </w:rPr>
            </w:pPr>
            <w:r>
              <w:rPr>
                <w:rFonts w:ascii="Times New Roman" w:cs="Times New Roman" w:eastAsia="Times New Roman" w:hAnsi="Times New Roman"/>
                <w:sz w:val="18"/>
                <w:szCs w:val="18"/>
                <w:color w:val="auto"/>
              </w:rPr>
              <w:t>Corporation Consolidated Statements of Equity. The instance document does not appear in the Interactive Data File</w:t>
            </w:r>
          </w:p>
        </w:tc>
      </w:tr>
      <w:tr>
        <w:trPr>
          <w:trHeight w:val="233"/>
        </w:trPr>
        <w:tc>
          <w:tcPr>
            <w:tcW w:w="2460" w:type="dxa"/>
            <w:vAlign w:val="bottom"/>
          </w:tcPr>
          <w:p>
            <w:pPr>
              <w:spacing w:after="0"/>
              <w:rPr>
                <w:sz w:val="20"/>
                <w:szCs w:val="20"/>
                <w:color w:val="auto"/>
              </w:rPr>
            </w:pPr>
          </w:p>
        </w:tc>
        <w:tc>
          <w:tcPr>
            <w:tcW w:w="87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because its XBRL tags are embedded within the Inline XBRL document.</w:t>
            </w:r>
          </w:p>
        </w:tc>
      </w:tr>
      <w:tr>
        <w:trPr>
          <w:trHeight w:val="276"/>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7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48" w:lineRule="exact"/>
        <w:rPr>
          <w:sz w:val="20"/>
          <w:szCs w:val="20"/>
          <w:color w:val="auto"/>
        </w:rPr>
      </w:pPr>
    </w:p>
    <w:p>
      <w:pPr>
        <w:ind w:left="20" w:right="7700" w:firstLine="5"/>
        <w:spacing w:after="0" w:line="355" w:lineRule="auto"/>
        <w:tabs>
          <w:tab w:leader="none" w:pos="15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Contracts or Compensation Plans ** Filed herewith</w:t>
      </w:r>
    </w:p>
    <w:p>
      <w:pPr>
        <w:spacing w:after="0" w:line="119"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163" w:right="3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auto"/>
        </w:rPr>
        <w:t>Southwest Gas Holdings, Inc.</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18" w:lineRule="exact"/>
        <w:rPr>
          <w:sz w:val="20"/>
          <w:szCs w:val="20"/>
          <w:color w:val="auto"/>
        </w:rPr>
      </w:pPr>
    </w:p>
    <w:p>
      <w:pPr>
        <w:ind w:firstLine="642"/>
        <w:spacing w:after="0" w:line="278"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SOUTHWEST GAS HOLDINGS, INC.</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41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275"/>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26, 2025</w:t>
            </w:r>
          </w:p>
        </w:tc>
        <w:tc>
          <w:tcPr>
            <w:tcW w:w="278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By:</w:t>
            </w:r>
          </w:p>
        </w:tc>
        <w:tc>
          <w:tcPr>
            <w:tcW w:w="240" w:type="dxa"/>
            <w:vAlign w:val="bottom"/>
          </w:tcPr>
          <w:p>
            <w:pPr>
              <w:spacing w:after="0"/>
              <w:rPr>
                <w:sz w:val="23"/>
                <w:szCs w:val="23"/>
                <w:color w:val="auto"/>
              </w:rPr>
            </w:pPr>
          </w:p>
        </w:tc>
        <w:tc>
          <w:tcPr>
            <w:tcW w:w="4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KAREN S. HALLER</w:t>
            </w:r>
          </w:p>
        </w:tc>
      </w:tr>
      <w:tr>
        <w:trPr>
          <w:trHeight w:val="216"/>
        </w:trPr>
        <w:tc>
          <w:tcPr>
            <w:tcW w:w="41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Karen S. Haller</w:t>
            </w:r>
          </w:p>
        </w:tc>
      </w:tr>
      <w:tr>
        <w:trPr>
          <w:trHeight w:val="233"/>
        </w:trPr>
        <w:tc>
          <w:tcPr>
            <w:tcW w:w="41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auto"/>
        </w:rPr>
        <w:t>Southwest Gas Holdings, Inc.</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5" w:lineRule="exact"/>
        <w:rPr>
          <w:sz w:val="20"/>
          <w:szCs w:val="20"/>
          <w:color w:val="auto"/>
        </w:rPr>
      </w:pPr>
    </w:p>
    <w:p>
      <w:pPr>
        <w:ind w:firstLine="441"/>
        <w:spacing w:after="0" w:line="27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340" w:type="dxa"/>
            <w:vAlign w:val="bottom"/>
          </w:tcPr>
          <w:p>
            <w:pPr>
              <w:spacing w:after="0"/>
              <w:rPr>
                <w:sz w:val="16"/>
                <w:szCs w:val="16"/>
                <w:color w:val="auto"/>
              </w:rPr>
            </w:pPr>
          </w:p>
        </w:tc>
        <w:tc>
          <w:tcPr>
            <w:tcW w:w="50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5"/>
        </w:trPr>
        <w:tc>
          <w:tcPr>
            <w:tcW w:w="39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1"/>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ANDREW W. EVANS</w:t>
            </w:r>
          </w:p>
        </w:tc>
        <w:tc>
          <w:tcPr>
            <w:tcW w:w="340" w:type="dxa"/>
            <w:vAlign w:val="bottom"/>
          </w:tcPr>
          <w:p>
            <w:pPr>
              <w:spacing w:after="0"/>
              <w:rPr>
                <w:sz w:val="22"/>
                <w:szCs w:val="22"/>
                <w:color w:val="auto"/>
              </w:rPr>
            </w:pPr>
          </w:p>
        </w:tc>
        <w:tc>
          <w:tcPr>
            <w:tcW w:w="5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6"/>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2025</w:t>
            </w:r>
          </w:p>
        </w:tc>
      </w:tr>
      <w:tr>
        <w:trPr>
          <w:trHeight w:val="226"/>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(Andrew W. Evans)</w:t>
            </w:r>
          </w:p>
        </w:tc>
        <w:tc>
          <w:tcPr>
            <w:tcW w:w="3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75"/>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HENRY P. LINGINFELTER</w:t>
            </w:r>
          </w:p>
        </w:tc>
        <w:tc>
          <w:tcPr>
            <w:tcW w:w="340" w:type="dxa"/>
            <w:vAlign w:val="bottom"/>
          </w:tcPr>
          <w:p>
            <w:pPr>
              <w:spacing w:after="0"/>
              <w:rPr>
                <w:sz w:val="23"/>
                <w:szCs w:val="23"/>
                <w:color w:val="auto"/>
              </w:rPr>
            </w:pPr>
          </w:p>
        </w:tc>
        <w:tc>
          <w:tcPr>
            <w:tcW w:w="5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6"/>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2025</w:t>
            </w:r>
          </w:p>
        </w:tc>
      </w:tr>
      <w:tr>
        <w:trPr>
          <w:trHeight w:val="226"/>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(Henry P. Linginfelter)</w:t>
            </w:r>
          </w:p>
        </w:tc>
        <w:tc>
          <w:tcPr>
            <w:tcW w:w="3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75"/>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RUBY SHARMA</w:t>
            </w:r>
          </w:p>
        </w:tc>
        <w:tc>
          <w:tcPr>
            <w:tcW w:w="340" w:type="dxa"/>
            <w:vAlign w:val="bottom"/>
          </w:tcPr>
          <w:p>
            <w:pPr>
              <w:spacing w:after="0"/>
              <w:rPr>
                <w:sz w:val="23"/>
                <w:szCs w:val="23"/>
                <w:color w:val="auto"/>
              </w:rPr>
            </w:pPr>
          </w:p>
        </w:tc>
        <w:tc>
          <w:tcPr>
            <w:tcW w:w="5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6"/>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2025</w:t>
            </w:r>
          </w:p>
        </w:tc>
      </w:tr>
      <w:tr>
        <w:trPr>
          <w:trHeight w:val="226"/>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(Ruby Sharma)</w:t>
            </w:r>
          </w:p>
        </w:tc>
        <w:tc>
          <w:tcPr>
            <w:tcW w:w="3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75"/>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KAREN S. HALLER</w:t>
            </w:r>
          </w:p>
        </w:tc>
        <w:tc>
          <w:tcPr>
            <w:tcW w:w="340" w:type="dxa"/>
            <w:vAlign w:val="bottom"/>
          </w:tcPr>
          <w:p>
            <w:pPr>
              <w:spacing w:after="0"/>
              <w:rPr>
                <w:sz w:val="23"/>
                <w:szCs w:val="23"/>
                <w:color w:val="auto"/>
              </w:rPr>
            </w:pPr>
          </w:p>
        </w:tc>
        <w:tc>
          <w:tcPr>
            <w:tcW w:w="5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Director, President and Chief Executive</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2025</w:t>
            </w:r>
          </w:p>
        </w:tc>
      </w:tr>
      <w:tr>
        <w:trPr>
          <w:trHeight w:val="226"/>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(Karen S. Haller)</w:t>
            </w:r>
          </w:p>
        </w:tc>
        <w:tc>
          <w:tcPr>
            <w:tcW w:w="340" w:type="dxa"/>
            <w:vAlign w:val="bottom"/>
          </w:tcPr>
          <w:p>
            <w:pPr>
              <w:spacing w:after="0"/>
              <w:rPr>
                <w:sz w:val="19"/>
                <w:szCs w:val="19"/>
                <w:color w:val="auto"/>
              </w:rPr>
            </w:pPr>
          </w:p>
        </w:tc>
        <w:tc>
          <w:tcPr>
            <w:tcW w:w="5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6"/>
              </w:rPr>
              <w:t>Officer</w:t>
            </w:r>
          </w:p>
        </w:tc>
        <w:tc>
          <w:tcPr>
            <w:tcW w:w="1860" w:type="dxa"/>
            <w:vAlign w:val="bottom"/>
          </w:tcPr>
          <w:p>
            <w:pPr>
              <w:spacing w:after="0"/>
              <w:rPr>
                <w:sz w:val="19"/>
                <w:szCs w:val="19"/>
                <w:color w:val="auto"/>
              </w:rPr>
            </w:pPr>
          </w:p>
        </w:tc>
      </w:tr>
      <w:tr>
        <w:trPr>
          <w:trHeight w:val="275"/>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JANE LEWIS-RAYMOND</w:t>
            </w:r>
          </w:p>
        </w:tc>
        <w:tc>
          <w:tcPr>
            <w:tcW w:w="340" w:type="dxa"/>
            <w:vAlign w:val="bottom"/>
          </w:tcPr>
          <w:p>
            <w:pPr>
              <w:spacing w:after="0"/>
              <w:rPr>
                <w:sz w:val="23"/>
                <w:szCs w:val="23"/>
                <w:color w:val="auto"/>
              </w:rPr>
            </w:pPr>
          </w:p>
        </w:tc>
        <w:tc>
          <w:tcPr>
            <w:tcW w:w="5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6"/>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2025</w:t>
            </w:r>
          </w:p>
        </w:tc>
      </w:tr>
      <w:tr>
        <w:trPr>
          <w:trHeight w:val="226"/>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(Jane Lewis-Raymond)</w:t>
            </w:r>
          </w:p>
        </w:tc>
        <w:tc>
          <w:tcPr>
            <w:tcW w:w="3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75"/>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ANNE L. MARIUCCI</w:t>
            </w:r>
          </w:p>
        </w:tc>
        <w:tc>
          <w:tcPr>
            <w:tcW w:w="340" w:type="dxa"/>
            <w:vAlign w:val="bottom"/>
          </w:tcPr>
          <w:p>
            <w:pPr>
              <w:spacing w:after="0"/>
              <w:rPr>
                <w:sz w:val="23"/>
                <w:szCs w:val="23"/>
                <w:color w:val="auto"/>
              </w:rPr>
            </w:pPr>
          </w:p>
        </w:tc>
        <w:tc>
          <w:tcPr>
            <w:tcW w:w="5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6"/>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2025</w:t>
            </w:r>
          </w:p>
        </w:tc>
      </w:tr>
      <w:tr>
        <w:trPr>
          <w:trHeight w:val="226"/>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(Anne L. Mariucci)</w:t>
            </w:r>
          </w:p>
        </w:tc>
        <w:tc>
          <w:tcPr>
            <w:tcW w:w="3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75"/>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 RENAE CONLEY</w:t>
            </w:r>
          </w:p>
        </w:tc>
        <w:tc>
          <w:tcPr>
            <w:tcW w:w="340" w:type="dxa"/>
            <w:vAlign w:val="bottom"/>
          </w:tcPr>
          <w:p>
            <w:pPr>
              <w:spacing w:after="0"/>
              <w:rPr>
                <w:sz w:val="23"/>
                <w:szCs w:val="23"/>
                <w:color w:val="auto"/>
              </w:rPr>
            </w:pPr>
          </w:p>
        </w:tc>
        <w:tc>
          <w:tcPr>
            <w:tcW w:w="5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Chair of the Board</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2025</w:t>
            </w:r>
          </w:p>
        </w:tc>
      </w:tr>
      <w:tr>
        <w:trPr>
          <w:trHeight w:val="226"/>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 Renae Conley)</w:t>
            </w:r>
          </w:p>
        </w:tc>
        <w:tc>
          <w:tcPr>
            <w:tcW w:w="340" w:type="dxa"/>
            <w:vAlign w:val="bottom"/>
          </w:tcPr>
          <w:p>
            <w:pPr>
              <w:spacing w:after="0"/>
              <w:rPr>
                <w:sz w:val="19"/>
                <w:szCs w:val="19"/>
                <w:color w:val="auto"/>
              </w:rPr>
            </w:pPr>
          </w:p>
        </w:tc>
        <w:tc>
          <w:tcPr>
            <w:tcW w:w="5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of Directors</w:t>
            </w:r>
          </w:p>
        </w:tc>
        <w:tc>
          <w:tcPr>
            <w:tcW w:w="1860" w:type="dxa"/>
            <w:vAlign w:val="bottom"/>
          </w:tcPr>
          <w:p>
            <w:pPr>
              <w:spacing w:after="0"/>
              <w:rPr>
                <w:sz w:val="19"/>
                <w:szCs w:val="19"/>
                <w:color w:val="auto"/>
              </w:rPr>
            </w:pPr>
          </w:p>
        </w:tc>
      </w:tr>
      <w:tr>
        <w:trPr>
          <w:trHeight w:val="275"/>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CARLOS A. RUISANCHEZ</w:t>
            </w:r>
          </w:p>
        </w:tc>
        <w:tc>
          <w:tcPr>
            <w:tcW w:w="340" w:type="dxa"/>
            <w:vAlign w:val="bottom"/>
          </w:tcPr>
          <w:p>
            <w:pPr>
              <w:spacing w:after="0"/>
              <w:rPr>
                <w:sz w:val="23"/>
                <w:szCs w:val="23"/>
                <w:color w:val="auto"/>
              </w:rPr>
            </w:pPr>
          </w:p>
        </w:tc>
        <w:tc>
          <w:tcPr>
            <w:tcW w:w="5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6"/>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2025</w:t>
            </w:r>
          </w:p>
        </w:tc>
      </w:tr>
      <w:tr>
        <w:trPr>
          <w:trHeight w:val="226"/>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(Carlos A. Ruisanchez)</w:t>
            </w:r>
          </w:p>
        </w:tc>
        <w:tc>
          <w:tcPr>
            <w:tcW w:w="3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75"/>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J. STEFANI</w:t>
            </w:r>
          </w:p>
        </w:tc>
        <w:tc>
          <w:tcPr>
            <w:tcW w:w="340" w:type="dxa"/>
            <w:vAlign w:val="bottom"/>
          </w:tcPr>
          <w:p>
            <w:pPr>
              <w:spacing w:after="0"/>
              <w:rPr>
                <w:sz w:val="23"/>
                <w:szCs w:val="23"/>
                <w:color w:val="auto"/>
              </w:rPr>
            </w:pPr>
          </w:p>
        </w:tc>
        <w:tc>
          <w:tcPr>
            <w:tcW w:w="5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Senior Vice President/</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2025</w:t>
            </w:r>
          </w:p>
        </w:tc>
      </w:tr>
      <w:tr>
        <w:trPr>
          <w:trHeight w:val="226"/>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(Robert J. Stefani)</w:t>
            </w:r>
          </w:p>
        </w:tc>
        <w:tc>
          <w:tcPr>
            <w:tcW w:w="340" w:type="dxa"/>
            <w:vAlign w:val="bottom"/>
          </w:tcPr>
          <w:p>
            <w:pPr>
              <w:spacing w:after="0"/>
              <w:rPr>
                <w:sz w:val="19"/>
                <w:szCs w:val="19"/>
                <w:color w:val="auto"/>
              </w:rPr>
            </w:pPr>
          </w:p>
        </w:tc>
        <w:tc>
          <w:tcPr>
            <w:tcW w:w="5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1860" w:type="dxa"/>
            <w:vAlign w:val="bottom"/>
          </w:tcPr>
          <w:p>
            <w:pPr>
              <w:spacing w:after="0"/>
              <w:rPr>
                <w:sz w:val="19"/>
                <w:szCs w:val="19"/>
                <w:color w:val="auto"/>
              </w:rPr>
            </w:pPr>
          </w:p>
        </w:tc>
      </w:tr>
      <w:tr>
        <w:trPr>
          <w:trHeight w:val="275"/>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 RANDALL THOMAN</w:t>
            </w:r>
          </w:p>
        </w:tc>
        <w:tc>
          <w:tcPr>
            <w:tcW w:w="340" w:type="dxa"/>
            <w:vAlign w:val="bottom"/>
          </w:tcPr>
          <w:p>
            <w:pPr>
              <w:spacing w:after="0"/>
              <w:rPr>
                <w:sz w:val="23"/>
                <w:szCs w:val="23"/>
                <w:color w:val="auto"/>
              </w:rPr>
            </w:pPr>
          </w:p>
        </w:tc>
        <w:tc>
          <w:tcPr>
            <w:tcW w:w="5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6"/>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2025</w:t>
            </w:r>
          </w:p>
        </w:tc>
      </w:tr>
      <w:tr>
        <w:trPr>
          <w:trHeight w:val="226"/>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 Randall Thoman)</w:t>
            </w:r>
          </w:p>
        </w:tc>
        <w:tc>
          <w:tcPr>
            <w:tcW w:w="3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75"/>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ANDREW J. TENO</w:t>
            </w:r>
          </w:p>
        </w:tc>
        <w:tc>
          <w:tcPr>
            <w:tcW w:w="340" w:type="dxa"/>
            <w:vAlign w:val="bottom"/>
          </w:tcPr>
          <w:p>
            <w:pPr>
              <w:spacing w:after="0"/>
              <w:rPr>
                <w:sz w:val="23"/>
                <w:szCs w:val="23"/>
                <w:color w:val="auto"/>
              </w:rPr>
            </w:pPr>
          </w:p>
        </w:tc>
        <w:tc>
          <w:tcPr>
            <w:tcW w:w="5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6"/>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2025</w:t>
            </w:r>
          </w:p>
        </w:tc>
      </w:tr>
      <w:tr>
        <w:trPr>
          <w:trHeight w:val="226"/>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(Andrew J. Teno)</w:t>
            </w:r>
          </w:p>
        </w:tc>
        <w:tc>
          <w:tcPr>
            <w:tcW w:w="3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75"/>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LESLIE T. THORNTON</w:t>
            </w:r>
          </w:p>
        </w:tc>
        <w:tc>
          <w:tcPr>
            <w:tcW w:w="340" w:type="dxa"/>
            <w:vAlign w:val="bottom"/>
          </w:tcPr>
          <w:p>
            <w:pPr>
              <w:spacing w:after="0"/>
              <w:rPr>
                <w:sz w:val="23"/>
                <w:szCs w:val="23"/>
                <w:color w:val="auto"/>
              </w:rPr>
            </w:pPr>
          </w:p>
        </w:tc>
        <w:tc>
          <w:tcPr>
            <w:tcW w:w="5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6"/>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2025</w:t>
            </w:r>
          </w:p>
        </w:tc>
      </w:tr>
      <w:tr>
        <w:trPr>
          <w:trHeight w:val="226"/>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(Leslie T. Thornton)</w:t>
            </w:r>
          </w:p>
        </w:tc>
        <w:tc>
          <w:tcPr>
            <w:tcW w:w="3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75"/>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LORI L. COLVIN</w:t>
            </w:r>
          </w:p>
        </w:tc>
        <w:tc>
          <w:tcPr>
            <w:tcW w:w="340" w:type="dxa"/>
            <w:vAlign w:val="bottom"/>
          </w:tcPr>
          <w:p>
            <w:pPr>
              <w:spacing w:after="0"/>
              <w:rPr>
                <w:sz w:val="23"/>
                <w:szCs w:val="23"/>
                <w:color w:val="auto"/>
              </w:rPr>
            </w:pPr>
          </w:p>
        </w:tc>
        <w:tc>
          <w:tcPr>
            <w:tcW w:w="5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Vice President/Controller/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2025</w:t>
            </w:r>
          </w:p>
        </w:tc>
      </w:tr>
      <w:tr>
        <w:trPr>
          <w:trHeight w:val="226"/>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(Lori L. Colvin)</w:t>
            </w:r>
          </w:p>
        </w:tc>
        <w:tc>
          <w:tcPr>
            <w:tcW w:w="340" w:type="dxa"/>
            <w:vAlign w:val="bottom"/>
          </w:tcPr>
          <w:p>
            <w:pPr>
              <w:spacing w:after="0"/>
              <w:rPr>
                <w:sz w:val="19"/>
                <w:szCs w:val="19"/>
                <w:color w:val="auto"/>
              </w:rPr>
            </w:pPr>
          </w:p>
        </w:tc>
        <w:tc>
          <w:tcPr>
            <w:tcW w:w="5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Chief Accounting Officer</w:t>
            </w:r>
          </w:p>
        </w:tc>
        <w:tc>
          <w:tcPr>
            <w:tcW w:w="18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auto"/>
        </w:rPr>
        <w:t>Southwest Gas Corporation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5" w:lineRule="exact"/>
        <w:rPr>
          <w:sz w:val="20"/>
          <w:szCs w:val="20"/>
          <w:color w:val="auto"/>
        </w:rPr>
      </w:pPr>
    </w:p>
    <w:p>
      <w:pPr>
        <w:ind w:firstLine="441"/>
        <w:spacing w:after="0" w:line="278"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340" w:type="dxa"/>
            <w:vAlign w:val="bottom"/>
          </w:tcPr>
          <w:p>
            <w:pPr>
              <w:spacing w:after="0"/>
              <w:rPr>
                <w:sz w:val="19"/>
                <w:szCs w:val="19"/>
                <w:color w:val="auto"/>
              </w:rPr>
            </w:pPr>
          </w:p>
        </w:tc>
        <w:tc>
          <w:tcPr>
            <w:tcW w:w="6880" w:type="dxa"/>
            <w:vAlign w:val="bottom"/>
            <w:gridSpan w:val="2"/>
          </w:tcPr>
          <w:p>
            <w:pPr>
              <w:ind w:left="2600"/>
              <w:spacing w:after="0"/>
              <w:rPr>
                <w:sz w:val="20"/>
                <w:szCs w:val="20"/>
                <w:color w:val="auto"/>
              </w:rPr>
            </w:pPr>
            <w:r>
              <w:rPr>
                <w:rFonts w:ascii="Times New Roman" w:cs="Times New Roman" w:eastAsia="Times New Roman" w:hAnsi="Times New Roman"/>
                <w:sz w:val="18"/>
                <w:szCs w:val="18"/>
                <w:color w:val="auto"/>
              </w:rPr>
              <w:t>SOUTHWEST GAS CORPORATION</w:t>
            </w:r>
          </w:p>
        </w:tc>
      </w:tr>
      <w:tr>
        <w:trPr>
          <w:trHeight w:val="233"/>
        </w:trPr>
        <w:tc>
          <w:tcPr>
            <w:tcW w:w="43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280"/>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26, 2025</w:t>
            </w:r>
          </w:p>
        </w:tc>
        <w:tc>
          <w:tcPr>
            <w:tcW w:w="6880" w:type="dxa"/>
            <w:vAlign w:val="bottom"/>
            <w:gridSpan w:val="2"/>
          </w:tcPr>
          <w:p>
            <w:pPr>
              <w:ind w:left="2600"/>
              <w:spacing w:after="0"/>
              <w:rPr>
                <w:sz w:val="20"/>
                <w:szCs w:val="20"/>
                <w:color w:val="auto"/>
              </w:rPr>
            </w:pPr>
            <w:r>
              <w:rPr>
                <w:rFonts w:ascii="Times New Roman" w:cs="Times New Roman" w:eastAsia="Times New Roman" w:hAnsi="Times New Roman"/>
                <w:sz w:val="18"/>
                <w:szCs w:val="18"/>
                <w:color w:val="auto"/>
                <w:w w:val="98"/>
              </w:rPr>
              <w:t>By:/s/ KAREN S. HALLER</w:t>
            </w:r>
          </w:p>
        </w:tc>
      </w:tr>
      <w:tr>
        <w:trPr>
          <w:trHeight w:val="216"/>
        </w:trPr>
        <w:tc>
          <w:tcPr>
            <w:tcW w:w="43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Karen S. Haller</w:t>
            </w:r>
          </w:p>
        </w:tc>
      </w:tr>
      <w:tr>
        <w:trPr>
          <w:trHeight w:val="233"/>
        </w:trPr>
        <w:tc>
          <w:tcPr>
            <w:tcW w:w="4340" w:type="dxa"/>
            <w:vAlign w:val="bottom"/>
          </w:tcPr>
          <w:p>
            <w:pPr>
              <w:spacing w:after="0"/>
              <w:rPr>
                <w:sz w:val="20"/>
                <w:szCs w:val="20"/>
                <w:color w:val="auto"/>
              </w:rPr>
            </w:pPr>
          </w:p>
        </w:tc>
        <w:tc>
          <w:tcPr>
            <w:tcW w:w="6880" w:type="dxa"/>
            <w:vAlign w:val="bottom"/>
            <w:gridSpan w:val="2"/>
          </w:tcPr>
          <w:p>
            <w:pPr>
              <w:ind w:left="306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auto"/>
        </w:rPr>
        <w:t>Southwest Gas Corporation</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5" w:lineRule="exact"/>
        <w:rPr>
          <w:sz w:val="20"/>
          <w:szCs w:val="20"/>
          <w:color w:val="auto"/>
        </w:rPr>
      </w:pPr>
    </w:p>
    <w:p>
      <w:pPr>
        <w:ind w:firstLine="441"/>
        <w:spacing w:after="0" w:line="27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340" w:type="dxa"/>
            <w:vAlign w:val="bottom"/>
          </w:tcPr>
          <w:p>
            <w:pPr>
              <w:spacing w:after="0"/>
              <w:rPr>
                <w:sz w:val="16"/>
                <w:szCs w:val="16"/>
                <w:color w:val="auto"/>
              </w:rPr>
            </w:pPr>
          </w:p>
        </w:tc>
        <w:tc>
          <w:tcPr>
            <w:tcW w:w="50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5"/>
        </w:trPr>
        <w:tc>
          <w:tcPr>
            <w:tcW w:w="39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475"/>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KAREN S. HALLER</w:t>
            </w:r>
          </w:p>
        </w:tc>
        <w:tc>
          <w:tcPr>
            <w:tcW w:w="340" w:type="dxa"/>
            <w:vAlign w:val="bottom"/>
          </w:tcPr>
          <w:p>
            <w:pPr>
              <w:spacing w:after="0"/>
              <w:rPr>
                <w:sz w:val="24"/>
                <w:szCs w:val="24"/>
                <w:color w:val="auto"/>
              </w:rPr>
            </w:pPr>
          </w:p>
        </w:tc>
        <w:tc>
          <w:tcPr>
            <w:tcW w:w="5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Director and Chief Executive</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2025</w:t>
            </w:r>
          </w:p>
        </w:tc>
      </w:tr>
      <w:tr>
        <w:trPr>
          <w:trHeight w:val="226"/>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(Karen S. Haller)</w:t>
            </w:r>
          </w:p>
        </w:tc>
        <w:tc>
          <w:tcPr>
            <w:tcW w:w="340" w:type="dxa"/>
            <w:vAlign w:val="bottom"/>
          </w:tcPr>
          <w:p>
            <w:pPr>
              <w:spacing w:after="0"/>
              <w:rPr>
                <w:sz w:val="19"/>
                <w:szCs w:val="19"/>
                <w:color w:val="auto"/>
              </w:rPr>
            </w:pPr>
          </w:p>
        </w:tc>
        <w:tc>
          <w:tcPr>
            <w:tcW w:w="5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6"/>
              </w:rPr>
              <w:t>Officer</w:t>
            </w:r>
          </w:p>
        </w:tc>
        <w:tc>
          <w:tcPr>
            <w:tcW w:w="1860" w:type="dxa"/>
            <w:vAlign w:val="bottom"/>
          </w:tcPr>
          <w:p>
            <w:pPr>
              <w:spacing w:after="0"/>
              <w:rPr>
                <w:sz w:val="19"/>
                <w:szCs w:val="19"/>
                <w:color w:val="auto"/>
              </w:rPr>
            </w:pPr>
          </w:p>
        </w:tc>
      </w:tr>
      <w:tr>
        <w:trPr>
          <w:trHeight w:val="275"/>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 RENAE CONLEY</w:t>
            </w:r>
          </w:p>
        </w:tc>
        <w:tc>
          <w:tcPr>
            <w:tcW w:w="340" w:type="dxa"/>
            <w:vAlign w:val="bottom"/>
          </w:tcPr>
          <w:p>
            <w:pPr>
              <w:spacing w:after="0"/>
              <w:rPr>
                <w:sz w:val="23"/>
                <w:szCs w:val="23"/>
                <w:color w:val="auto"/>
              </w:rPr>
            </w:pPr>
          </w:p>
        </w:tc>
        <w:tc>
          <w:tcPr>
            <w:tcW w:w="5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6"/>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2025</w:t>
            </w:r>
          </w:p>
        </w:tc>
      </w:tr>
      <w:tr>
        <w:trPr>
          <w:trHeight w:val="226"/>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 Renae Conley)</w:t>
            </w:r>
          </w:p>
        </w:tc>
        <w:tc>
          <w:tcPr>
            <w:tcW w:w="3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75"/>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J. STEFANI</w:t>
            </w:r>
          </w:p>
        </w:tc>
        <w:tc>
          <w:tcPr>
            <w:tcW w:w="340" w:type="dxa"/>
            <w:vAlign w:val="bottom"/>
          </w:tcPr>
          <w:p>
            <w:pPr>
              <w:spacing w:after="0"/>
              <w:rPr>
                <w:sz w:val="23"/>
                <w:szCs w:val="23"/>
                <w:color w:val="auto"/>
              </w:rPr>
            </w:pPr>
          </w:p>
        </w:tc>
        <w:tc>
          <w:tcPr>
            <w:tcW w:w="5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Director, Senior Vice President/</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2025</w:t>
            </w:r>
          </w:p>
        </w:tc>
      </w:tr>
      <w:tr>
        <w:trPr>
          <w:trHeight w:val="226"/>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(Robert J. Stefani)</w:t>
            </w:r>
          </w:p>
        </w:tc>
        <w:tc>
          <w:tcPr>
            <w:tcW w:w="340" w:type="dxa"/>
            <w:vAlign w:val="bottom"/>
          </w:tcPr>
          <w:p>
            <w:pPr>
              <w:spacing w:after="0"/>
              <w:rPr>
                <w:sz w:val="19"/>
                <w:szCs w:val="19"/>
                <w:color w:val="auto"/>
              </w:rPr>
            </w:pPr>
          </w:p>
        </w:tc>
        <w:tc>
          <w:tcPr>
            <w:tcW w:w="5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1860" w:type="dxa"/>
            <w:vAlign w:val="bottom"/>
          </w:tcPr>
          <w:p>
            <w:pPr>
              <w:spacing w:after="0"/>
              <w:rPr>
                <w:sz w:val="19"/>
                <w:szCs w:val="19"/>
                <w:color w:val="auto"/>
              </w:rPr>
            </w:pPr>
          </w:p>
        </w:tc>
      </w:tr>
      <w:tr>
        <w:trPr>
          <w:trHeight w:val="275"/>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LORI L. COLVIN</w:t>
            </w:r>
          </w:p>
        </w:tc>
        <w:tc>
          <w:tcPr>
            <w:tcW w:w="340" w:type="dxa"/>
            <w:vAlign w:val="bottom"/>
          </w:tcPr>
          <w:p>
            <w:pPr>
              <w:spacing w:after="0"/>
              <w:rPr>
                <w:sz w:val="23"/>
                <w:szCs w:val="23"/>
                <w:color w:val="auto"/>
              </w:rPr>
            </w:pPr>
          </w:p>
        </w:tc>
        <w:tc>
          <w:tcPr>
            <w:tcW w:w="5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Vice President/Controller/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2025</w:t>
            </w:r>
          </w:p>
        </w:tc>
      </w:tr>
      <w:tr>
        <w:trPr>
          <w:trHeight w:val="226"/>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(Lori L. Colvin)</w:t>
            </w:r>
          </w:p>
        </w:tc>
        <w:tc>
          <w:tcPr>
            <w:tcW w:w="340" w:type="dxa"/>
            <w:vAlign w:val="bottom"/>
          </w:tcPr>
          <w:p>
            <w:pPr>
              <w:spacing w:after="0"/>
              <w:rPr>
                <w:sz w:val="19"/>
                <w:szCs w:val="19"/>
                <w:color w:val="auto"/>
              </w:rPr>
            </w:pPr>
          </w:p>
        </w:tc>
        <w:tc>
          <w:tcPr>
            <w:tcW w:w="5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Chief Accounting Officer</w:t>
            </w:r>
          </w:p>
        </w:tc>
        <w:tc>
          <w:tcPr>
            <w:tcW w:w="18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240"/>
          </w:cols>
          <w:pgMar w:left="320" w:top="1133" w:right="339" w:bottom="1440" w:gutter="0" w:footer="0" w:header="0"/>
        </w:sectPr>
      </w:pPr>
    </w:p>
    <w:bookmarkStart w:id="115" w:name="page116"/>
    <w:bookmarkEnd w:id="115"/>
    <w:p>
      <w:pPr>
        <w:ind w:left="9658"/>
        <w:spacing w:after="0"/>
        <w:rPr>
          <w:sz w:val="20"/>
          <w:szCs w:val="20"/>
          <w:color w:val="auto"/>
        </w:rPr>
      </w:pPr>
      <w:r>
        <w:rPr>
          <w:rFonts w:ascii="Times New Roman" w:cs="Times New Roman" w:eastAsia="Times New Roman" w:hAnsi="Times New Roman"/>
          <w:sz w:val="17"/>
          <w:szCs w:val="17"/>
          <w:b w:val="1"/>
          <w:bCs w:val="1"/>
          <w:color w:val="auto"/>
        </w:rPr>
        <w:t>Execution Version</w:t>
      </w:r>
    </w:p>
    <w:p>
      <w:pPr>
        <w:spacing w:after="0" w:line="200" w:lineRule="exact"/>
        <w:rPr>
          <w:sz w:val="20"/>
          <w:szCs w:val="20"/>
          <w:color w:val="auto"/>
        </w:rPr>
      </w:pPr>
    </w:p>
    <w:p>
      <w:pPr>
        <w:spacing w:after="0" w:line="255" w:lineRule="exact"/>
        <w:rPr>
          <w:sz w:val="20"/>
          <w:szCs w:val="20"/>
          <w:color w:val="auto"/>
        </w:rPr>
      </w:pPr>
    </w:p>
    <w:p>
      <w:pPr>
        <w:ind w:left="798"/>
        <w:spacing w:after="0"/>
        <w:rPr>
          <w:sz w:val="20"/>
          <w:szCs w:val="20"/>
          <w:color w:val="auto"/>
        </w:rPr>
      </w:pPr>
      <w:r>
        <w:rPr>
          <w:rFonts w:ascii="Times New Roman" w:cs="Times New Roman" w:eastAsia="Times New Roman" w:hAnsi="Times New Roman"/>
          <w:sz w:val="20"/>
          <w:szCs w:val="20"/>
          <w:b w:val="1"/>
          <w:bCs w:val="1"/>
          <w:u w:val="single" w:color="auto"/>
          <w:color w:val="auto"/>
        </w:rPr>
        <w:t>FIFTH AMENDMENT TO SECOND AMENDED AND RESTATED CREDIT AGREEMENT</w:t>
      </w:r>
    </w:p>
    <w:p>
      <w:pPr>
        <w:spacing w:after="0" w:line="229" w:lineRule="exact"/>
        <w:rPr>
          <w:sz w:val="20"/>
          <w:szCs w:val="20"/>
          <w:color w:val="auto"/>
        </w:rPr>
      </w:pPr>
    </w:p>
    <w:p>
      <w:pPr>
        <w:jc w:val="center"/>
        <w:ind w:right="-37"/>
        <w:spacing w:after="0"/>
        <w:rPr>
          <w:sz w:val="20"/>
          <w:szCs w:val="20"/>
          <w:color w:val="auto"/>
        </w:rPr>
      </w:pPr>
      <w:r>
        <w:rPr>
          <w:rFonts w:ascii="Times New Roman" w:cs="Times New Roman" w:eastAsia="Times New Roman" w:hAnsi="Times New Roman"/>
          <w:sz w:val="20"/>
          <w:szCs w:val="20"/>
          <w:color w:val="auto"/>
        </w:rPr>
        <w:t>Dated as of May 13, 2024</w:t>
      </w:r>
    </w:p>
    <w:p>
      <w:pPr>
        <w:spacing w:after="0" w:line="211" w:lineRule="exact"/>
        <w:rPr>
          <w:sz w:val="20"/>
          <w:szCs w:val="20"/>
          <w:color w:val="auto"/>
        </w:rPr>
      </w:pPr>
    </w:p>
    <w:p>
      <w:pPr>
        <w:ind w:left="1238"/>
        <w:spacing w:after="0"/>
        <w:rPr>
          <w:sz w:val="20"/>
          <w:szCs w:val="20"/>
          <w:color w:val="auto"/>
        </w:rPr>
      </w:pPr>
      <w:r>
        <w:rPr>
          <w:rFonts w:ascii="Times New Roman" w:cs="Times New Roman" w:eastAsia="Times New Roman" w:hAnsi="Times New Roman"/>
          <w:sz w:val="20"/>
          <w:szCs w:val="20"/>
          <w:color w:val="auto"/>
        </w:rPr>
        <w:t>This FIFTH AMENDMENT TO SECOND AMENDED AND RESTATED CREDIT</w:t>
      </w:r>
    </w:p>
    <w:p>
      <w:pPr>
        <w:spacing w:after="0" w:line="25" w:lineRule="exact"/>
        <w:rPr>
          <w:sz w:val="20"/>
          <w:szCs w:val="20"/>
          <w:color w:val="auto"/>
        </w:rPr>
      </w:pPr>
    </w:p>
    <w:p>
      <w:pPr>
        <w:jc w:val="both"/>
        <w:ind w:left="598"/>
        <w:spacing w:after="0" w:line="247" w:lineRule="auto"/>
        <w:rPr>
          <w:sz w:val="20"/>
          <w:szCs w:val="20"/>
          <w:color w:val="auto"/>
        </w:rPr>
      </w:pPr>
      <w:r>
        <w:rPr>
          <w:rFonts w:ascii="Times New Roman" w:cs="Times New Roman" w:eastAsia="Times New Roman" w:hAnsi="Times New Roman"/>
          <w:sz w:val="20"/>
          <w:szCs w:val="20"/>
          <w:color w:val="auto"/>
        </w:rPr>
        <w:t>AGREEMENT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is by and among CENTURI GROUP, INC., a Nevada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xml:space="preserve">”), and each Additional Borrower that becomes a party thereto in accordance with </w:t>
      </w:r>
      <w:r>
        <w:rPr>
          <w:rFonts w:ascii="Times New Roman" w:cs="Times New Roman" w:eastAsia="Times New Roman" w:hAnsi="Times New Roman"/>
          <w:sz w:val="20"/>
          <w:szCs w:val="20"/>
          <w:u w:val="single" w:color="auto"/>
          <w:color w:val="auto"/>
        </w:rPr>
        <w:t>Section 5.17</w:t>
      </w:r>
      <w:r>
        <w:rPr>
          <w:rFonts w:ascii="Times New Roman" w:cs="Times New Roman" w:eastAsia="Times New Roman" w:hAnsi="Times New Roman"/>
          <w:sz w:val="20"/>
          <w:szCs w:val="20"/>
          <w:color w:val="auto"/>
        </w:rPr>
        <w:t xml:space="preserve"> thereto, as US Borrowers, CENTURI CANADA DIVISION INC., a corporation organized under the laws of the Province of Ontario, Canada, and each Additional Borrower that becomes a party thereto in accordance with </w:t>
      </w:r>
      <w:r>
        <w:rPr>
          <w:rFonts w:ascii="Times New Roman" w:cs="Times New Roman" w:eastAsia="Times New Roman" w:hAnsi="Times New Roman"/>
          <w:sz w:val="20"/>
          <w:szCs w:val="20"/>
          <w:u w:val="single" w:color="auto"/>
          <w:color w:val="auto"/>
        </w:rPr>
        <w:t>Section 5.17</w:t>
      </w:r>
      <w:r>
        <w:rPr>
          <w:rFonts w:ascii="Times New Roman" w:cs="Times New Roman" w:eastAsia="Times New Roman" w:hAnsi="Times New Roman"/>
          <w:sz w:val="20"/>
          <w:szCs w:val="20"/>
          <w:color w:val="auto"/>
        </w:rPr>
        <w:t xml:space="preserve"> thereto, as Canadian Borrowers, the other Credit Parties party hereto, the lenders party hereto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and WELLS FARGO BANK, NATIONAL ASSOCIATION, as administrative agent for the Lenders (in such capacity,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w:t>
      </w:r>
    </w:p>
    <w:p>
      <w:pPr>
        <w:spacing w:after="0" w:line="224" w:lineRule="exact"/>
        <w:rPr>
          <w:sz w:val="20"/>
          <w:szCs w:val="20"/>
          <w:color w:val="auto"/>
        </w:rPr>
      </w:pPr>
    </w:p>
    <w:p>
      <w:pPr>
        <w:jc w:val="center"/>
        <w:ind w:right="-37"/>
        <w:spacing w:after="0"/>
        <w:rPr>
          <w:sz w:val="20"/>
          <w:szCs w:val="20"/>
          <w:color w:val="auto"/>
        </w:rPr>
      </w:pPr>
      <w:r>
        <w:rPr>
          <w:rFonts w:ascii="Times New Roman" w:cs="Times New Roman" w:eastAsia="Times New Roman" w:hAnsi="Times New Roman"/>
          <w:sz w:val="20"/>
          <w:szCs w:val="20"/>
          <w:u w:val="single" w:color="auto"/>
          <w:color w:val="auto"/>
        </w:rPr>
        <w:t>Statement of Purpose</w:t>
      </w:r>
    </w:p>
    <w:p>
      <w:pPr>
        <w:spacing w:after="0" w:line="225" w:lineRule="exact"/>
        <w:rPr>
          <w:sz w:val="20"/>
          <w:szCs w:val="20"/>
          <w:color w:val="auto"/>
        </w:rPr>
      </w:pPr>
    </w:p>
    <w:p>
      <w:pPr>
        <w:jc w:val="both"/>
        <w:ind w:left="598" w:firstLine="642"/>
        <w:spacing w:after="0" w:line="250" w:lineRule="auto"/>
        <w:rPr>
          <w:sz w:val="20"/>
          <w:szCs w:val="20"/>
          <w:color w:val="auto"/>
        </w:rPr>
      </w:pPr>
      <w:r>
        <w:rPr>
          <w:rFonts w:ascii="Times New Roman" w:cs="Times New Roman" w:eastAsia="Times New Roman" w:hAnsi="Times New Roman"/>
          <w:sz w:val="20"/>
          <w:szCs w:val="20"/>
          <w:color w:val="auto"/>
        </w:rPr>
        <w:t>WHEREAS, the Company, the Lenders party thereto, the other Credit Parties party thereto and the Administrative Agent are parties to the Second Amended and Restated Credit Agreement dated as of August 27, 2021 (as amended hereby and as further amended, restated, extended, supplemented or otherwise modified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and the Credit Agreement prior to giving effect to this Amendment being referred to as the “</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pursuant to which the Lenders have extended certain credit facilities to the Borrowers.</w:t>
      </w:r>
    </w:p>
    <w:p>
      <w:pPr>
        <w:spacing w:after="0" w:line="193" w:lineRule="exact"/>
        <w:rPr>
          <w:sz w:val="20"/>
          <w:szCs w:val="20"/>
          <w:color w:val="auto"/>
        </w:rPr>
      </w:pPr>
    </w:p>
    <w:p>
      <w:pPr>
        <w:jc w:val="both"/>
        <w:ind w:left="598" w:right="20" w:firstLine="642"/>
        <w:spacing w:after="0" w:line="277" w:lineRule="auto"/>
        <w:rPr>
          <w:sz w:val="20"/>
          <w:szCs w:val="20"/>
          <w:color w:val="auto"/>
        </w:rPr>
      </w:pPr>
      <w:r>
        <w:rPr>
          <w:rFonts w:ascii="Times New Roman" w:cs="Times New Roman" w:eastAsia="Times New Roman" w:hAnsi="Times New Roman"/>
          <w:sz w:val="20"/>
          <w:szCs w:val="20"/>
          <w:color w:val="auto"/>
        </w:rPr>
        <w:t>WHEREAS, the Company has requested that the Administrative Agent and the Revolving Credit Lenders agree to amend the Existing Credit Agreement as more specifically set forth herein.</w:t>
      </w:r>
    </w:p>
    <w:p>
      <w:pPr>
        <w:spacing w:after="0" w:line="151" w:lineRule="exact"/>
        <w:rPr>
          <w:sz w:val="20"/>
          <w:szCs w:val="20"/>
          <w:color w:val="auto"/>
        </w:rPr>
      </w:pPr>
    </w:p>
    <w:p>
      <w:pPr>
        <w:jc w:val="both"/>
        <w:ind w:left="598" w:firstLine="642"/>
        <w:spacing w:after="0" w:line="277" w:lineRule="auto"/>
        <w:rPr>
          <w:sz w:val="20"/>
          <w:szCs w:val="20"/>
          <w:color w:val="auto"/>
        </w:rPr>
      </w:pPr>
      <w:r>
        <w:rPr>
          <w:rFonts w:ascii="Times New Roman" w:cs="Times New Roman" w:eastAsia="Times New Roman" w:hAnsi="Times New Roman"/>
          <w:sz w:val="20"/>
          <w:szCs w:val="20"/>
          <w:color w:val="auto"/>
        </w:rPr>
        <w:t>NOW, THEREFORE, for good and valuable consideration, the receipt and sufficiency of which is hereby acknowledged, the parties hereto hereby agree as follows:</w:t>
      </w:r>
    </w:p>
    <w:p>
      <w:pPr>
        <w:spacing w:after="0" w:line="151" w:lineRule="exact"/>
        <w:rPr>
          <w:sz w:val="20"/>
          <w:szCs w:val="20"/>
          <w:color w:val="auto"/>
        </w:rPr>
      </w:pPr>
    </w:p>
    <w:p>
      <w:pPr>
        <w:ind w:left="598" w:firstLine="645"/>
        <w:spacing w:after="0" w:line="277" w:lineRule="auto"/>
        <w:tabs>
          <w:tab w:leader="none" w:pos="1841"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Capitalized Terms</w:t>
      </w:r>
      <w:r>
        <w:rPr>
          <w:rFonts w:ascii="Times New Roman" w:cs="Times New Roman" w:eastAsia="Times New Roman" w:hAnsi="Times New Roman"/>
          <w:sz w:val="20"/>
          <w:szCs w:val="20"/>
          <w:color w:val="auto"/>
        </w:rPr>
        <w:t>. All capitalized terms not otherwise defined in this Amendment (including without limitation in the introductory paragraph and the Preliminary Statements hereto) shall have the meanings as specified in the Credit Agreement.</w:t>
      </w:r>
    </w:p>
    <w:p>
      <w:pPr>
        <w:spacing w:after="0" w:line="164" w:lineRule="exact"/>
        <w:rPr>
          <w:rFonts w:ascii="Times New Roman" w:cs="Times New Roman" w:eastAsia="Times New Roman" w:hAnsi="Times New Roman"/>
          <w:sz w:val="20"/>
          <w:szCs w:val="20"/>
          <w:color w:val="auto"/>
        </w:rPr>
      </w:pPr>
    </w:p>
    <w:p>
      <w:pPr>
        <w:ind w:left="598" w:firstLine="646"/>
        <w:spacing w:after="0" w:line="263" w:lineRule="auto"/>
        <w:tabs>
          <w:tab w:leader="none" w:pos="1842"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to the Credit Agreement</w:t>
      </w:r>
      <w:r>
        <w:rPr>
          <w:rFonts w:ascii="Times New Roman" w:cs="Times New Roman" w:eastAsia="Times New Roman" w:hAnsi="Times New Roman"/>
          <w:sz w:val="20"/>
          <w:szCs w:val="20"/>
          <w:color w:val="auto"/>
        </w:rPr>
        <w:t>. Subject to the terms and conditions set forth herein and the effectiveness of this Amendment in accordance with its terms, the parties hereto agree that:</w:t>
      </w:r>
    </w:p>
    <w:p>
      <w:pPr>
        <w:spacing w:after="0" w:line="178" w:lineRule="exact"/>
        <w:rPr>
          <w:rFonts w:ascii="Times New Roman" w:cs="Times New Roman" w:eastAsia="Times New Roman" w:hAnsi="Times New Roman"/>
          <w:sz w:val="20"/>
          <w:szCs w:val="20"/>
          <w:color w:val="auto"/>
        </w:rPr>
      </w:pPr>
    </w:p>
    <w:p>
      <w:pPr>
        <w:jc w:val="both"/>
        <w:ind w:left="598" w:firstLine="1288"/>
        <w:spacing w:after="0" w:line="255" w:lineRule="auto"/>
        <w:tabs>
          <w:tab w:leader="none" w:pos="2487" w:val="left"/>
        </w:tabs>
        <w:numPr>
          <w:ilvl w:val="2"/>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Existing Credit Agreement is hereby amended, (a) to delete red or green stricken text (indicated textually in the same manner as the following examples: </w:t>
      </w:r>
      <w:r>
        <w:rPr>
          <w:rFonts w:ascii="Times New Roman" w:cs="Times New Roman" w:eastAsia="Times New Roman" w:hAnsi="Times New Roman"/>
          <w:sz w:val="20"/>
          <w:szCs w:val="20"/>
          <w:color w:val="FF0000"/>
          <w:strike w:val="1"/>
        </w:rPr>
        <w:t>stricken text</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color w:val="009900"/>
          <w:strike w:val="1"/>
        </w:rPr>
        <w:t>stricken text</w:t>
      </w:r>
      <w:r>
        <w:rPr>
          <w:rFonts w:ascii="Times New Roman" w:cs="Times New Roman" w:eastAsia="Times New Roman" w:hAnsi="Times New Roman"/>
          <w:sz w:val="20"/>
          <w:szCs w:val="20"/>
          <w:color w:val="auto"/>
        </w:rPr>
        <w:t xml:space="preserve">) and (b) to add the blue or green double-underlined text (indicated textually in the same manner as the following examples: </w:t>
      </w:r>
      <w:r>
        <w:rPr>
          <w:rFonts w:ascii="Times New Roman" w:cs="Times New Roman" w:eastAsia="Times New Roman" w:hAnsi="Times New Roman"/>
          <w:sz w:val="20"/>
          <w:szCs w:val="20"/>
          <w:u w:val="single" w:color="auto"/>
          <w:color w:val="0000FF"/>
        </w:rPr>
        <w:t>double-underlined text</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009900"/>
        </w:rPr>
        <w:t>double-underlined text</w:t>
      </w:r>
      <w:r>
        <w:rPr>
          <w:rFonts w:ascii="Times New Roman" w:cs="Times New Roman" w:eastAsia="Times New Roman" w:hAnsi="Times New Roman"/>
          <w:sz w:val="20"/>
          <w:szCs w:val="20"/>
          <w:color w:val="auto"/>
        </w:rPr>
        <w:t xml:space="preserve">), in each case, as set forth in the conformed copy of the Credit Agreement attached as </w:t>
      </w:r>
      <w:r>
        <w:rPr>
          <w:rFonts w:ascii="Times New Roman" w:cs="Times New Roman" w:eastAsia="Times New Roman" w:hAnsi="Times New Roman"/>
          <w:sz w:val="20"/>
          <w:szCs w:val="20"/>
          <w:u w:val="single" w:color="auto"/>
          <w:color w:val="auto"/>
        </w:rPr>
        <w:t>Annex A</w:t>
      </w:r>
      <w:r>
        <w:rPr>
          <w:rFonts w:ascii="Times New Roman" w:cs="Times New Roman" w:eastAsia="Times New Roman" w:hAnsi="Times New Roman"/>
          <w:sz w:val="20"/>
          <w:szCs w:val="20"/>
          <w:color w:val="auto"/>
        </w:rPr>
        <w:t xml:space="preserve"> hereto; and</w:t>
      </w:r>
    </w:p>
    <w:p>
      <w:pPr>
        <w:spacing w:after="0" w:line="172" w:lineRule="exact"/>
        <w:rPr>
          <w:rFonts w:ascii="Times New Roman" w:cs="Times New Roman" w:eastAsia="Times New Roman" w:hAnsi="Times New Roman"/>
          <w:sz w:val="20"/>
          <w:szCs w:val="20"/>
          <w:color w:val="auto"/>
        </w:rPr>
      </w:pPr>
    </w:p>
    <w:p>
      <w:pPr>
        <w:ind w:left="598" w:firstLine="1288"/>
        <w:spacing w:after="0" w:line="277" w:lineRule="auto"/>
        <w:tabs>
          <w:tab w:leader="none" w:pos="2485" w:val="left"/>
        </w:tabs>
        <w:numPr>
          <w:ilvl w:val="2"/>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Exhibits 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to the Credit Agreement are hereby amended in their entirety to read as set forth in the attached </w:t>
      </w:r>
      <w:r>
        <w:rPr>
          <w:rFonts w:ascii="Times New Roman" w:cs="Times New Roman" w:eastAsia="Times New Roman" w:hAnsi="Times New Roman"/>
          <w:sz w:val="20"/>
          <w:szCs w:val="20"/>
          <w:u w:val="single" w:color="auto"/>
          <w:color w:val="auto"/>
        </w:rPr>
        <w:t>Annex B</w:t>
      </w:r>
      <w:r>
        <w:rPr>
          <w:rFonts w:ascii="Times New Roman" w:cs="Times New Roman" w:eastAsia="Times New Roman" w:hAnsi="Times New Roman"/>
          <w:sz w:val="20"/>
          <w:szCs w:val="20"/>
          <w:color w:val="auto"/>
        </w:rPr>
        <w:t xml:space="preserve"> hereto.</w:t>
      </w:r>
    </w:p>
    <w:p>
      <w:pPr>
        <w:spacing w:after="0" w:line="151" w:lineRule="exact"/>
        <w:rPr>
          <w:rFonts w:ascii="Times New Roman" w:cs="Times New Roman" w:eastAsia="Times New Roman" w:hAnsi="Times New Roman"/>
          <w:sz w:val="20"/>
          <w:szCs w:val="20"/>
          <w:color w:val="auto"/>
        </w:rPr>
      </w:pPr>
    </w:p>
    <w:p>
      <w:pPr>
        <w:ind w:left="598" w:firstLine="646"/>
        <w:spacing w:after="0" w:line="277" w:lineRule="auto"/>
        <w:tabs>
          <w:tab w:leader="none" w:pos="1842"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to Effectiveness</w:t>
      </w:r>
      <w:r>
        <w:rPr>
          <w:rFonts w:ascii="Times New Roman" w:cs="Times New Roman" w:eastAsia="Times New Roman" w:hAnsi="Times New Roman"/>
          <w:sz w:val="20"/>
          <w:szCs w:val="20"/>
          <w:color w:val="auto"/>
        </w:rPr>
        <w:t>. The effectiveness of this Amendment is subject to the satisfaction or waiver of the following conditions (the date of such satisfaction or waiver,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w:t>
      </w:r>
    </w:p>
    <w:p>
      <w:pPr>
        <w:spacing w:after="0" w:line="191" w:lineRule="exact"/>
        <w:rPr>
          <w:rFonts w:ascii="Times New Roman" w:cs="Times New Roman" w:eastAsia="Times New Roman" w:hAnsi="Times New Roman"/>
          <w:sz w:val="20"/>
          <w:szCs w:val="20"/>
          <w:color w:val="auto"/>
        </w:rPr>
      </w:pPr>
    </w:p>
    <w:p>
      <w:pPr>
        <w:ind w:left="758" w:firstLine="647"/>
        <w:spacing w:after="0" w:line="263" w:lineRule="auto"/>
        <w:tabs>
          <w:tab w:leader="none" w:pos="1845"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The Administrative Agent shall have received counterparts of this Amendment executed by the Administrative Agent, the Revolving Credit Lenders and the Credit Parties.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38" w:hanging="238"/>
        <w:spacing w:after="0"/>
        <w:tabs>
          <w:tab w:leader="none" w:pos="23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color w:val="auto"/>
        </w:rPr>
        <w:t>186544839_3</w:t>
      </w:r>
    </w:p>
    <w:p>
      <w:pPr>
        <w:sectPr>
          <w:pgSz w:w="11900" w:h="16838" w:orient="portrait"/>
          <w:cols w:equalWidth="0" w:num="1">
            <w:col w:w="11038"/>
          </w:cols>
          <w:pgMar w:left="402" w:top="759" w:right="459" w:bottom="1440" w:gutter="0" w:footer="0" w:header="0"/>
        </w:sectPr>
      </w:pPr>
    </w:p>
    <w:bookmarkStart w:id="116" w:name="page117"/>
    <w:bookmarkEnd w:id="116"/>
    <w:p>
      <w:pPr>
        <w:jc w:val="both"/>
        <w:ind w:left="758" w:firstLine="647"/>
        <w:spacing w:after="0" w:line="250" w:lineRule="auto"/>
        <w:tabs>
          <w:tab w:leader="none" w:pos="1842"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Certified Resolutions</w:t>
      </w:r>
      <w:r>
        <w:rPr>
          <w:rFonts w:ascii="Times New Roman" w:cs="Times New Roman" w:eastAsia="Times New Roman" w:hAnsi="Times New Roman"/>
          <w:sz w:val="20"/>
          <w:szCs w:val="20"/>
          <w:color w:val="auto"/>
        </w:rPr>
        <w:t>. The Administrative Agent shall have received a certificate of a Responsible Officer of each Credit Party certifying that attached thereto is a true, correct and complete copy of resolutions duly adopted by the board of directors (or other governing body) of such Credit Party authorizing and approving the transactions contemplated hereunder and the execution, delivery and performance of this Amendment, in form and substance reasonably satisfactory to the Administrative Agent.</w:t>
      </w:r>
    </w:p>
    <w:p>
      <w:pPr>
        <w:spacing w:after="0" w:line="193" w:lineRule="exact"/>
        <w:rPr>
          <w:rFonts w:ascii="Times New Roman" w:cs="Times New Roman" w:eastAsia="Times New Roman" w:hAnsi="Times New Roman"/>
          <w:sz w:val="20"/>
          <w:szCs w:val="20"/>
          <w:color w:val="auto"/>
        </w:rPr>
      </w:pPr>
    </w:p>
    <w:p>
      <w:pPr>
        <w:ind w:left="1858" w:hanging="454"/>
        <w:spacing w:after="0"/>
        <w:tabs>
          <w:tab w:leader="none" w:pos="1858"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at Closing</w:t>
      </w:r>
      <w:r>
        <w:rPr>
          <w:rFonts w:ascii="Times New Roman" w:cs="Times New Roman" w:eastAsia="Times New Roman" w:hAnsi="Times New Roman"/>
          <w:sz w:val="20"/>
          <w:szCs w:val="20"/>
          <w:color w:val="auto"/>
        </w:rPr>
        <w:t>. The Borrowers shall have paid or made arrangements to pay contemporaneously with closing</w:t>
      </w:r>
    </w:p>
    <w:p>
      <w:pPr>
        <w:spacing w:after="0" w:line="19" w:lineRule="exact"/>
        <w:rPr>
          <w:rFonts w:ascii="Times New Roman" w:cs="Times New Roman" w:eastAsia="Times New Roman" w:hAnsi="Times New Roman"/>
          <w:sz w:val="20"/>
          <w:szCs w:val="20"/>
          <w:color w:val="auto"/>
        </w:rPr>
      </w:pPr>
    </w:p>
    <w:p>
      <w:pPr>
        <w:ind w:left="1138" w:hanging="376"/>
        <w:spacing w:after="0"/>
        <w:tabs>
          <w:tab w:leader="none" w:pos="113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Administrative Agent, Wells Fargo Securities, LLC and the Lenders the fees as separately agreed among the</w:t>
      </w:r>
    </w:p>
    <w:p>
      <w:pPr>
        <w:spacing w:after="0" w:line="3" w:lineRule="exact"/>
        <w:rPr>
          <w:sz w:val="20"/>
          <w:szCs w:val="20"/>
          <w:color w:val="auto"/>
        </w:rPr>
      </w:pPr>
    </w:p>
    <w:p>
      <w:pPr>
        <w:jc w:val="both"/>
        <w:ind w:left="758"/>
        <w:spacing w:after="0" w:line="246" w:lineRule="auto"/>
        <w:rPr>
          <w:sz w:val="20"/>
          <w:szCs w:val="20"/>
          <w:color w:val="auto"/>
        </w:rPr>
      </w:pPr>
      <w:r>
        <w:rPr>
          <w:rFonts w:ascii="Times New Roman" w:cs="Times New Roman" w:eastAsia="Times New Roman" w:hAnsi="Times New Roman"/>
          <w:sz w:val="20"/>
          <w:szCs w:val="20"/>
          <w:color w:val="auto"/>
        </w:rPr>
        <w:t>Administrative Agent, Wells Fargo Securities, LLC, the Lenders and the Borrowers and any other accrued and unpaid fees or commissions due hereunder, (B) all fees, charges and disbursements of counsel to the Administrative Agent (directly to such counsel if requested by the Administrative Agent) to the extent accrued and unpaid prior to or on the Effective Date, plus such additional amounts of such fees, charges and disbursements as shall constitute its reasonable estimate of such fees, charges and disbursements incurred or to be incurred by it through the closing proceedings (provided that such estimate shall not thereafter preclude a final settling of accounts between the Borrowers and the Administrative Agent) and (C) to any other Person such amount as may be due thereto in connection with the transactions contemplated hereby, including all taxes, fees and other charges in connection with the execution, delivery, recording, filing and registration of any of the Loan Documents.</w:t>
      </w:r>
    </w:p>
    <w:p>
      <w:pPr>
        <w:spacing w:after="0" w:line="187" w:lineRule="exact"/>
        <w:rPr>
          <w:sz w:val="20"/>
          <w:szCs w:val="20"/>
          <w:color w:val="auto"/>
        </w:rPr>
      </w:pPr>
    </w:p>
    <w:p>
      <w:pPr>
        <w:jc w:val="both"/>
        <w:ind w:left="598" w:firstLine="642"/>
        <w:spacing w:after="0" w:line="254" w:lineRule="auto"/>
        <w:rPr>
          <w:sz w:val="20"/>
          <w:szCs w:val="20"/>
          <w:color w:val="auto"/>
        </w:rPr>
      </w:pPr>
      <w:r>
        <w:rPr>
          <w:rFonts w:ascii="Times New Roman" w:cs="Times New Roman" w:eastAsia="Times New Roman" w:hAnsi="Times New Roman"/>
          <w:sz w:val="20"/>
          <w:szCs w:val="20"/>
          <w:color w:val="auto"/>
        </w:rPr>
        <w:t xml:space="preserve">Without limiting the generality of the provisions of </w:t>
      </w:r>
      <w:r>
        <w:rPr>
          <w:rFonts w:ascii="Times New Roman" w:cs="Times New Roman" w:eastAsia="Times New Roman" w:hAnsi="Times New Roman"/>
          <w:sz w:val="20"/>
          <w:szCs w:val="20"/>
          <w:u w:val="single" w:color="auto"/>
          <w:color w:val="auto"/>
        </w:rPr>
        <w:t>Section 11.3</w:t>
      </w:r>
      <w:r>
        <w:rPr>
          <w:rFonts w:ascii="Times New Roman" w:cs="Times New Roman" w:eastAsia="Times New Roman" w:hAnsi="Times New Roman"/>
          <w:sz w:val="20"/>
          <w:szCs w:val="20"/>
          <w:color w:val="auto"/>
        </w:rPr>
        <w:t xml:space="preserve"> of the Credit Agreement, for purposes of determining compliance with the conditions specified in this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or otherwise, each Lender that has signed this Amendment shall be deemed to have consented to, approved or accepted or to be satisfied with, each document or other matter required thereunder to be consented to or approved by or acceptable or satisfactory to a Lender unless the Administrative Agent shall have received written notice from such Lender prior to the proposed Effective Date specifying its objection thereto.</w:t>
      </w:r>
    </w:p>
    <w:p>
      <w:pPr>
        <w:spacing w:after="0" w:line="174" w:lineRule="exact"/>
        <w:rPr>
          <w:sz w:val="20"/>
          <w:szCs w:val="20"/>
          <w:color w:val="auto"/>
        </w:rPr>
      </w:pPr>
    </w:p>
    <w:p>
      <w:pPr>
        <w:ind w:left="1878" w:hanging="633"/>
        <w:spacing w:after="0"/>
        <w:tabs>
          <w:tab w:leader="none" w:pos="187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Each Credit Party represents and warrants as follows:</w:t>
      </w:r>
    </w:p>
    <w:p>
      <w:pPr>
        <w:spacing w:after="0" w:line="225" w:lineRule="exact"/>
        <w:rPr>
          <w:sz w:val="20"/>
          <w:szCs w:val="20"/>
          <w:color w:val="auto"/>
        </w:rPr>
      </w:pPr>
    </w:p>
    <w:p>
      <w:pPr>
        <w:jc w:val="both"/>
        <w:ind w:left="598" w:firstLine="645"/>
        <w:spacing w:after="0" w:line="250" w:lineRule="auto"/>
        <w:tabs>
          <w:tab w:leader="none" w:pos="1845"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has the right, power, and authority and has taken all necessary corporate or other action to authorize the execution, delivery and performance of this Amendment. This Amendment constitutes a legal, valid and binding obligation of such Credit Party, enforceable against each Credit Party that is party hereto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93" w:lineRule="exact"/>
        <w:rPr>
          <w:rFonts w:ascii="Times New Roman" w:cs="Times New Roman" w:eastAsia="Times New Roman" w:hAnsi="Times New Roman"/>
          <w:sz w:val="20"/>
          <w:szCs w:val="20"/>
          <w:color w:val="auto"/>
        </w:rPr>
      </w:pPr>
    </w:p>
    <w:p>
      <w:pPr>
        <w:jc w:val="both"/>
        <w:ind w:left="598" w:firstLine="646"/>
        <w:spacing w:after="0" w:line="248" w:lineRule="auto"/>
        <w:tabs>
          <w:tab w:leader="none" w:pos="1843"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by each Credit Party of this Amendment and the transactions contemplated hereby do not and will not, by the passage of time, the giving of notice or otherwise, (i) require any Governmental Approval or violate any Applicable Law relating to any Credit Party or any Subsidiary thereof where the failure to obtain such Governmental Approval or such violation could reasonably be expected to have a Material Adverse Effect, (ii) conflict with, result in a breach of or constitute a default under the articles of incorporation, bylaws or other organizational documents of any Credit Party or any Subsidiary thereof, (iii) conflict with, result in a breach of or constitute a default under any indenture, agreement or other instrument to which such Person is a party or by which any of its properties may be bound or any Governmental Approval relating to such Person, which could, individually or in the aggregate, reasonably be expected to have a Material Adverse Effect, (iv) result in or require the creation or imposition of any Lien upon or with respect to any property now owned or hereafter acquired by such Person other than Permitted Liens or (v) require any consent or authorization of, filing with, or other act in respect of, an arbitrator or Governmental Authority and no consent of any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38" w:hanging="238"/>
        <w:spacing w:after="0"/>
        <w:tabs>
          <w:tab w:leader="none" w:pos="23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color w:val="auto"/>
        </w:rPr>
        <w:t>186544839_3</w:t>
      </w:r>
    </w:p>
    <w:p>
      <w:pPr>
        <w:sectPr>
          <w:pgSz w:w="11900" w:h="16838" w:orient="portrait"/>
          <w:cols w:equalWidth="0" w:num="1">
            <w:col w:w="11038"/>
          </w:cols>
          <w:pgMar w:left="402" w:top="1401" w:right="459" w:bottom="1440" w:gutter="0" w:footer="0" w:header="0"/>
        </w:sectPr>
      </w:pPr>
    </w:p>
    <w:bookmarkStart w:id="117" w:name="page118"/>
    <w:bookmarkEnd w:id="117"/>
    <w:p>
      <w:pPr>
        <w:spacing w:after="0" w:line="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other Person is required in connection with the execution, delivery, performance, validity or enforceability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3  </w:t>
      </w:r>
      <w:r>
        <w:rPr>
          <w:rFonts w:ascii="Times New Roman" w:cs="Times New Roman" w:eastAsia="Times New Roman" w:hAnsi="Times New Roman"/>
          <w:sz w:val="14"/>
          <w:szCs w:val="14"/>
          <w:color w:val="auto"/>
        </w:rPr>
        <w:t>186544839_3</w:t>
      </w:r>
    </w:p>
    <w:p>
      <w:pPr>
        <w:sectPr>
          <w:pgSz w:w="11900" w:h="16838" w:orient="portrait"/>
          <w:cols w:equalWidth="0" w:num="1">
            <w:col w:w="10059"/>
          </w:cols>
          <w:pgMar w:left="400" w:top="1440" w:right="1440" w:bottom="1440" w:gutter="0" w:footer="0" w:header="0"/>
        </w:sectPr>
      </w:pPr>
    </w:p>
    <w:bookmarkStart w:id="118" w:name="page119"/>
    <w:bookmarkEnd w:id="118"/>
    <w:p>
      <w:pPr>
        <w:spacing w:after="0" w:line="202" w:lineRule="exact"/>
        <w:rPr>
          <w:sz w:val="20"/>
          <w:szCs w:val="20"/>
          <w:color w:val="auto"/>
        </w:rPr>
      </w:pPr>
    </w:p>
    <w:p>
      <w:pPr>
        <w:ind w:left="598"/>
        <w:spacing w:after="0" w:line="263" w:lineRule="auto"/>
        <w:rPr>
          <w:sz w:val="20"/>
          <w:szCs w:val="20"/>
          <w:color w:val="auto"/>
        </w:rPr>
      </w:pPr>
      <w:r>
        <w:rPr>
          <w:rFonts w:ascii="Times New Roman" w:cs="Times New Roman" w:eastAsia="Times New Roman" w:hAnsi="Times New Roman"/>
          <w:sz w:val="20"/>
          <w:szCs w:val="20"/>
          <w:color w:val="auto"/>
        </w:rPr>
        <w:t>Amendment other than consents, authorizations, filings or other acts or consents for which the failure to obtain or make could not, individually or in the aggregate, reasonably be expected to have a Material Adverse Effect.</w:t>
      </w:r>
    </w:p>
    <w:p>
      <w:pPr>
        <w:spacing w:after="0" w:line="178" w:lineRule="exact"/>
        <w:rPr>
          <w:sz w:val="20"/>
          <w:szCs w:val="20"/>
          <w:color w:val="auto"/>
        </w:rPr>
      </w:pPr>
    </w:p>
    <w:p>
      <w:pPr>
        <w:jc w:val="both"/>
        <w:ind w:left="598" w:firstLine="646"/>
        <w:spacing w:after="0" w:line="250" w:lineRule="auto"/>
        <w:tabs>
          <w:tab w:leader="none" w:pos="1846" w:val="left"/>
        </w:tabs>
        <w:numPr>
          <w:ilvl w:val="2"/>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giving effect to this Amendment, the representations and warranties contained in each of the Loan Documents are true and correct in all material respects, except for any representation and warranty that is qualified by materiality or reference to Material Adverse Effect, which such representation and warranty are true and correct in all respects, on and as of the date hereof as though made on and as of such date (other than any such representations or warranties that, by their terms, refer to a specific date, in which case as of such specific date).</w:t>
      </w:r>
    </w:p>
    <w:p>
      <w:pPr>
        <w:spacing w:after="0" w:line="193" w:lineRule="exact"/>
        <w:rPr>
          <w:rFonts w:ascii="Times New Roman" w:cs="Times New Roman" w:eastAsia="Times New Roman" w:hAnsi="Times New Roman"/>
          <w:sz w:val="20"/>
          <w:szCs w:val="20"/>
          <w:color w:val="auto"/>
        </w:rPr>
      </w:pPr>
    </w:p>
    <w:p>
      <w:pPr>
        <w:ind w:left="1878" w:hanging="633"/>
        <w:spacing w:after="0"/>
        <w:tabs>
          <w:tab w:leader="none" w:pos="1878" w:val="left"/>
        </w:tabs>
        <w:numPr>
          <w:ilvl w:val="2"/>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shall exist after giving effect to this Amendment.</w:t>
      </w:r>
    </w:p>
    <w:p>
      <w:pPr>
        <w:spacing w:after="0" w:line="211" w:lineRule="exact"/>
        <w:rPr>
          <w:rFonts w:ascii="Times New Roman" w:cs="Times New Roman" w:eastAsia="Times New Roman" w:hAnsi="Times New Roman"/>
          <w:sz w:val="20"/>
          <w:szCs w:val="20"/>
          <w:color w:val="auto"/>
        </w:rPr>
      </w:pPr>
    </w:p>
    <w:p>
      <w:pPr>
        <w:jc w:val="both"/>
        <w:ind w:left="598" w:firstLine="646"/>
        <w:spacing w:after="0" w:line="247" w:lineRule="auto"/>
        <w:tabs>
          <w:tab w:leader="none" w:pos="1842"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Limited Effect</w:t>
      </w:r>
      <w:r>
        <w:rPr>
          <w:rFonts w:ascii="Times New Roman" w:cs="Times New Roman" w:eastAsia="Times New Roman" w:hAnsi="Times New Roman"/>
          <w:sz w:val="20"/>
          <w:szCs w:val="20"/>
          <w:color w:val="auto"/>
        </w:rPr>
        <w:t>. Except as expressly provided herein, the Credit Agreement and the other Loan Documents shall remain unmodified and in full force and effect. This Amendment shall not be deemed (a) to be a waiver of, consent to, or a modification or amendment of any other term or condition of the Credit Agreement or any other Loan Document, (b) to prejudice any right or rights which the Administrative Agent or the Lenders may now have or may have in the future under or in connection with the Credit Agreement or the other Loan Documents or any of the instruments or agreements referred to therein, as the same may be amended, restated, supplemented or modified from time to time, (c) to be a commitment or any other undertaking or expression of any willingness to engage in any further discussion with the Credit Parties or any of their respective Subsidiaries or any other Person with respect to any other waiver, amendment, modification or any other change to the Credit Agreement or the Loan Documents or any rights or remedies arising in favor of the Lenders or the Administrative Agent, or any of them, under or with respect to any such documents or (d) to be a waiver of, or consent to, or a modification or amendment of, any other term or condition of any other agreement by and among the Credit Parties, on the one hand, and the Administrative Agent or any other Lender, on the other hand. References in the Credit Agreement to “this Agreement” (and indirect references such as “hereunder”, “hereby”, “herein”, “hereof” or other words of like import) and in any other Loan Document to the “Credit Agreement” shall be deemed to be references to the Credit Agreement as modified hereby. Without limiting the generality of the foregoing, the execution and delivery of this Amendment (including the annexes hereto) shall not constitute a novation of any indebtedness or other obligations owing to the Lenders or the Administrative Agent under the Credit Agreement based on facts or events occurring or existing prior to the execution and delivery of this Amendment.</w:t>
      </w:r>
    </w:p>
    <w:p>
      <w:pPr>
        <w:spacing w:after="0" w:line="215" w:lineRule="exact"/>
        <w:rPr>
          <w:rFonts w:ascii="Times New Roman" w:cs="Times New Roman" w:eastAsia="Times New Roman" w:hAnsi="Times New Roman"/>
          <w:sz w:val="20"/>
          <w:szCs w:val="20"/>
          <w:color w:val="auto"/>
        </w:rPr>
      </w:pPr>
    </w:p>
    <w:p>
      <w:pPr>
        <w:jc w:val="both"/>
        <w:ind w:left="598" w:firstLine="646"/>
        <w:spacing w:after="0" w:line="251" w:lineRule="auto"/>
        <w:tabs>
          <w:tab w:leader="none" w:pos="1842"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Reaffirmation</w:t>
      </w:r>
      <w:r>
        <w:rPr>
          <w:rFonts w:ascii="Times New Roman" w:cs="Times New Roman" w:eastAsia="Times New Roman" w:hAnsi="Times New Roman"/>
          <w:sz w:val="20"/>
          <w:szCs w:val="20"/>
          <w:color w:val="auto"/>
        </w:rPr>
        <w:t>. By its execution hereof, each Credit Party (a) consents to this Amendment and agrees that the transactions contemplated by this Amendment shall not limit or diminish the obligations of such Person, or release such Person from any obligations, under any of the Loan Documents to which it is a party, (b) confirms and reaffirms its obligations under each of the Loan Documents to which it is a party and</w:t>
      </w:r>
    </w:p>
    <w:p>
      <w:pPr>
        <w:spacing w:after="0" w:line="1" w:lineRule="exact"/>
        <w:rPr>
          <w:rFonts w:ascii="Times New Roman" w:cs="Times New Roman" w:eastAsia="Times New Roman" w:hAnsi="Times New Roman"/>
          <w:sz w:val="20"/>
          <w:szCs w:val="20"/>
          <w:color w:val="auto"/>
        </w:rPr>
      </w:pPr>
    </w:p>
    <w:p>
      <w:pPr>
        <w:ind w:left="598" w:right="20" w:firstLine="4"/>
        <w:spacing w:after="0" w:line="248" w:lineRule="auto"/>
        <w:tabs>
          <w:tab w:leader="none" w:pos="899"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agrees that each of the Loan Documents to which it is a party remain in full force and effect and are hereby ratified and confirmed.</w:t>
      </w:r>
    </w:p>
    <w:p>
      <w:pPr>
        <w:spacing w:after="0" w:line="219" w:lineRule="exact"/>
        <w:rPr>
          <w:rFonts w:ascii="Times New Roman" w:cs="Times New Roman" w:eastAsia="Times New Roman" w:hAnsi="Times New Roman"/>
          <w:sz w:val="20"/>
          <w:szCs w:val="20"/>
          <w:color w:val="auto"/>
        </w:rPr>
      </w:pPr>
    </w:p>
    <w:p>
      <w:pPr>
        <w:jc w:val="both"/>
        <w:ind w:left="598" w:firstLine="646"/>
        <w:spacing w:after="0" w:line="250" w:lineRule="auto"/>
        <w:tabs>
          <w:tab w:leader="none" w:pos="1842"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Execution in Counterparts</w:t>
      </w:r>
      <w:r>
        <w:rPr>
          <w:rFonts w:ascii="Times New Roman" w:cs="Times New Roman" w:eastAsia="Times New Roman" w:hAnsi="Times New Roman"/>
          <w:sz w:val="20"/>
          <w:szCs w:val="20"/>
          <w:color w:val="auto"/>
        </w:rPr>
        <w:t>. This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by facsimile or in electronic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“pdf” or “tif”) format shall be effective as delivery of a manually executed counterpart of this Amendment. The execution and delivery of this Amendment shall be deemed to include Electronic Signatures on electronic platforms approved by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38" w:hanging="238"/>
        <w:spacing w:after="0"/>
        <w:tabs>
          <w:tab w:leader="none" w:pos="238"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color w:val="auto"/>
        </w:rPr>
        <w:t>186544839_3</w:t>
      </w:r>
    </w:p>
    <w:p>
      <w:pPr>
        <w:sectPr>
          <w:pgSz w:w="11900" w:h="16838" w:orient="portrait"/>
          <w:cols w:equalWidth="0" w:num="1">
            <w:col w:w="11038"/>
          </w:cols>
          <w:pgMar w:left="402" w:top="1440" w:right="459" w:bottom="1440" w:gutter="0" w:footer="0" w:header="0"/>
        </w:sectPr>
      </w:pPr>
    </w:p>
    <w:bookmarkStart w:id="119" w:name="page120"/>
    <w:bookmarkEnd w:id="119"/>
    <w:p>
      <w:pPr>
        <w:jc w:val="both"/>
        <w:ind w:left="598"/>
        <w:spacing w:after="0" w:line="257" w:lineRule="auto"/>
        <w:rPr>
          <w:sz w:val="20"/>
          <w:szCs w:val="20"/>
          <w:color w:val="auto"/>
        </w:rPr>
      </w:pPr>
      <w:r>
        <w:rPr>
          <w:rFonts w:ascii="Times New Roman" w:cs="Times New Roman" w:eastAsia="Times New Roman" w:hAnsi="Times New Roman"/>
          <w:sz w:val="20"/>
          <w:szCs w:val="20"/>
          <w:color w:val="auto"/>
        </w:rPr>
        <w:t>the Administrative Agent, which shall be of the same legal effect, validity or enforceability as delivery of a manually executed signature, to the extent and as provided for in any applicable law, including the Federal Electronic Signatures in Global and National Commerce Act, the New York State Electronic 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38" w:hanging="238"/>
        <w:spacing w:after="0"/>
        <w:tabs>
          <w:tab w:leader="none" w:pos="238"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color w:val="auto"/>
        </w:rPr>
        <w:t>186544839_3</w:t>
      </w:r>
    </w:p>
    <w:p>
      <w:pPr>
        <w:sectPr>
          <w:pgSz w:w="11900" w:h="16838" w:orient="portrait"/>
          <w:cols w:equalWidth="0" w:num="1">
            <w:col w:w="11038"/>
          </w:cols>
          <w:pgMar w:left="402" w:top="1320" w:right="459" w:bottom="1440" w:gutter="0" w:footer="0" w:header="0"/>
        </w:sectPr>
      </w:pPr>
    </w:p>
    <w:bookmarkStart w:id="120" w:name="page121"/>
    <w:bookmarkEnd w:id="120"/>
    <w:p>
      <w:pPr>
        <w:spacing w:after="0" w:line="202" w:lineRule="exact"/>
        <w:rPr>
          <w:sz w:val="20"/>
          <w:szCs w:val="20"/>
          <w:color w:val="auto"/>
        </w:rPr>
      </w:pPr>
    </w:p>
    <w:p>
      <w:pPr>
        <w:ind w:left="598"/>
        <w:spacing w:after="0" w:line="263" w:lineRule="auto"/>
        <w:rPr>
          <w:sz w:val="20"/>
          <w:szCs w:val="20"/>
          <w:color w:val="auto"/>
        </w:rPr>
      </w:pPr>
      <w:r>
        <w:rPr>
          <w:rFonts w:ascii="Times New Roman" w:cs="Times New Roman" w:eastAsia="Times New Roman" w:hAnsi="Times New Roman"/>
          <w:sz w:val="20"/>
          <w:szCs w:val="20"/>
          <w:color w:val="auto"/>
        </w:rPr>
        <w:t xml:space="preserve">and Records Act, or any other similar state laws based on the Uniform Electronic Transactions Act;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upon the request of any party hereto, such Electronic Signature shall be promptly followed by the original thereof</w:t>
      </w:r>
    </w:p>
    <w:p>
      <w:pPr>
        <w:spacing w:after="0" w:line="191" w:lineRule="exact"/>
        <w:rPr>
          <w:sz w:val="20"/>
          <w:szCs w:val="20"/>
          <w:color w:val="auto"/>
        </w:rPr>
      </w:pPr>
    </w:p>
    <w:p>
      <w:pPr>
        <w:jc w:val="both"/>
        <w:ind w:left="598" w:firstLine="646"/>
        <w:spacing w:after="0" w:line="250" w:lineRule="auto"/>
        <w:tabs>
          <w:tab w:leader="none" w:pos="1842"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AMENDMENT AND ANY CLAIM, CONTROVERSY, DISPUTE OR CAUSE OF ACTION (WHETHER IN CONTRACT OR TORT OR OTHERWISE) BASED UPON, ARISING OUT OF OR RELATING TO THIS AMENDMENT AND THE TRANSACTIONS CONTEMPLATED HEREBY SHALL BE GOVERNED BY, AND CONSTRUED IN ACCORDANCE WITH, THE LAW OF THE STATE OF NEW YORK.</w:t>
      </w:r>
    </w:p>
    <w:p>
      <w:pPr>
        <w:spacing w:after="0" w:line="191" w:lineRule="exact"/>
        <w:rPr>
          <w:rFonts w:ascii="Times New Roman" w:cs="Times New Roman" w:eastAsia="Times New Roman" w:hAnsi="Times New Roman"/>
          <w:sz w:val="20"/>
          <w:szCs w:val="20"/>
          <w:color w:val="auto"/>
        </w:rPr>
      </w:pPr>
    </w:p>
    <w:p>
      <w:pPr>
        <w:jc w:val="both"/>
        <w:ind w:left="598" w:firstLine="646"/>
        <w:spacing w:after="0" w:line="255" w:lineRule="auto"/>
        <w:tabs>
          <w:tab w:leader="none" w:pos="1842"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Amendment and the other Loan Documents, and any separate letter agreements with respect to fees payable to the Administrative Agent and/or the Lead Arrangers, constitute the entire agreement among the parties relating to the subject matter hereof and supersede any and all previous agreements and understandings, oral or written, relating to the subject matter hereof.</w:t>
      </w:r>
    </w:p>
    <w:p>
      <w:pPr>
        <w:spacing w:after="0" w:line="172" w:lineRule="exact"/>
        <w:rPr>
          <w:rFonts w:ascii="Times New Roman" w:cs="Times New Roman" w:eastAsia="Times New Roman" w:hAnsi="Times New Roman"/>
          <w:sz w:val="20"/>
          <w:szCs w:val="20"/>
          <w:color w:val="auto"/>
        </w:rPr>
      </w:pPr>
    </w:p>
    <w:p>
      <w:pPr>
        <w:ind w:left="598" w:firstLine="646"/>
        <w:spacing w:after="0" w:line="277" w:lineRule="auto"/>
        <w:tabs>
          <w:tab w:leader="none" w:pos="1846"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This Amendment shall be binding on and inure to the benefit of the parties and their heirs, beneficiaries, successors and permitted assigns.</w:t>
      </w:r>
    </w:p>
    <w:p>
      <w:pPr>
        <w:spacing w:after="0" w:line="151" w:lineRule="exact"/>
        <w:rPr>
          <w:rFonts w:ascii="Times New Roman" w:cs="Times New Roman" w:eastAsia="Times New Roman" w:hAnsi="Times New Roman"/>
          <w:sz w:val="20"/>
          <w:szCs w:val="20"/>
          <w:color w:val="auto"/>
        </w:rPr>
      </w:pPr>
    </w:p>
    <w:p>
      <w:pPr>
        <w:jc w:val="both"/>
        <w:ind w:left="598" w:firstLine="646"/>
        <w:spacing w:after="0" w:line="249" w:lineRule="auto"/>
        <w:tabs>
          <w:tab w:leader="none" w:pos="1839"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Outstanding Loans Bearing Interest Based on the CDOR Rate</w:t>
      </w:r>
      <w:r>
        <w:rPr>
          <w:rFonts w:ascii="Times New Roman" w:cs="Times New Roman" w:eastAsia="Times New Roman" w:hAnsi="Times New Roman"/>
          <w:sz w:val="20"/>
          <w:szCs w:val="20"/>
          <w:color w:val="auto"/>
        </w:rPr>
        <w:t>. Upon the effectiveness of this Amendment, all CDOR Rate Loans (as defined in the Existing Credit Agreement) then outstanding under the Existing Credit Agreement shall continue as CDOR Rate Loans (as defined in the Existing Credit Agreement) under the Credit Agreement (but subject to the applicable interest rate terms (including breakage) with respect thereto under the Existing Credit Agreement) solely for the duration of the existing Interest Periods applicable thereto as of the effective date of this Amendment; it being understood that such CDOR Rate Loans and such Interest Periods are not being renewed or extended as a result of this Amendment or the Credit Agreement and upon the expiration or earlier termination of such Interest Periods such CDOR Rate Loans shall become either Term CORRA Loans or Canadian Base Rate Loans (each as defined in the Credit Agreement), in each case as selected by the applicable Borrower in accordance with the provisions of the Credit Agreement.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7"/>
        <w:spacing w:after="0"/>
        <w:rPr>
          <w:sz w:val="20"/>
          <w:szCs w:val="20"/>
          <w:color w:val="auto"/>
        </w:rPr>
      </w:pPr>
      <w:r>
        <w:rPr>
          <w:rFonts w:ascii="Times New Roman" w:cs="Times New Roman" w:eastAsia="Times New Roman" w:hAnsi="Times New Roman"/>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38" w:hanging="238"/>
        <w:spacing w:after="0"/>
        <w:tabs>
          <w:tab w:leader="none" w:pos="238"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color w:val="auto"/>
        </w:rPr>
        <w:t>186544839_3</w:t>
      </w:r>
    </w:p>
    <w:p>
      <w:pPr>
        <w:sectPr>
          <w:pgSz w:w="11900" w:h="16838" w:orient="portrait"/>
          <w:cols w:equalWidth="0" w:num="1">
            <w:col w:w="11038"/>
          </w:cols>
          <w:pgMar w:left="402" w:top="1440" w:right="459" w:bottom="1440" w:gutter="0" w:footer="0" w:header="0"/>
        </w:sectPr>
      </w:pPr>
    </w:p>
    <w:bookmarkStart w:id="121" w:name="page122"/>
    <w:bookmarkEnd w:id="121"/>
    <w:p>
      <w:pPr>
        <w:spacing w:after="0" w:line="246" w:lineRule="exact"/>
        <w:rPr>
          <w:sz w:val="20"/>
          <w:szCs w:val="20"/>
          <w:color w:val="auto"/>
        </w:rPr>
      </w:pPr>
    </w:p>
    <w:p>
      <w:pPr>
        <w:ind w:left="700" w:firstLine="5"/>
        <w:spacing w:after="0" w:line="278" w:lineRule="auto"/>
        <w:rPr>
          <w:sz w:val="20"/>
          <w:szCs w:val="20"/>
          <w:color w:val="auto"/>
        </w:rPr>
      </w:pPr>
      <w:r>
        <w:rPr>
          <w:rFonts w:ascii="Times New Roman" w:cs="Times New Roman" w:eastAsia="Times New Roman" w:hAnsi="Times New Roman"/>
          <w:sz w:val="18"/>
          <w:szCs w:val="18"/>
          <w:color w:val="2A2A2A"/>
        </w:rPr>
        <w:t>IN WITNESS WHEREOF, the parties hereto have caused this Amendment to be executed under seal by their duly authorized officers, all as of the day and year first written above.</w:t>
      </w:r>
    </w:p>
    <w:p>
      <w:pPr>
        <w:spacing w:after="0" w:line="200" w:lineRule="exact"/>
        <w:rPr>
          <w:sz w:val="20"/>
          <w:szCs w:val="20"/>
          <w:color w:val="auto"/>
        </w:rPr>
      </w:pPr>
    </w:p>
    <w:p>
      <w:pPr>
        <w:spacing w:after="0" w:line="25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u w:val="single" w:color="auto"/>
          <w:color w:val="2A2A2A"/>
        </w:rPr>
        <w:t>BORROWERS:</w:t>
      </w:r>
    </w:p>
    <w:p>
      <w:pPr>
        <w:spacing w:after="0" w:line="200" w:lineRule="exact"/>
        <w:rPr>
          <w:sz w:val="20"/>
          <w:szCs w:val="20"/>
          <w:color w:val="auto"/>
        </w:rPr>
      </w:pPr>
    </w:p>
    <w:p>
      <w:pPr>
        <w:spacing w:after="0" w:line="30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3D3D3D"/>
        </w:rPr>
        <w:t>CENTURI GROUP, INC.</w:t>
      </w:r>
    </w:p>
    <w:p>
      <w:pPr>
        <w:spacing w:after="0" w:line="2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3D3D3D"/>
        </w:rPr>
        <w:t>By: /s/ Kevin L. 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2931795</wp:posOffset>
            </wp:positionH>
            <wp:positionV relativeFrom="paragraph">
              <wp:posOffset>-20955</wp:posOffset>
            </wp:positionV>
            <wp:extent cx="8204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32">
                      <a:extLst>
                        <a:ext uri="{28A0092B-C50C-407E-A947-70E740481C1C}"/>
                      </a:extLst>
                    </a:blip>
                    <a:srcRect/>
                    <a:stretch>
                      <a:fillRect/>
                    </a:stretch>
                  </pic:blipFill>
                  <pic:spPr bwMode="auto">
                    <a:xfrm>
                      <a:off x="0" y="0"/>
                      <a:ext cx="820420" cy="8255"/>
                    </a:xfrm>
                    <a:prstGeom prst="rect">
                      <a:avLst/>
                    </a:prstGeom>
                    <a:noFill/>
                  </pic:spPr>
                </pic:pic>
              </a:graphicData>
            </a:graphic>
          </wp:anchor>
        </w:drawing>
      </w:r>
    </w:p>
    <w:p>
      <w:pPr>
        <w:ind w:left="4360"/>
        <w:spacing w:after="0"/>
        <w:rPr>
          <w:sz w:val="20"/>
          <w:szCs w:val="20"/>
          <w:color w:val="auto"/>
        </w:rPr>
      </w:pPr>
      <w:r>
        <w:rPr>
          <w:rFonts w:ascii="Times New Roman" w:cs="Times New Roman" w:eastAsia="Times New Roman" w:hAnsi="Times New Roman"/>
          <w:sz w:val="18"/>
          <w:szCs w:val="18"/>
          <w:color w:val="3D3D3D"/>
        </w:rPr>
        <w:t>Name: Kevin L. Neill</w:t>
      </w:r>
    </w:p>
    <w:p>
      <w:pPr>
        <w:spacing w:after="0" w:line="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2A2A2A"/>
        </w:rPr>
        <w:t>Title: Executive Vice President/Treasurer</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3D3D3D"/>
        </w:rPr>
        <w:t xml:space="preserve">CENTURI CANADA </w:t>
      </w:r>
      <w:r>
        <w:rPr>
          <w:rFonts w:ascii="Times New Roman" w:cs="Times New Roman" w:eastAsia="Times New Roman" w:hAnsi="Times New Roman"/>
          <w:sz w:val="18"/>
          <w:szCs w:val="18"/>
          <w:color w:val="2A2A2A"/>
        </w:rPr>
        <w:t>DIVISION INC.</w:t>
      </w:r>
    </w:p>
    <w:p>
      <w:pPr>
        <w:spacing w:after="0" w:line="14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2A2A2A"/>
        </w:rPr>
        <w:t xml:space="preserve">By: </w:t>
      </w:r>
      <w:r>
        <w:rPr>
          <w:rFonts w:ascii="Times New Roman" w:cs="Times New Roman" w:eastAsia="Times New Roman" w:hAnsi="Times New Roman"/>
          <w:sz w:val="18"/>
          <w:szCs w:val="18"/>
          <w:u w:val="single" w:color="auto"/>
          <w:color w:val="2A2A2A"/>
        </w:rPr>
        <w:t>/s/ Kevin L. Neill</w:t>
      </w:r>
    </w:p>
    <w:p>
      <w:pPr>
        <w:spacing w:after="0" w:line="10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2A2A2A"/>
        </w:rPr>
        <w:t>Name: Kevin L. Neill 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5780"/>
        <w:spacing w:after="0"/>
        <w:rPr>
          <w:sz w:val="20"/>
          <w:szCs w:val="20"/>
          <w:color w:val="auto"/>
        </w:rPr>
      </w:pPr>
      <w:r>
        <w:rPr>
          <w:rFonts w:ascii="Times New Roman" w:cs="Times New Roman" w:eastAsia="Times New Roman" w:hAnsi="Times New Roman"/>
          <w:sz w:val="14"/>
          <w:szCs w:val="14"/>
          <w:color w:val="2A2A2A"/>
        </w:rPr>
        <w:t>Centuri Group, Inc.</w:t>
      </w:r>
    </w:p>
    <w:p>
      <w:pPr>
        <w:spacing w:after="0" w:line="40" w:lineRule="exact"/>
        <w:rPr>
          <w:sz w:val="20"/>
          <w:szCs w:val="20"/>
          <w:color w:val="auto"/>
        </w:rPr>
      </w:pPr>
    </w:p>
    <w:p>
      <w:pPr>
        <w:jc w:val="center"/>
        <w:ind w:right="5780"/>
        <w:spacing w:after="0"/>
        <w:rPr>
          <w:sz w:val="20"/>
          <w:szCs w:val="20"/>
          <w:color w:val="auto"/>
        </w:rPr>
      </w:pPr>
      <w:r>
        <w:rPr>
          <w:rFonts w:ascii="Times New Roman" w:cs="Times New Roman" w:eastAsia="Times New Roman" w:hAnsi="Times New Roman"/>
          <w:sz w:val="14"/>
          <w:szCs w:val="14"/>
          <w:color w:val="2A2A2A"/>
        </w:rPr>
        <w:t>Fifth Amendment to Second Amended and Restated Credit Agreement Signature Page</w:t>
      </w:r>
    </w:p>
    <w:p>
      <w:pPr>
        <w:sectPr>
          <w:pgSz w:w="11900" w:h="16838" w:orient="portrait"/>
          <w:cols w:equalWidth="0" w:num="1">
            <w:col w:w="10700"/>
          </w:cols>
          <w:pgMar w:left="540" w:top="1440" w:right="659" w:bottom="1440" w:gutter="0" w:footer="0" w:header="0"/>
        </w:sectPr>
      </w:pPr>
    </w:p>
    <w:bookmarkStart w:id="122" w:name="page123"/>
    <w:bookmarkEnd w:id="1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999"/>
        <w:spacing w:after="0"/>
        <w:rPr>
          <w:sz w:val="20"/>
          <w:szCs w:val="20"/>
          <w:color w:val="auto"/>
        </w:rPr>
      </w:pPr>
      <w:r>
        <w:rPr>
          <w:rFonts w:ascii="Times New Roman" w:cs="Times New Roman" w:eastAsia="Times New Roman" w:hAnsi="Times New Roman"/>
          <w:sz w:val="14"/>
          <w:szCs w:val="14"/>
          <w:color w:val="2A2A2A"/>
        </w:rPr>
        <w:t>Centuri Group, Inc.</w:t>
      </w:r>
    </w:p>
    <w:p>
      <w:pPr>
        <w:spacing w:after="0" w:line="40" w:lineRule="exact"/>
        <w:rPr>
          <w:sz w:val="20"/>
          <w:szCs w:val="20"/>
          <w:color w:val="auto"/>
        </w:rPr>
      </w:pPr>
    </w:p>
    <w:p>
      <w:pPr>
        <w:jc w:val="center"/>
        <w:ind w:right="4999"/>
        <w:spacing w:after="0"/>
        <w:rPr>
          <w:sz w:val="20"/>
          <w:szCs w:val="20"/>
          <w:color w:val="auto"/>
        </w:rPr>
      </w:pPr>
      <w:r>
        <w:rPr>
          <w:rFonts w:ascii="Times New Roman" w:cs="Times New Roman" w:eastAsia="Times New Roman" w:hAnsi="Times New Roman"/>
          <w:sz w:val="14"/>
          <w:szCs w:val="14"/>
          <w:color w:val="2A2A2A"/>
        </w:rPr>
        <w:t>Fifth Amendment to Second Amended and Restated Credit Agreement Signature Page</w:t>
      </w:r>
    </w:p>
    <w:p>
      <w:pPr>
        <w:sectPr>
          <w:pgSz w:w="11900" w:h="16838" w:orient="portrait"/>
          <w:cols w:equalWidth="0" w:num="1">
            <w:col w:w="9919"/>
          </w:cols>
          <w:pgMar w:left="540" w:top="1440" w:right="1440" w:bottom="1440" w:gutter="0" w:footer="0" w:header="0"/>
        </w:sectPr>
      </w:pPr>
    </w:p>
    <w:bookmarkStart w:id="123" w:name="page124"/>
    <w:bookmarkEnd w:id="123"/>
    <w:p>
      <w:pPr>
        <w:jc w:val="center"/>
        <w:ind w:right="-320"/>
        <w:spacing w:after="0"/>
        <w:rPr>
          <w:sz w:val="20"/>
          <w:szCs w:val="20"/>
          <w:color w:val="auto"/>
        </w:rPr>
      </w:pPr>
      <w:r>
        <w:rPr>
          <w:rFonts w:ascii="Times New Roman" w:cs="Times New Roman" w:eastAsia="Times New Roman" w:hAnsi="Times New Roman"/>
          <w:sz w:val="19"/>
          <w:szCs w:val="19"/>
          <w:u w:val="single" w:color="auto"/>
          <w:color w:val="282828"/>
        </w:rPr>
        <w:t>GUARANTORS:</w:t>
      </w:r>
    </w:p>
    <w:p>
      <w:pPr>
        <w:spacing w:after="0" w:line="35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7"/>
          <w:szCs w:val="17"/>
          <w:color w:val="282828"/>
        </w:rPr>
        <w:t>CANYON PIPELINE CONSTRUCTION, INC.</w:t>
      </w:r>
    </w:p>
    <w:p>
      <w:pPr>
        <w:spacing w:after="0" w:line="5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9"/>
          <w:szCs w:val="19"/>
          <w:color w:val="282828"/>
        </w:rPr>
        <w:t>By: /s/ Kevin L. 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-10795</wp:posOffset>
            </wp:positionV>
            <wp:extent cx="86169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33">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1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9"/>
          <w:szCs w:val="19"/>
          <w:color w:val="282828"/>
        </w:rPr>
        <w:t>Name: Kevin L. Neill</w:t>
      </w:r>
    </w:p>
    <w:p>
      <w:pPr>
        <w:spacing w:after="0" w:line="1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9"/>
          <w:szCs w:val="19"/>
          <w:color w:val="282828"/>
        </w:rPr>
        <w:t>Title: Vice President and Treasurer</w:t>
      </w:r>
    </w:p>
    <w:p>
      <w:pPr>
        <w:spacing w:after="0" w:line="21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9"/>
          <w:szCs w:val="19"/>
          <w:color w:val="282828"/>
        </w:rPr>
        <w:t>CANYON SPECIAL PROJECTS LLC</w:t>
      </w:r>
    </w:p>
    <w:p>
      <w:pPr>
        <w:spacing w:after="0" w:line="2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9"/>
          <w:szCs w:val="19"/>
          <w:color w:val="auto"/>
        </w:rPr>
        <w:t>By: /s/ Jason S. Wilcock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3053715</wp:posOffset>
            </wp:positionH>
            <wp:positionV relativeFrom="paragraph">
              <wp:posOffset>-20955</wp:posOffset>
            </wp:positionV>
            <wp:extent cx="98933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34">
                      <a:extLst>
                        <a:ext uri="{28A0092B-C50C-407E-A947-70E740481C1C}"/>
                      </a:extLst>
                    </a:blip>
                    <a:srcRect/>
                    <a:stretch>
                      <a:fillRect/>
                    </a:stretch>
                  </pic:blipFill>
                  <pic:spPr bwMode="auto">
                    <a:xfrm>
                      <a:off x="0" y="0"/>
                      <a:ext cx="989330" cy="8255"/>
                    </a:xfrm>
                    <a:prstGeom prst="rect">
                      <a:avLst/>
                    </a:prstGeom>
                    <a:noFill/>
                  </pic:spPr>
                </pic:pic>
              </a:graphicData>
            </a:graphic>
          </wp:anchor>
        </w:drawing>
      </w:r>
    </w:p>
    <w:p>
      <w:pPr>
        <w:ind w:left="4540"/>
        <w:spacing w:after="0" w:line="235" w:lineRule="auto"/>
        <w:rPr>
          <w:sz w:val="20"/>
          <w:szCs w:val="20"/>
          <w:color w:val="auto"/>
        </w:rPr>
      </w:pPr>
      <w:r>
        <w:rPr>
          <w:rFonts w:ascii="Times New Roman" w:cs="Times New Roman" w:eastAsia="Times New Roman" w:hAnsi="Times New Roman"/>
          <w:sz w:val="19"/>
          <w:szCs w:val="19"/>
          <w:color w:val="auto"/>
        </w:rPr>
        <w:t>Name: Jason S. Wilcock</w:t>
      </w:r>
    </w:p>
    <w:p>
      <w:pPr>
        <w:ind w:left="4540"/>
        <w:spacing w:after="0"/>
        <w:rPr>
          <w:sz w:val="20"/>
          <w:szCs w:val="20"/>
          <w:color w:val="auto"/>
        </w:rPr>
      </w:pPr>
      <w:r>
        <w:rPr>
          <w:rFonts w:ascii="Times New Roman" w:cs="Times New Roman" w:eastAsia="Times New Roman" w:hAnsi="Times New Roman"/>
          <w:sz w:val="19"/>
          <w:szCs w:val="19"/>
          <w:color w:val="auto"/>
        </w:rPr>
        <w:t>Title: Secretary</w:t>
      </w:r>
    </w:p>
    <w:p>
      <w:pPr>
        <w:spacing w:after="0" w:line="200" w:lineRule="exact"/>
        <w:rPr>
          <w:sz w:val="20"/>
          <w:szCs w:val="20"/>
          <w:color w:val="auto"/>
        </w:rPr>
      </w:pPr>
    </w:p>
    <w:p>
      <w:pPr>
        <w:spacing w:after="0" w:line="25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9"/>
          <w:szCs w:val="19"/>
          <w:color w:val="282828"/>
        </w:rPr>
        <w:t>CANYON TRAFFIC CONTROL LLC</w:t>
      </w:r>
    </w:p>
    <w:p>
      <w:pPr>
        <w:spacing w:after="0" w:line="3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9"/>
          <w:szCs w:val="19"/>
          <w:color w:val="282828"/>
        </w:rPr>
        <w:t>By: /s/ Kevin L. 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-10795</wp:posOffset>
            </wp:positionV>
            <wp:extent cx="86169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35">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1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9"/>
          <w:szCs w:val="19"/>
          <w:color w:val="282828"/>
        </w:rPr>
        <w:t>Name: Kevin L. Neill</w:t>
      </w:r>
    </w:p>
    <w:p>
      <w:pPr>
        <w:spacing w:after="0" w:line="1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9"/>
          <w:szCs w:val="19"/>
          <w:color w:val="282828"/>
        </w:rPr>
        <w:t>Title: Treasurer</w:t>
      </w:r>
    </w:p>
    <w:p>
      <w:pPr>
        <w:spacing w:after="0" w:line="20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9"/>
          <w:szCs w:val="19"/>
          <w:color w:val="282828"/>
        </w:rPr>
        <w:t>CENTURI OIL &amp; GAS GROUP LLC</w:t>
      </w:r>
    </w:p>
    <w:p>
      <w:pPr>
        <w:ind w:left="4540"/>
        <w:spacing w:after="0" w:line="208" w:lineRule="auto"/>
        <w:rPr>
          <w:sz w:val="20"/>
          <w:szCs w:val="20"/>
          <w:color w:val="auto"/>
        </w:rPr>
      </w:pPr>
      <w:r>
        <w:rPr>
          <w:rFonts w:ascii="Times New Roman" w:cs="Times New Roman" w:eastAsia="Times New Roman" w:hAnsi="Times New Roman"/>
          <w:sz w:val="19"/>
          <w:szCs w:val="19"/>
          <w:color w:val="282828"/>
        </w:rPr>
        <w:t xml:space="preserve">By: </w:t>
      </w:r>
      <w:r>
        <w:rPr>
          <w:rFonts w:ascii="Times New Roman" w:cs="Times New Roman" w:eastAsia="Times New Roman" w:hAnsi="Times New Roman"/>
          <w:sz w:val="19"/>
          <w:szCs w:val="19"/>
          <w:u w:val="single" w:color="auto"/>
          <w:color w:val="282828"/>
        </w:rPr>
        <w:t>/s/ Kevin L. Neill</w:t>
      </w:r>
    </w:p>
    <w:p>
      <w:pPr>
        <w:ind w:left="4540"/>
        <w:spacing w:after="0" w:line="220" w:lineRule="auto"/>
        <w:rPr>
          <w:sz w:val="20"/>
          <w:szCs w:val="20"/>
          <w:color w:val="auto"/>
        </w:rPr>
      </w:pPr>
      <w:r>
        <w:rPr>
          <w:rFonts w:ascii="Times New Roman" w:cs="Times New Roman" w:eastAsia="Times New Roman" w:hAnsi="Times New Roman"/>
          <w:sz w:val="19"/>
          <w:szCs w:val="19"/>
          <w:color w:val="282828"/>
        </w:rPr>
        <w:t>Name: Kevin L. Neill</w:t>
      </w:r>
    </w:p>
    <w:p>
      <w:pPr>
        <w:ind w:left="4540"/>
        <w:spacing w:after="0"/>
        <w:rPr>
          <w:sz w:val="20"/>
          <w:szCs w:val="20"/>
          <w:color w:val="auto"/>
        </w:rPr>
      </w:pPr>
      <w:r>
        <w:rPr>
          <w:rFonts w:ascii="Times New Roman" w:cs="Times New Roman" w:eastAsia="Times New Roman" w:hAnsi="Times New Roman"/>
          <w:sz w:val="19"/>
          <w:szCs w:val="19"/>
          <w:color w:val="282828"/>
        </w:rPr>
        <w:t>Title: Treasurer</w:t>
      </w:r>
    </w:p>
    <w:p>
      <w:pPr>
        <w:spacing w:after="0" w:line="200" w:lineRule="exact"/>
        <w:rPr>
          <w:sz w:val="20"/>
          <w:szCs w:val="20"/>
          <w:color w:val="auto"/>
        </w:rPr>
      </w:pPr>
    </w:p>
    <w:p>
      <w:pPr>
        <w:spacing w:after="0" w:line="25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9"/>
          <w:szCs w:val="19"/>
          <w:color w:val="282828"/>
        </w:rPr>
        <w:t>CENTURI POWER GROUP LLC</w:t>
      </w:r>
    </w:p>
    <w:p>
      <w:pPr>
        <w:spacing w:after="0" w:line="1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9"/>
          <w:szCs w:val="19"/>
          <w:color w:val="282828"/>
        </w:rPr>
        <w:t xml:space="preserve">By: </w:t>
      </w:r>
      <w:r>
        <w:rPr>
          <w:rFonts w:ascii="Times New Roman" w:cs="Times New Roman" w:eastAsia="Times New Roman" w:hAnsi="Times New Roman"/>
          <w:sz w:val="19"/>
          <w:szCs w:val="19"/>
          <w:u w:val="single" w:color="auto"/>
          <w:color w:val="282828"/>
        </w:rPr>
        <w:t>/s/ Kevin L. Neill</w:t>
      </w:r>
    </w:p>
    <w:p>
      <w:pPr>
        <w:ind w:left="4520"/>
        <w:spacing w:after="0" w:line="235" w:lineRule="auto"/>
        <w:rPr>
          <w:sz w:val="20"/>
          <w:szCs w:val="20"/>
          <w:color w:val="auto"/>
        </w:rPr>
      </w:pPr>
      <w:r>
        <w:rPr>
          <w:rFonts w:ascii="Times New Roman" w:cs="Times New Roman" w:eastAsia="Times New Roman" w:hAnsi="Times New Roman"/>
          <w:sz w:val="19"/>
          <w:szCs w:val="19"/>
          <w:color w:val="282828"/>
        </w:rPr>
        <w:t>Name: Kevin L. Neill</w:t>
      </w:r>
    </w:p>
    <w:p>
      <w:pPr>
        <w:ind w:left="4520"/>
        <w:spacing w:after="0"/>
        <w:rPr>
          <w:sz w:val="20"/>
          <w:szCs w:val="20"/>
          <w:color w:val="auto"/>
        </w:rPr>
      </w:pPr>
      <w:r>
        <w:rPr>
          <w:rFonts w:ascii="Times New Roman" w:cs="Times New Roman" w:eastAsia="Times New Roman" w:hAnsi="Times New Roman"/>
          <w:sz w:val="19"/>
          <w:szCs w:val="19"/>
          <w:color w:val="282828"/>
        </w:rPr>
        <w:t>Title: Treasurer</w:t>
      </w:r>
    </w:p>
    <w:p>
      <w:pPr>
        <w:spacing w:after="0" w:line="200" w:lineRule="exact"/>
        <w:rPr>
          <w:sz w:val="20"/>
          <w:szCs w:val="20"/>
          <w:color w:val="auto"/>
        </w:rPr>
      </w:pPr>
    </w:p>
    <w:p>
      <w:pPr>
        <w:spacing w:after="0" w:line="25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9"/>
          <w:szCs w:val="19"/>
          <w:color w:val="282828"/>
        </w:rPr>
        <w:t>CENTURI SERVICES GROUP LLC</w:t>
      </w:r>
    </w:p>
    <w:p>
      <w:pPr>
        <w:ind w:left="4540"/>
        <w:spacing w:after="0" w:line="222" w:lineRule="auto"/>
        <w:rPr>
          <w:sz w:val="20"/>
          <w:szCs w:val="20"/>
          <w:color w:val="auto"/>
        </w:rPr>
      </w:pPr>
      <w:r>
        <w:rPr>
          <w:rFonts w:ascii="Times New Roman" w:cs="Times New Roman" w:eastAsia="Times New Roman" w:hAnsi="Times New Roman"/>
          <w:sz w:val="19"/>
          <w:szCs w:val="19"/>
          <w:color w:val="282828"/>
        </w:rPr>
        <w:t xml:space="preserve">By: </w:t>
      </w:r>
      <w:r>
        <w:rPr>
          <w:rFonts w:ascii="Times New Roman" w:cs="Times New Roman" w:eastAsia="Times New Roman" w:hAnsi="Times New Roman"/>
          <w:sz w:val="19"/>
          <w:szCs w:val="19"/>
          <w:u w:val="single" w:color="auto"/>
          <w:color w:val="282828"/>
        </w:rPr>
        <w:t>/s/ Kevin L. Neill</w:t>
      </w:r>
    </w:p>
    <w:p>
      <w:pPr>
        <w:ind w:left="4540"/>
        <w:spacing w:after="0" w:line="206" w:lineRule="auto"/>
        <w:rPr>
          <w:sz w:val="20"/>
          <w:szCs w:val="20"/>
          <w:color w:val="auto"/>
        </w:rPr>
      </w:pPr>
      <w:r>
        <w:rPr>
          <w:rFonts w:ascii="Times New Roman" w:cs="Times New Roman" w:eastAsia="Times New Roman" w:hAnsi="Times New Roman"/>
          <w:sz w:val="19"/>
          <w:szCs w:val="19"/>
          <w:color w:val="282828"/>
        </w:rPr>
        <w:t>Name: Kevin L. Neill</w:t>
      </w:r>
    </w:p>
    <w:p>
      <w:pPr>
        <w:jc w:val="center"/>
        <w:ind w:right="-140"/>
        <w:spacing w:after="0"/>
        <w:rPr>
          <w:sz w:val="20"/>
          <w:szCs w:val="20"/>
          <w:color w:val="auto"/>
        </w:rPr>
      </w:pPr>
      <w:r>
        <w:rPr>
          <w:rFonts w:ascii="Times New Roman" w:cs="Times New Roman" w:eastAsia="Times New Roman" w:hAnsi="Times New Roman"/>
          <w:sz w:val="19"/>
          <w:szCs w:val="19"/>
          <w:color w:val="282828"/>
        </w:rPr>
        <w:t>Title: Treasurer</w:t>
      </w:r>
    </w:p>
    <w:p>
      <w:pPr>
        <w:spacing w:after="0" w:line="200" w:lineRule="exact"/>
        <w:rPr>
          <w:sz w:val="20"/>
          <w:szCs w:val="20"/>
          <w:color w:val="auto"/>
        </w:rPr>
      </w:pPr>
    </w:p>
    <w:p>
      <w:pPr>
        <w:spacing w:after="0" w:line="23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9"/>
          <w:szCs w:val="19"/>
          <w:color w:val="282828"/>
        </w:rPr>
        <w:t>CENTURI U.S. DIVISION, INC.</w:t>
      </w:r>
    </w:p>
    <w:p>
      <w:pPr>
        <w:ind w:left="4540"/>
        <w:spacing w:after="0" w:line="237" w:lineRule="auto"/>
        <w:rPr>
          <w:sz w:val="20"/>
          <w:szCs w:val="20"/>
          <w:color w:val="auto"/>
        </w:rPr>
      </w:pPr>
      <w:r>
        <w:rPr>
          <w:rFonts w:ascii="Times New Roman" w:cs="Times New Roman" w:eastAsia="Times New Roman" w:hAnsi="Times New Roman"/>
          <w:sz w:val="19"/>
          <w:szCs w:val="19"/>
          <w:color w:val="282828"/>
        </w:rPr>
        <w:t xml:space="preserve">By: </w:t>
      </w:r>
      <w:r>
        <w:rPr>
          <w:rFonts w:ascii="Times New Roman" w:cs="Times New Roman" w:eastAsia="Times New Roman" w:hAnsi="Times New Roman"/>
          <w:sz w:val="19"/>
          <w:szCs w:val="19"/>
          <w:u w:val="single" w:color="auto"/>
          <w:color w:val="282828"/>
        </w:rPr>
        <w:t>/s/ Kevin L. Neill</w:t>
      </w:r>
    </w:p>
    <w:p>
      <w:pPr>
        <w:ind w:left="4540"/>
        <w:spacing w:after="0" w:line="206" w:lineRule="auto"/>
        <w:rPr>
          <w:sz w:val="20"/>
          <w:szCs w:val="20"/>
          <w:color w:val="auto"/>
        </w:rPr>
      </w:pPr>
      <w:r>
        <w:rPr>
          <w:rFonts w:ascii="Times New Roman" w:cs="Times New Roman" w:eastAsia="Times New Roman" w:hAnsi="Times New Roman"/>
          <w:sz w:val="19"/>
          <w:szCs w:val="19"/>
          <w:color w:val="282828"/>
        </w:rPr>
        <w:t>Name: Kevin L. Neill</w:t>
      </w:r>
    </w:p>
    <w:p>
      <w:pPr>
        <w:ind w:left="4540"/>
        <w:spacing w:after="0"/>
        <w:rPr>
          <w:sz w:val="20"/>
          <w:szCs w:val="20"/>
          <w:color w:val="auto"/>
        </w:rPr>
      </w:pPr>
      <w:r>
        <w:rPr>
          <w:rFonts w:ascii="Times New Roman" w:cs="Times New Roman" w:eastAsia="Times New Roman" w:hAnsi="Times New Roman"/>
          <w:sz w:val="19"/>
          <w:szCs w:val="19"/>
          <w:color w:val="282828"/>
        </w:rPr>
        <w:t>Title: Treasurer</w:t>
      </w:r>
    </w:p>
    <w:p>
      <w:pPr>
        <w:spacing w:after="0" w:line="200" w:lineRule="exact"/>
        <w:rPr>
          <w:sz w:val="20"/>
          <w:szCs w:val="20"/>
          <w:color w:val="auto"/>
        </w:rPr>
      </w:pPr>
    </w:p>
    <w:p>
      <w:pPr>
        <w:spacing w:after="0" w:line="28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9"/>
          <w:szCs w:val="19"/>
          <w:color w:val="282828"/>
        </w:rPr>
        <w:t>ELECTRIC T&amp;D DIVISION LLC</w:t>
      </w:r>
    </w:p>
    <w:p>
      <w:pPr>
        <w:ind w:left="4540"/>
        <w:spacing w:after="0" w:line="237" w:lineRule="auto"/>
        <w:rPr>
          <w:sz w:val="20"/>
          <w:szCs w:val="20"/>
          <w:color w:val="auto"/>
        </w:rPr>
      </w:pPr>
      <w:r>
        <w:rPr>
          <w:rFonts w:ascii="Times New Roman" w:cs="Times New Roman" w:eastAsia="Times New Roman" w:hAnsi="Times New Roman"/>
          <w:sz w:val="19"/>
          <w:szCs w:val="19"/>
          <w:color w:val="282828"/>
        </w:rPr>
        <w:t xml:space="preserve">By: </w:t>
      </w:r>
      <w:r>
        <w:rPr>
          <w:rFonts w:ascii="Times New Roman" w:cs="Times New Roman" w:eastAsia="Times New Roman" w:hAnsi="Times New Roman"/>
          <w:sz w:val="19"/>
          <w:szCs w:val="19"/>
          <w:u w:val="single" w:color="auto"/>
          <w:color w:val="282828"/>
        </w:rPr>
        <w:t>/s/ Kevin L. Neill</w:t>
      </w:r>
    </w:p>
    <w:p>
      <w:pPr>
        <w:ind w:left="4540"/>
        <w:spacing w:after="0" w:line="206" w:lineRule="auto"/>
        <w:rPr>
          <w:sz w:val="20"/>
          <w:szCs w:val="20"/>
          <w:color w:val="auto"/>
        </w:rPr>
      </w:pPr>
      <w:r>
        <w:rPr>
          <w:rFonts w:ascii="Times New Roman" w:cs="Times New Roman" w:eastAsia="Times New Roman" w:hAnsi="Times New Roman"/>
          <w:sz w:val="19"/>
          <w:szCs w:val="19"/>
          <w:color w:val="282828"/>
        </w:rPr>
        <w:t>Name: Kevin L. Neill</w:t>
      </w:r>
    </w:p>
    <w:p>
      <w:pPr>
        <w:ind w:left="4540"/>
        <w:spacing w:after="0"/>
        <w:rPr>
          <w:sz w:val="20"/>
          <w:szCs w:val="20"/>
          <w:color w:val="auto"/>
        </w:rPr>
      </w:pPr>
      <w:r>
        <w:rPr>
          <w:rFonts w:ascii="Times New Roman" w:cs="Times New Roman" w:eastAsia="Times New Roman" w:hAnsi="Times New Roman"/>
          <w:sz w:val="19"/>
          <w:szCs w:val="19"/>
          <w:color w:val="282828"/>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4839"/>
        <w:spacing w:after="0"/>
        <w:rPr>
          <w:sz w:val="20"/>
          <w:szCs w:val="20"/>
          <w:color w:val="auto"/>
        </w:rPr>
      </w:pPr>
      <w:r>
        <w:rPr>
          <w:rFonts w:ascii="Times New Roman" w:cs="Times New Roman" w:eastAsia="Times New Roman" w:hAnsi="Times New Roman"/>
          <w:sz w:val="15"/>
          <w:szCs w:val="15"/>
          <w:color w:val="282828"/>
        </w:rPr>
        <w:t>Centuri Group, lnc.</w:t>
      </w:r>
    </w:p>
    <w:p>
      <w:pPr>
        <w:spacing w:after="0" w:line="25" w:lineRule="exact"/>
        <w:rPr>
          <w:sz w:val="20"/>
          <w:szCs w:val="20"/>
          <w:color w:val="auto"/>
        </w:rPr>
      </w:pPr>
    </w:p>
    <w:p>
      <w:pPr>
        <w:jc w:val="center"/>
        <w:ind w:right="4839"/>
        <w:spacing w:after="0"/>
        <w:rPr>
          <w:sz w:val="20"/>
          <w:szCs w:val="20"/>
          <w:color w:val="auto"/>
        </w:rPr>
      </w:pPr>
      <w:r>
        <w:rPr>
          <w:rFonts w:ascii="Times New Roman" w:cs="Times New Roman" w:eastAsia="Times New Roman" w:hAnsi="Times New Roman"/>
          <w:sz w:val="15"/>
          <w:szCs w:val="15"/>
          <w:color w:val="282828"/>
        </w:rPr>
        <w:t>Fifth Amendment to Second Amended and Restated Credit Agreement Signature Page</w:t>
      </w:r>
    </w:p>
    <w:p>
      <w:pPr>
        <w:sectPr>
          <w:pgSz w:w="11900" w:h="16838" w:orient="portrait"/>
          <w:cols w:equalWidth="0" w:num="1">
            <w:col w:w="10079"/>
          </w:cols>
          <w:pgMar w:left="380" w:top="742" w:right="1440" w:bottom="1440" w:gutter="0" w:footer="0" w:header="0"/>
        </w:sectPr>
      </w:pPr>
    </w:p>
    <w:bookmarkStart w:id="124" w:name="page125"/>
    <w:bookmarkEnd w:id="124"/>
    <w:p>
      <w:pPr>
        <w:spacing w:after="0" w:line="17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9"/>
          <w:szCs w:val="19"/>
          <w:color w:val="2A2A2A"/>
        </w:rPr>
        <w:t>ELECTRIC T&amp;D HOLDINGS LLC</w:t>
      </w:r>
    </w:p>
    <w:p>
      <w:pPr>
        <w:ind w:left="4520"/>
        <w:spacing w:after="0" w:line="237" w:lineRule="auto"/>
        <w:rPr>
          <w:sz w:val="20"/>
          <w:szCs w:val="20"/>
          <w:color w:val="auto"/>
        </w:rPr>
      </w:pPr>
      <w:r>
        <w:rPr>
          <w:rFonts w:ascii="Times New Roman" w:cs="Times New Roman" w:eastAsia="Times New Roman" w:hAnsi="Times New Roman"/>
          <w:sz w:val="19"/>
          <w:szCs w:val="19"/>
          <w:color w:val="282828"/>
        </w:rPr>
        <w:t xml:space="preserve">By: </w:t>
      </w:r>
      <w:r>
        <w:rPr>
          <w:rFonts w:ascii="Times New Roman" w:cs="Times New Roman" w:eastAsia="Times New Roman" w:hAnsi="Times New Roman"/>
          <w:sz w:val="19"/>
          <w:szCs w:val="19"/>
          <w:u w:val="single" w:color="auto"/>
          <w:color w:val="282828"/>
        </w:rPr>
        <w:t>/s/ Kevin L. Neill</w:t>
      </w:r>
    </w:p>
    <w:p>
      <w:pPr>
        <w:ind w:left="4520"/>
        <w:spacing w:after="0" w:line="206" w:lineRule="auto"/>
        <w:rPr>
          <w:sz w:val="20"/>
          <w:szCs w:val="20"/>
          <w:color w:val="auto"/>
        </w:rPr>
      </w:pPr>
      <w:r>
        <w:rPr>
          <w:rFonts w:ascii="Times New Roman" w:cs="Times New Roman" w:eastAsia="Times New Roman" w:hAnsi="Times New Roman"/>
          <w:sz w:val="19"/>
          <w:szCs w:val="19"/>
          <w:color w:val="282828"/>
        </w:rPr>
        <w:t>Name: Kevin L. Neill</w:t>
      </w:r>
    </w:p>
    <w:p>
      <w:pPr>
        <w:jc w:val="center"/>
        <w:ind w:right="-140"/>
        <w:spacing w:after="0"/>
        <w:rPr>
          <w:sz w:val="20"/>
          <w:szCs w:val="20"/>
          <w:color w:val="auto"/>
        </w:rPr>
      </w:pPr>
      <w:r>
        <w:rPr>
          <w:rFonts w:ascii="Times New Roman" w:cs="Times New Roman" w:eastAsia="Times New Roman" w:hAnsi="Times New Roman"/>
          <w:sz w:val="19"/>
          <w:szCs w:val="19"/>
          <w:color w:val="282828"/>
        </w:rPr>
        <w:t>Title: Treasurer</w:t>
      </w:r>
    </w:p>
    <w:p>
      <w:pPr>
        <w:spacing w:after="0" w:line="23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9"/>
          <w:szCs w:val="19"/>
          <w:color w:val="2A2A2A"/>
        </w:rPr>
        <w:t>INTELLICHOICE ENERGY, LLC</w:t>
      </w:r>
    </w:p>
    <w:p>
      <w:pPr>
        <w:spacing w:after="0" w:line="1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9"/>
          <w:szCs w:val="19"/>
          <w:color w:val="auto"/>
        </w:rPr>
        <w:t>By: /s/ Jason S. Wilcock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3041015</wp:posOffset>
            </wp:positionH>
            <wp:positionV relativeFrom="paragraph">
              <wp:posOffset>-20955</wp:posOffset>
            </wp:positionV>
            <wp:extent cx="98933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36">
                      <a:extLst>
                        <a:ext uri="{28A0092B-C50C-407E-A947-70E740481C1C}"/>
                      </a:extLst>
                    </a:blip>
                    <a:srcRect/>
                    <a:stretch>
                      <a:fillRect/>
                    </a:stretch>
                  </pic:blipFill>
                  <pic:spPr bwMode="auto">
                    <a:xfrm>
                      <a:off x="0" y="0"/>
                      <a:ext cx="989330" cy="8255"/>
                    </a:xfrm>
                    <a:prstGeom prst="rect">
                      <a:avLst/>
                    </a:prstGeom>
                    <a:noFill/>
                  </pic:spPr>
                </pic:pic>
              </a:graphicData>
            </a:graphic>
          </wp:anchor>
        </w:drawing>
      </w:r>
    </w:p>
    <w:p>
      <w:pPr>
        <w:ind w:left="4520"/>
        <w:spacing w:after="0" w:line="235" w:lineRule="auto"/>
        <w:rPr>
          <w:sz w:val="20"/>
          <w:szCs w:val="20"/>
          <w:color w:val="auto"/>
        </w:rPr>
      </w:pPr>
      <w:r>
        <w:rPr>
          <w:rFonts w:ascii="Times New Roman" w:cs="Times New Roman" w:eastAsia="Times New Roman" w:hAnsi="Times New Roman"/>
          <w:sz w:val="19"/>
          <w:szCs w:val="19"/>
          <w:color w:val="auto"/>
        </w:rPr>
        <w:t>Name: Jason S. Wilcock</w:t>
      </w:r>
    </w:p>
    <w:p>
      <w:pPr>
        <w:ind w:left="4520"/>
        <w:spacing w:after="0"/>
        <w:rPr>
          <w:sz w:val="20"/>
          <w:szCs w:val="20"/>
          <w:color w:val="auto"/>
        </w:rPr>
      </w:pPr>
      <w:r>
        <w:rPr>
          <w:rFonts w:ascii="Times New Roman" w:cs="Times New Roman" w:eastAsia="Times New Roman" w:hAnsi="Times New Roman"/>
          <w:sz w:val="19"/>
          <w:szCs w:val="19"/>
          <w:color w:val="auto"/>
        </w:rPr>
        <w:t>Title: Secretary</w:t>
      </w:r>
    </w:p>
    <w:p>
      <w:pPr>
        <w:spacing w:after="0" w:line="23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2A2A2A"/>
        </w:rPr>
        <w:t>INTELLICHOICE ENERGY OF CALIFORNIA, LLC</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9"/>
          <w:szCs w:val="19"/>
          <w:color w:val="auto"/>
        </w:rPr>
        <w:t>By: /s/ Jason S. Wilcock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3041015</wp:posOffset>
            </wp:positionH>
            <wp:positionV relativeFrom="paragraph">
              <wp:posOffset>-20955</wp:posOffset>
            </wp:positionV>
            <wp:extent cx="98933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37">
                      <a:extLst>
                        <a:ext uri="{28A0092B-C50C-407E-A947-70E740481C1C}"/>
                      </a:extLst>
                    </a:blip>
                    <a:srcRect/>
                    <a:stretch>
                      <a:fillRect/>
                    </a:stretch>
                  </pic:blipFill>
                  <pic:spPr bwMode="auto">
                    <a:xfrm>
                      <a:off x="0" y="0"/>
                      <a:ext cx="989330" cy="8255"/>
                    </a:xfrm>
                    <a:prstGeom prst="rect">
                      <a:avLst/>
                    </a:prstGeom>
                    <a:noFill/>
                  </pic:spPr>
                </pic:pic>
              </a:graphicData>
            </a:graphic>
          </wp:anchor>
        </w:drawing>
      </w:r>
    </w:p>
    <w:p>
      <w:pPr>
        <w:ind w:left="4520"/>
        <w:spacing w:after="0" w:line="235" w:lineRule="auto"/>
        <w:rPr>
          <w:sz w:val="20"/>
          <w:szCs w:val="20"/>
          <w:color w:val="auto"/>
        </w:rPr>
      </w:pPr>
      <w:r>
        <w:rPr>
          <w:rFonts w:ascii="Times New Roman" w:cs="Times New Roman" w:eastAsia="Times New Roman" w:hAnsi="Times New Roman"/>
          <w:sz w:val="19"/>
          <w:szCs w:val="19"/>
          <w:color w:val="auto"/>
        </w:rPr>
        <w:t>Name: Jason S. Wilcock</w:t>
      </w:r>
    </w:p>
    <w:p>
      <w:pPr>
        <w:ind w:left="4520"/>
        <w:spacing w:after="0"/>
        <w:rPr>
          <w:sz w:val="20"/>
          <w:szCs w:val="20"/>
          <w:color w:val="auto"/>
        </w:rPr>
      </w:pPr>
      <w:r>
        <w:rPr>
          <w:rFonts w:ascii="Times New Roman" w:cs="Times New Roman" w:eastAsia="Times New Roman" w:hAnsi="Times New Roman"/>
          <w:sz w:val="19"/>
          <w:szCs w:val="19"/>
          <w:color w:val="auto"/>
        </w:rPr>
        <w:t>Title: Secretary</w:t>
      </w:r>
    </w:p>
    <w:p>
      <w:pPr>
        <w:spacing w:after="0" w:line="10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9"/>
          <w:szCs w:val="19"/>
          <w:color w:val="2A2A2A"/>
        </w:rPr>
        <w:t>LINETEC SERVICES, LLC</w:t>
      </w:r>
    </w:p>
    <w:p>
      <w:pPr>
        <w:ind w:left="4520"/>
        <w:spacing w:after="0" w:line="222" w:lineRule="auto"/>
        <w:rPr>
          <w:sz w:val="20"/>
          <w:szCs w:val="20"/>
          <w:color w:val="auto"/>
        </w:rPr>
      </w:pPr>
      <w:r>
        <w:rPr>
          <w:rFonts w:ascii="Times New Roman" w:cs="Times New Roman" w:eastAsia="Times New Roman" w:hAnsi="Times New Roman"/>
          <w:sz w:val="19"/>
          <w:szCs w:val="19"/>
          <w:color w:val="282828"/>
        </w:rPr>
        <w:t xml:space="preserve">By: </w:t>
      </w:r>
      <w:r>
        <w:rPr>
          <w:rFonts w:ascii="Times New Roman" w:cs="Times New Roman" w:eastAsia="Times New Roman" w:hAnsi="Times New Roman"/>
          <w:sz w:val="19"/>
          <w:szCs w:val="19"/>
          <w:u w:val="single" w:color="auto"/>
          <w:color w:val="282828"/>
        </w:rPr>
        <w:t>/s/ Kevin L. Neill</w:t>
      </w:r>
    </w:p>
    <w:p>
      <w:pPr>
        <w:ind w:left="4520"/>
        <w:spacing w:after="0" w:line="221" w:lineRule="auto"/>
        <w:rPr>
          <w:sz w:val="20"/>
          <w:szCs w:val="20"/>
          <w:color w:val="auto"/>
        </w:rPr>
      </w:pPr>
      <w:r>
        <w:rPr>
          <w:rFonts w:ascii="Times New Roman" w:cs="Times New Roman" w:eastAsia="Times New Roman" w:hAnsi="Times New Roman"/>
          <w:sz w:val="19"/>
          <w:szCs w:val="19"/>
          <w:color w:val="282828"/>
        </w:rPr>
        <w:t>Name: Kevin L. Neill</w:t>
      </w:r>
    </w:p>
    <w:p>
      <w:pPr>
        <w:ind w:left="4520"/>
        <w:spacing w:after="0"/>
        <w:rPr>
          <w:sz w:val="20"/>
          <w:szCs w:val="20"/>
          <w:color w:val="auto"/>
        </w:rPr>
      </w:pPr>
      <w:r>
        <w:rPr>
          <w:rFonts w:ascii="Times New Roman" w:cs="Times New Roman" w:eastAsia="Times New Roman" w:hAnsi="Times New Roman"/>
          <w:sz w:val="19"/>
          <w:szCs w:val="19"/>
          <w:color w:val="282828"/>
        </w:rPr>
        <w:t>Title: Treasurer</w:t>
      </w:r>
    </w:p>
    <w:p>
      <w:pPr>
        <w:spacing w:after="0" w:line="20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2A2A2A"/>
        </w:rPr>
        <w:t>MERITUS ELECTRIC T&amp;D DIVISION LLC</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9"/>
          <w:szCs w:val="19"/>
          <w:color w:val="282828"/>
        </w:rPr>
        <w:t xml:space="preserve">By: </w:t>
      </w:r>
      <w:r>
        <w:rPr>
          <w:rFonts w:ascii="Times New Roman" w:cs="Times New Roman" w:eastAsia="Times New Roman" w:hAnsi="Times New Roman"/>
          <w:sz w:val="19"/>
          <w:szCs w:val="19"/>
          <w:u w:val="single" w:color="auto"/>
          <w:color w:val="282828"/>
        </w:rPr>
        <w:t>/s/ Kevin L. Neill</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2A2A2A"/>
        </w:rPr>
        <w:t xml:space="preserve">Name: Kevin </w:t>
      </w:r>
      <w:r>
        <w:rPr>
          <w:rFonts w:ascii="Arial" w:cs="Arial" w:eastAsia="Arial" w:hAnsi="Arial"/>
          <w:sz w:val="17"/>
          <w:szCs w:val="17"/>
          <w:color w:val="2A2A2A"/>
        </w:rPr>
        <w:t>L.</w:t>
      </w:r>
      <w:r>
        <w:rPr>
          <w:rFonts w:ascii="Times New Roman" w:cs="Times New Roman" w:eastAsia="Times New Roman" w:hAnsi="Times New Roman"/>
          <w:sz w:val="19"/>
          <w:szCs w:val="19"/>
          <w:color w:val="2A2A2A"/>
        </w:rPr>
        <w:t xml:space="preserve"> Neill Title: Treasurer</w:t>
      </w:r>
    </w:p>
    <w:p>
      <w:pPr>
        <w:ind w:left="4500"/>
        <w:spacing w:after="0" w:line="220" w:lineRule="auto"/>
        <w:rPr>
          <w:sz w:val="20"/>
          <w:szCs w:val="20"/>
          <w:color w:val="auto"/>
        </w:rPr>
      </w:pPr>
      <w:r>
        <w:rPr>
          <w:rFonts w:ascii="Times New Roman" w:cs="Times New Roman" w:eastAsia="Times New Roman" w:hAnsi="Times New Roman"/>
          <w:sz w:val="19"/>
          <w:szCs w:val="19"/>
          <w:color w:val="2A2A2A"/>
        </w:rPr>
        <w:t>MERITUS OIL &amp; GAS DIVISION LLC</w:t>
      </w:r>
    </w:p>
    <w:p>
      <w:pPr>
        <w:ind w:left="4520"/>
        <w:spacing w:after="0" w:line="235" w:lineRule="auto"/>
        <w:rPr>
          <w:sz w:val="20"/>
          <w:szCs w:val="20"/>
          <w:color w:val="auto"/>
        </w:rPr>
      </w:pPr>
      <w:r>
        <w:rPr>
          <w:rFonts w:ascii="Times New Roman" w:cs="Times New Roman" w:eastAsia="Times New Roman" w:hAnsi="Times New Roman"/>
          <w:sz w:val="19"/>
          <w:szCs w:val="19"/>
          <w:color w:val="282828"/>
        </w:rPr>
        <w:t xml:space="preserve">By: </w:t>
      </w:r>
      <w:r>
        <w:rPr>
          <w:rFonts w:ascii="Times New Roman" w:cs="Times New Roman" w:eastAsia="Times New Roman" w:hAnsi="Times New Roman"/>
          <w:sz w:val="19"/>
          <w:szCs w:val="19"/>
          <w:u w:val="single" w:color="auto"/>
          <w:color w:val="282828"/>
        </w:rPr>
        <w:t>/s/ Kevin L. Neill</w:t>
      </w:r>
    </w:p>
    <w:p>
      <w:pPr>
        <w:ind w:left="4500"/>
        <w:spacing w:after="0"/>
        <w:rPr>
          <w:sz w:val="20"/>
          <w:szCs w:val="20"/>
          <w:color w:val="auto"/>
        </w:rPr>
      </w:pPr>
      <w:r>
        <w:rPr>
          <w:rFonts w:ascii="Times New Roman" w:cs="Times New Roman" w:eastAsia="Times New Roman" w:hAnsi="Times New Roman"/>
          <w:sz w:val="19"/>
          <w:szCs w:val="19"/>
          <w:color w:val="2A2A2A"/>
        </w:rPr>
        <w:t xml:space="preserve">Name: Kevin </w:t>
      </w:r>
      <w:r>
        <w:rPr>
          <w:rFonts w:ascii="Arial" w:cs="Arial" w:eastAsia="Arial" w:hAnsi="Arial"/>
          <w:sz w:val="17"/>
          <w:szCs w:val="17"/>
          <w:color w:val="2A2A2A"/>
        </w:rPr>
        <w:t>L.</w:t>
      </w:r>
      <w:r>
        <w:rPr>
          <w:rFonts w:ascii="Times New Roman" w:cs="Times New Roman" w:eastAsia="Times New Roman" w:hAnsi="Times New Roman"/>
          <w:sz w:val="19"/>
          <w:szCs w:val="19"/>
          <w:color w:val="2A2A2A"/>
        </w:rPr>
        <w:t xml:space="preserve"> Neill Title: Treasurer</w:t>
      </w:r>
    </w:p>
    <w:p>
      <w:pPr>
        <w:spacing w:after="0" w:line="24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2A2A2A"/>
        </w:rPr>
        <w:t>MERITUS SERVICES DIVISION LLC</w:t>
      </w:r>
    </w:p>
    <w:p>
      <w:pPr>
        <w:ind w:left="4520"/>
        <w:spacing w:after="0" w:line="237" w:lineRule="auto"/>
        <w:rPr>
          <w:sz w:val="20"/>
          <w:szCs w:val="20"/>
          <w:color w:val="auto"/>
        </w:rPr>
      </w:pPr>
      <w:r>
        <w:rPr>
          <w:rFonts w:ascii="Times New Roman" w:cs="Times New Roman" w:eastAsia="Times New Roman" w:hAnsi="Times New Roman"/>
          <w:sz w:val="19"/>
          <w:szCs w:val="19"/>
          <w:color w:val="282828"/>
        </w:rPr>
        <w:t xml:space="preserve">By: </w:t>
      </w:r>
      <w:r>
        <w:rPr>
          <w:rFonts w:ascii="Times New Roman" w:cs="Times New Roman" w:eastAsia="Times New Roman" w:hAnsi="Times New Roman"/>
          <w:sz w:val="19"/>
          <w:szCs w:val="19"/>
          <w:u w:val="single" w:color="auto"/>
          <w:color w:val="282828"/>
        </w:rPr>
        <w:t>/s/ Kevin L. Neill</w:t>
      </w:r>
    </w:p>
    <w:p>
      <w:pPr>
        <w:ind w:left="4500"/>
        <w:spacing w:after="0"/>
        <w:rPr>
          <w:sz w:val="20"/>
          <w:szCs w:val="20"/>
          <w:color w:val="auto"/>
        </w:rPr>
      </w:pPr>
      <w:r>
        <w:rPr>
          <w:rFonts w:ascii="Times New Roman" w:cs="Times New Roman" w:eastAsia="Times New Roman" w:hAnsi="Times New Roman"/>
          <w:sz w:val="19"/>
          <w:szCs w:val="19"/>
          <w:color w:val="2A2A2A"/>
        </w:rPr>
        <w:t xml:space="preserve">Name: Kevin </w:t>
      </w:r>
      <w:r>
        <w:rPr>
          <w:rFonts w:ascii="Arial" w:cs="Arial" w:eastAsia="Arial" w:hAnsi="Arial"/>
          <w:sz w:val="17"/>
          <w:szCs w:val="17"/>
          <w:color w:val="2A2A2A"/>
        </w:rPr>
        <w:t>L.</w:t>
      </w:r>
      <w:r>
        <w:rPr>
          <w:rFonts w:ascii="Times New Roman" w:cs="Times New Roman" w:eastAsia="Times New Roman" w:hAnsi="Times New Roman"/>
          <w:sz w:val="19"/>
          <w:szCs w:val="19"/>
          <w:color w:val="2A2A2A"/>
        </w:rPr>
        <w:t xml:space="preserve"> Neill Title: Treasurer</w:t>
      </w:r>
    </w:p>
    <w:p>
      <w:pPr>
        <w:spacing w:after="0" w:line="23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2A2A2A"/>
        </w:rPr>
        <w:t>NATIONAL BARRICADE LLC</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9"/>
          <w:szCs w:val="19"/>
          <w:color w:val="282828"/>
        </w:rPr>
        <w:t xml:space="preserve">By: </w:t>
      </w:r>
      <w:r>
        <w:rPr>
          <w:rFonts w:ascii="Times New Roman" w:cs="Times New Roman" w:eastAsia="Times New Roman" w:hAnsi="Times New Roman"/>
          <w:sz w:val="19"/>
          <w:szCs w:val="19"/>
          <w:u w:val="single" w:color="auto"/>
          <w:color w:val="282828"/>
        </w:rPr>
        <w:t>/s/ Kevin L. Neill</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2A2A2A"/>
        </w:rPr>
        <w:t xml:space="preserve">Name: Kevin </w:t>
      </w:r>
      <w:r>
        <w:rPr>
          <w:rFonts w:ascii="Arial" w:cs="Arial" w:eastAsia="Arial" w:hAnsi="Arial"/>
          <w:sz w:val="17"/>
          <w:szCs w:val="17"/>
          <w:color w:val="2A2A2A"/>
        </w:rPr>
        <w:t>L.</w:t>
      </w:r>
      <w:r>
        <w:rPr>
          <w:rFonts w:ascii="Times New Roman" w:cs="Times New Roman" w:eastAsia="Times New Roman" w:hAnsi="Times New Roman"/>
          <w:sz w:val="19"/>
          <w:szCs w:val="19"/>
          <w:color w:val="2A2A2A"/>
        </w:rPr>
        <w:t xml:space="preserve"> Neill 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4819"/>
        <w:spacing w:after="0"/>
        <w:rPr>
          <w:sz w:val="20"/>
          <w:szCs w:val="20"/>
          <w:color w:val="auto"/>
        </w:rPr>
      </w:pPr>
      <w:r>
        <w:rPr>
          <w:rFonts w:ascii="Times New Roman" w:cs="Times New Roman" w:eastAsia="Times New Roman" w:hAnsi="Times New Roman"/>
          <w:sz w:val="15"/>
          <w:szCs w:val="15"/>
          <w:color w:val="2A2A2A"/>
        </w:rPr>
        <w:t>Centuri Group</w:t>
      </w:r>
      <w:r>
        <w:rPr>
          <w:rFonts w:ascii="Times New Roman" w:cs="Times New Roman" w:eastAsia="Times New Roman" w:hAnsi="Times New Roman"/>
          <w:sz w:val="15"/>
          <w:szCs w:val="15"/>
          <w:color w:val="414246"/>
        </w:rPr>
        <w:t>,</w:t>
      </w:r>
      <w:r>
        <w:rPr>
          <w:rFonts w:ascii="Times New Roman" w:cs="Times New Roman" w:eastAsia="Times New Roman" w:hAnsi="Times New Roman"/>
          <w:sz w:val="15"/>
          <w:szCs w:val="15"/>
          <w:color w:val="2A2A2A"/>
        </w:rPr>
        <w:t xml:space="preserve"> Inc</w:t>
      </w:r>
      <w:r>
        <w:rPr>
          <w:rFonts w:ascii="Times New Roman" w:cs="Times New Roman" w:eastAsia="Times New Roman" w:hAnsi="Times New Roman"/>
          <w:sz w:val="15"/>
          <w:szCs w:val="15"/>
          <w:color w:val="414246"/>
        </w:rPr>
        <w:t>.</w:t>
      </w:r>
    </w:p>
    <w:p>
      <w:pPr>
        <w:spacing w:after="0" w:line="17" w:lineRule="exact"/>
        <w:rPr>
          <w:sz w:val="20"/>
          <w:szCs w:val="20"/>
          <w:color w:val="auto"/>
        </w:rPr>
      </w:pPr>
    </w:p>
    <w:p>
      <w:pPr>
        <w:jc w:val="center"/>
        <w:ind w:right="4819"/>
        <w:spacing w:after="0"/>
        <w:rPr>
          <w:sz w:val="20"/>
          <w:szCs w:val="20"/>
          <w:color w:val="auto"/>
        </w:rPr>
      </w:pPr>
      <w:r>
        <w:rPr>
          <w:rFonts w:ascii="Times New Roman" w:cs="Times New Roman" w:eastAsia="Times New Roman" w:hAnsi="Times New Roman"/>
          <w:sz w:val="15"/>
          <w:szCs w:val="15"/>
          <w:color w:val="2A2A2A"/>
        </w:rPr>
        <w:t>Fifth Amendment to Second Amend</w:t>
      </w:r>
      <w:r>
        <w:rPr>
          <w:rFonts w:ascii="Times New Roman" w:cs="Times New Roman" w:eastAsia="Times New Roman" w:hAnsi="Times New Roman"/>
          <w:sz w:val="15"/>
          <w:szCs w:val="15"/>
          <w:color w:val="414246"/>
        </w:rPr>
        <w:t>e</w:t>
      </w:r>
      <w:r>
        <w:rPr>
          <w:rFonts w:ascii="Times New Roman" w:cs="Times New Roman" w:eastAsia="Times New Roman" w:hAnsi="Times New Roman"/>
          <w:sz w:val="15"/>
          <w:szCs w:val="15"/>
          <w:color w:val="2A2A2A"/>
        </w:rPr>
        <w:t>d and Restated Credit Agr</w:t>
      </w:r>
      <w:r>
        <w:rPr>
          <w:rFonts w:ascii="Times New Roman" w:cs="Times New Roman" w:eastAsia="Times New Roman" w:hAnsi="Times New Roman"/>
          <w:sz w:val="15"/>
          <w:szCs w:val="15"/>
          <w:color w:val="414246"/>
        </w:rPr>
        <w:t>e</w:t>
      </w:r>
      <w:r>
        <w:rPr>
          <w:rFonts w:ascii="Times New Roman" w:cs="Times New Roman" w:eastAsia="Times New Roman" w:hAnsi="Times New Roman"/>
          <w:sz w:val="15"/>
          <w:szCs w:val="15"/>
          <w:color w:val="2A2A2A"/>
        </w:rPr>
        <w:t>ement Signature Page</w:t>
      </w:r>
    </w:p>
    <w:p>
      <w:pPr>
        <w:sectPr>
          <w:pgSz w:w="11900" w:h="16838" w:orient="portrait"/>
          <w:cols w:equalWidth="0" w:num="1">
            <w:col w:w="10059"/>
          </w:cols>
          <w:pgMar w:left="400" w:top="1440" w:right="1440" w:bottom="1440" w:gutter="0" w:footer="0" w:header="0"/>
        </w:sectPr>
      </w:pPr>
    </w:p>
    <w:bookmarkStart w:id="125" w:name="page126"/>
    <w:bookmarkEnd w:id="125"/>
    <w:p>
      <w:pPr>
        <w:spacing w:after="0" w:line="200" w:lineRule="exact"/>
        <w:rPr>
          <w:sz w:val="20"/>
          <w:szCs w:val="20"/>
          <w:color w:val="auto"/>
        </w:rPr>
      </w:pPr>
    </w:p>
    <w:p>
      <w:pPr>
        <w:spacing w:after="0" w:line="23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2A2A2A"/>
        </w:rPr>
        <w:t>NATIONAL POWERLINE LLC</w:t>
      </w:r>
    </w:p>
    <w:p>
      <w:pPr>
        <w:ind w:left="4520"/>
        <w:spacing w:after="0" w:line="237" w:lineRule="auto"/>
        <w:rPr>
          <w:sz w:val="20"/>
          <w:szCs w:val="20"/>
          <w:color w:val="auto"/>
        </w:rPr>
      </w:pPr>
      <w:r>
        <w:rPr>
          <w:rFonts w:ascii="Times New Roman" w:cs="Times New Roman" w:eastAsia="Times New Roman" w:hAnsi="Times New Roman"/>
          <w:sz w:val="19"/>
          <w:szCs w:val="19"/>
          <w:color w:val="282828"/>
        </w:rPr>
        <w:t xml:space="preserve">By: </w:t>
      </w:r>
      <w:r>
        <w:rPr>
          <w:rFonts w:ascii="Times New Roman" w:cs="Times New Roman" w:eastAsia="Times New Roman" w:hAnsi="Times New Roman"/>
          <w:sz w:val="19"/>
          <w:szCs w:val="19"/>
          <w:u w:val="single" w:color="auto"/>
          <w:color w:val="282828"/>
        </w:rPr>
        <w:t>/s/ Kevin L. Neill</w:t>
      </w:r>
    </w:p>
    <w:p>
      <w:pPr>
        <w:ind w:left="4500"/>
        <w:spacing w:after="0"/>
        <w:rPr>
          <w:sz w:val="20"/>
          <w:szCs w:val="20"/>
          <w:color w:val="auto"/>
        </w:rPr>
      </w:pPr>
      <w:r>
        <w:rPr>
          <w:rFonts w:ascii="Times New Roman" w:cs="Times New Roman" w:eastAsia="Times New Roman" w:hAnsi="Times New Roman"/>
          <w:sz w:val="19"/>
          <w:szCs w:val="19"/>
          <w:color w:val="2A2A2A"/>
        </w:rPr>
        <w:t xml:space="preserve">Name: Kevin </w:t>
      </w:r>
      <w:r>
        <w:rPr>
          <w:rFonts w:ascii="Arial" w:cs="Arial" w:eastAsia="Arial" w:hAnsi="Arial"/>
          <w:sz w:val="17"/>
          <w:szCs w:val="17"/>
          <w:color w:val="2A2A2A"/>
        </w:rPr>
        <w:t>L.</w:t>
      </w:r>
      <w:r>
        <w:rPr>
          <w:rFonts w:ascii="Times New Roman" w:cs="Times New Roman" w:eastAsia="Times New Roman" w:hAnsi="Times New Roman"/>
          <w:sz w:val="19"/>
          <w:szCs w:val="19"/>
          <w:color w:val="2A2A2A"/>
        </w:rPr>
        <w:t xml:space="preserve"> Neill Title: Treasurer</w:t>
      </w:r>
    </w:p>
    <w:p>
      <w:pPr>
        <w:spacing w:after="0" w:line="200" w:lineRule="exact"/>
        <w:rPr>
          <w:sz w:val="20"/>
          <w:szCs w:val="20"/>
          <w:color w:val="auto"/>
        </w:rPr>
      </w:pPr>
    </w:p>
    <w:p>
      <w:pPr>
        <w:spacing w:after="0" w:line="27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2A2A2A"/>
        </w:rPr>
        <w:t>NEUCO EQUIPMENT LLC</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9"/>
          <w:szCs w:val="19"/>
          <w:color w:val="auto"/>
        </w:rPr>
        <w:t>By: /s/ Jason S. Wilcock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3041015</wp:posOffset>
            </wp:positionH>
            <wp:positionV relativeFrom="paragraph">
              <wp:posOffset>-23495</wp:posOffset>
            </wp:positionV>
            <wp:extent cx="98933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38">
                      <a:extLst>
                        <a:ext uri="{28A0092B-C50C-407E-A947-70E740481C1C}"/>
                      </a:extLst>
                    </a:blip>
                    <a:srcRect/>
                    <a:stretch>
                      <a:fillRect/>
                    </a:stretch>
                  </pic:blipFill>
                  <pic:spPr bwMode="auto">
                    <a:xfrm>
                      <a:off x="0" y="0"/>
                      <a:ext cx="989330" cy="825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9"/>
          <w:szCs w:val="19"/>
          <w:color w:val="auto"/>
        </w:rPr>
        <w:t>Name: Jason S. Wilcock</w:t>
      </w:r>
    </w:p>
    <w:p>
      <w:pPr>
        <w:jc w:val="center"/>
        <w:ind w:right="-120"/>
        <w:spacing w:after="0"/>
        <w:rPr>
          <w:sz w:val="20"/>
          <w:szCs w:val="20"/>
          <w:color w:val="auto"/>
        </w:rPr>
      </w:pPr>
      <w:r>
        <w:rPr>
          <w:rFonts w:ascii="Times New Roman" w:cs="Times New Roman" w:eastAsia="Times New Roman" w:hAnsi="Times New Roman"/>
          <w:sz w:val="19"/>
          <w:szCs w:val="19"/>
          <w:color w:val="auto"/>
        </w:rPr>
        <w:t>Title: Secretary</w:t>
      </w:r>
    </w:p>
    <w:p>
      <w:pPr>
        <w:spacing w:after="0" w:line="2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2A2A2A"/>
        </w:rPr>
        <w:t>NEW ENGLAND UTILITY CONSTRUCTORS, INC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9"/>
          <w:szCs w:val="19"/>
          <w:color w:val="282828"/>
        </w:rPr>
        <w:t xml:space="preserve">By: </w:t>
      </w:r>
      <w:r>
        <w:rPr>
          <w:rFonts w:ascii="Times New Roman" w:cs="Times New Roman" w:eastAsia="Times New Roman" w:hAnsi="Times New Roman"/>
          <w:sz w:val="19"/>
          <w:szCs w:val="19"/>
          <w:u w:val="single" w:color="auto"/>
          <w:color w:val="282828"/>
        </w:rPr>
        <w:t>/s/ Kevin L. Neill</w:t>
      </w:r>
    </w:p>
    <w:p>
      <w:pPr>
        <w:ind w:left="4500"/>
        <w:spacing w:after="0"/>
        <w:rPr>
          <w:sz w:val="20"/>
          <w:szCs w:val="20"/>
          <w:color w:val="auto"/>
        </w:rPr>
      </w:pPr>
      <w:r>
        <w:rPr>
          <w:rFonts w:ascii="Times New Roman" w:cs="Times New Roman" w:eastAsia="Times New Roman" w:hAnsi="Times New Roman"/>
          <w:sz w:val="19"/>
          <w:szCs w:val="19"/>
          <w:color w:val="2A2A2A"/>
        </w:rPr>
        <w:t xml:space="preserve">Name: Kevin </w:t>
      </w:r>
      <w:r>
        <w:rPr>
          <w:rFonts w:ascii="Arial" w:cs="Arial" w:eastAsia="Arial" w:hAnsi="Arial"/>
          <w:sz w:val="17"/>
          <w:szCs w:val="17"/>
          <w:color w:val="2A2A2A"/>
        </w:rPr>
        <w:t>L.</w:t>
      </w:r>
      <w:r>
        <w:rPr>
          <w:rFonts w:ascii="Times New Roman" w:cs="Times New Roman" w:eastAsia="Times New Roman" w:hAnsi="Times New Roman"/>
          <w:sz w:val="19"/>
          <w:szCs w:val="19"/>
          <w:color w:val="2A2A2A"/>
        </w:rPr>
        <w:t xml:space="preserve"> Neill Title: Treasurer</w:t>
      </w:r>
    </w:p>
    <w:p>
      <w:pPr>
        <w:spacing w:after="0" w:line="200" w:lineRule="exact"/>
        <w:rPr>
          <w:sz w:val="20"/>
          <w:szCs w:val="20"/>
          <w:color w:val="auto"/>
        </w:rPr>
      </w:pPr>
    </w:p>
    <w:p>
      <w:pPr>
        <w:spacing w:after="0" w:line="28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2A2A2A"/>
        </w:rPr>
        <w:t>NPL CONSTRUCTION CO.</w:t>
      </w:r>
    </w:p>
    <w:p>
      <w:pPr>
        <w:ind w:left="4520"/>
        <w:spacing w:after="0" w:line="237" w:lineRule="auto"/>
        <w:rPr>
          <w:sz w:val="20"/>
          <w:szCs w:val="20"/>
          <w:color w:val="auto"/>
        </w:rPr>
      </w:pPr>
      <w:r>
        <w:rPr>
          <w:rFonts w:ascii="Times New Roman" w:cs="Times New Roman" w:eastAsia="Times New Roman" w:hAnsi="Times New Roman"/>
          <w:sz w:val="19"/>
          <w:szCs w:val="19"/>
          <w:color w:val="282828"/>
        </w:rPr>
        <w:t xml:space="preserve">By: </w:t>
      </w:r>
      <w:r>
        <w:rPr>
          <w:rFonts w:ascii="Times New Roman" w:cs="Times New Roman" w:eastAsia="Times New Roman" w:hAnsi="Times New Roman"/>
          <w:sz w:val="19"/>
          <w:szCs w:val="19"/>
          <w:u w:val="single" w:color="auto"/>
          <w:color w:val="282828"/>
        </w:rPr>
        <w:t>/s/ Kevin L. Neill</w:t>
      </w:r>
    </w:p>
    <w:p>
      <w:pPr>
        <w:ind w:left="4500"/>
        <w:spacing w:after="0"/>
        <w:rPr>
          <w:sz w:val="20"/>
          <w:szCs w:val="20"/>
          <w:color w:val="auto"/>
        </w:rPr>
      </w:pPr>
      <w:r>
        <w:rPr>
          <w:rFonts w:ascii="Times New Roman" w:cs="Times New Roman" w:eastAsia="Times New Roman" w:hAnsi="Times New Roman"/>
          <w:sz w:val="19"/>
          <w:szCs w:val="19"/>
          <w:color w:val="2A2A2A"/>
        </w:rPr>
        <w:t xml:space="preserve">Name: Kevin </w:t>
      </w:r>
      <w:r>
        <w:rPr>
          <w:rFonts w:ascii="Arial" w:cs="Arial" w:eastAsia="Arial" w:hAnsi="Arial"/>
          <w:sz w:val="17"/>
          <w:szCs w:val="17"/>
          <w:color w:val="2A2A2A"/>
        </w:rPr>
        <w:t>L.</w:t>
      </w:r>
      <w:r>
        <w:rPr>
          <w:rFonts w:ascii="Times New Roman" w:cs="Times New Roman" w:eastAsia="Times New Roman" w:hAnsi="Times New Roman"/>
          <w:sz w:val="19"/>
          <w:szCs w:val="19"/>
          <w:color w:val="2A2A2A"/>
        </w:rPr>
        <w:t xml:space="preserve"> Neill Title: Treasurer</w:t>
      </w:r>
    </w:p>
    <w:p>
      <w:pPr>
        <w:spacing w:after="0" w:line="200" w:lineRule="exact"/>
        <w:rPr>
          <w:sz w:val="20"/>
          <w:szCs w:val="20"/>
          <w:color w:val="auto"/>
        </w:rPr>
      </w:pPr>
    </w:p>
    <w:p>
      <w:pPr>
        <w:spacing w:after="0" w:line="28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2A2A2A"/>
        </w:rPr>
        <w:t>NPL EAST LLC</w:t>
      </w:r>
    </w:p>
    <w:p>
      <w:pPr>
        <w:ind w:left="4520"/>
        <w:spacing w:after="0" w:line="237" w:lineRule="auto"/>
        <w:rPr>
          <w:sz w:val="20"/>
          <w:szCs w:val="20"/>
          <w:color w:val="auto"/>
        </w:rPr>
      </w:pPr>
      <w:r>
        <w:rPr>
          <w:rFonts w:ascii="Times New Roman" w:cs="Times New Roman" w:eastAsia="Times New Roman" w:hAnsi="Times New Roman"/>
          <w:sz w:val="19"/>
          <w:szCs w:val="19"/>
          <w:color w:val="282828"/>
        </w:rPr>
        <w:t xml:space="preserve">By: </w:t>
      </w:r>
      <w:r>
        <w:rPr>
          <w:rFonts w:ascii="Times New Roman" w:cs="Times New Roman" w:eastAsia="Times New Roman" w:hAnsi="Times New Roman"/>
          <w:sz w:val="19"/>
          <w:szCs w:val="19"/>
          <w:u w:val="single" w:color="auto"/>
          <w:color w:val="282828"/>
        </w:rPr>
        <w:t>/s/ Kevin L. Neill</w:t>
      </w:r>
    </w:p>
    <w:p>
      <w:pPr>
        <w:ind w:left="4500"/>
        <w:spacing w:after="0"/>
        <w:rPr>
          <w:sz w:val="20"/>
          <w:szCs w:val="20"/>
          <w:color w:val="auto"/>
        </w:rPr>
      </w:pPr>
      <w:r>
        <w:rPr>
          <w:rFonts w:ascii="Times New Roman" w:cs="Times New Roman" w:eastAsia="Times New Roman" w:hAnsi="Times New Roman"/>
          <w:sz w:val="19"/>
          <w:szCs w:val="19"/>
          <w:color w:val="2A2A2A"/>
        </w:rPr>
        <w:t xml:space="preserve">Name: Kevin </w:t>
      </w:r>
      <w:r>
        <w:rPr>
          <w:rFonts w:ascii="Arial" w:cs="Arial" w:eastAsia="Arial" w:hAnsi="Arial"/>
          <w:sz w:val="17"/>
          <w:szCs w:val="17"/>
          <w:color w:val="2A2A2A"/>
        </w:rPr>
        <w:t>L.</w:t>
      </w:r>
      <w:r>
        <w:rPr>
          <w:rFonts w:ascii="Times New Roman" w:cs="Times New Roman" w:eastAsia="Times New Roman" w:hAnsi="Times New Roman"/>
          <w:sz w:val="19"/>
          <w:szCs w:val="19"/>
          <w:color w:val="2A2A2A"/>
        </w:rPr>
        <w:t xml:space="preserve"> Neill Title: Treasurer</w:t>
      </w:r>
    </w:p>
    <w:p>
      <w:pPr>
        <w:spacing w:after="0" w:line="200" w:lineRule="exact"/>
        <w:rPr>
          <w:sz w:val="20"/>
          <w:szCs w:val="20"/>
          <w:color w:val="auto"/>
        </w:rPr>
      </w:pPr>
    </w:p>
    <w:p>
      <w:pPr>
        <w:spacing w:after="0" w:line="28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2A2A2A"/>
        </w:rPr>
        <w:t>NPL GREAT LAKES LLC</w:t>
      </w:r>
    </w:p>
    <w:p>
      <w:pPr>
        <w:ind w:left="4520"/>
        <w:spacing w:after="0" w:line="237" w:lineRule="auto"/>
        <w:rPr>
          <w:sz w:val="20"/>
          <w:szCs w:val="20"/>
          <w:color w:val="auto"/>
        </w:rPr>
      </w:pPr>
      <w:r>
        <w:rPr>
          <w:rFonts w:ascii="Times New Roman" w:cs="Times New Roman" w:eastAsia="Times New Roman" w:hAnsi="Times New Roman"/>
          <w:sz w:val="19"/>
          <w:szCs w:val="19"/>
          <w:color w:val="282828"/>
        </w:rPr>
        <w:t xml:space="preserve">By: </w:t>
      </w:r>
      <w:r>
        <w:rPr>
          <w:rFonts w:ascii="Times New Roman" w:cs="Times New Roman" w:eastAsia="Times New Roman" w:hAnsi="Times New Roman"/>
          <w:sz w:val="19"/>
          <w:szCs w:val="19"/>
          <w:u w:val="single" w:color="auto"/>
          <w:color w:val="282828"/>
        </w:rPr>
        <w:t>/s/ Kevin L. Neill</w:t>
      </w:r>
    </w:p>
    <w:p>
      <w:pPr>
        <w:ind w:left="4500"/>
        <w:spacing w:after="0"/>
        <w:rPr>
          <w:sz w:val="20"/>
          <w:szCs w:val="20"/>
          <w:color w:val="auto"/>
        </w:rPr>
      </w:pPr>
      <w:r>
        <w:rPr>
          <w:rFonts w:ascii="Times New Roman" w:cs="Times New Roman" w:eastAsia="Times New Roman" w:hAnsi="Times New Roman"/>
          <w:sz w:val="19"/>
          <w:szCs w:val="19"/>
          <w:color w:val="2A2A2A"/>
        </w:rPr>
        <w:t xml:space="preserve">Name: Kevin </w:t>
      </w:r>
      <w:r>
        <w:rPr>
          <w:rFonts w:ascii="Arial" w:cs="Arial" w:eastAsia="Arial" w:hAnsi="Arial"/>
          <w:sz w:val="17"/>
          <w:szCs w:val="17"/>
          <w:color w:val="2A2A2A"/>
        </w:rPr>
        <w:t>L.</w:t>
      </w:r>
      <w:r>
        <w:rPr>
          <w:rFonts w:ascii="Times New Roman" w:cs="Times New Roman" w:eastAsia="Times New Roman" w:hAnsi="Times New Roman"/>
          <w:sz w:val="19"/>
          <w:szCs w:val="19"/>
          <w:color w:val="2A2A2A"/>
        </w:rPr>
        <w:t xml:space="preserve"> Neill Title: Treasurer</w:t>
      </w:r>
    </w:p>
    <w:p>
      <w:pPr>
        <w:spacing w:after="0" w:line="200" w:lineRule="exact"/>
        <w:rPr>
          <w:sz w:val="20"/>
          <w:szCs w:val="20"/>
          <w:color w:val="auto"/>
        </w:rPr>
      </w:pPr>
    </w:p>
    <w:p>
      <w:pPr>
        <w:spacing w:after="0" w:line="28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2A2A2A"/>
        </w:rPr>
        <w:t>NPL MID-AMERICA LLC</w:t>
      </w:r>
    </w:p>
    <w:p>
      <w:pPr>
        <w:ind w:left="4520"/>
        <w:spacing w:after="0" w:line="237" w:lineRule="auto"/>
        <w:rPr>
          <w:sz w:val="20"/>
          <w:szCs w:val="20"/>
          <w:color w:val="auto"/>
        </w:rPr>
      </w:pPr>
      <w:r>
        <w:rPr>
          <w:rFonts w:ascii="Times New Roman" w:cs="Times New Roman" w:eastAsia="Times New Roman" w:hAnsi="Times New Roman"/>
          <w:sz w:val="19"/>
          <w:szCs w:val="19"/>
          <w:color w:val="282828"/>
        </w:rPr>
        <w:t xml:space="preserve">By: </w:t>
      </w:r>
      <w:r>
        <w:rPr>
          <w:rFonts w:ascii="Times New Roman" w:cs="Times New Roman" w:eastAsia="Times New Roman" w:hAnsi="Times New Roman"/>
          <w:sz w:val="19"/>
          <w:szCs w:val="19"/>
          <w:u w:val="single" w:color="auto"/>
          <w:color w:val="282828"/>
        </w:rPr>
        <w:t>/s/ Kevin L. Neill</w:t>
      </w:r>
    </w:p>
    <w:p>
      <w:pPr>
        <w:ind w:left="4500"/>
        <w:spacing w:after="0"/>
        <w:rPr>
          <w:sz w:val="20"/>
          <w:szCs w:val="20"/>
          <w:color w:val="auto"/>
        </w:rPr>
      </w:pPr>
      <w:r>
        <w:rPr>
          <w:rFonts w:ascii="Times New Roman" w:cs="Times New Roman" w:eastAsia="Times New Roman" w:hAnsi="Times New Roman"/>
          <w:sz w:val="19"/>
          <w:szCs w:val="19"/>
          <w:color w:val="2A2A2A"/>
        </w:rPr>
        <w:t xml:space="preserve">Name: Kevin </w:t>
      </w:r>
      <w:r>
        <w:rPr>
          <w:rFonts w:ascii="Arial" w:cs="Arial" w:eastAsia="Arial" w:hAnsi="Arial"/>
          <w:sz w:val="17"/>
          <w:szCs w:val="17"/>
          <w:color w:val="2A2A2A"/>
        </w:rPr>
        <w:t>L.</w:t>
      </w:r>
      <w:r>
        <w:rPr>
          <w:rFonts w:ascii="Times New Roman" w:cs="Times New Roman" w:eastAsia="Times New Roman" w:hAnsi="Times New Roman"/>
          <w:sz w:val="19"/>
          <w:szCs w:val="19"/>
          <w:color w:val="2A2A2A"/>
        </w:rPr>
        <w:t xml:space="preserve"> Neill Title: Treasurer</w:t>
      </w:r>
    </w:p>
    <w:p>
      <w:pPr>
        <w:spacing w:after="0" w:line="200" w:lineRule="exact"/>
        <w:rPr>
          <w:sz w:val="20"/>
          <w:szCs w:val="20"/>
          <w:color w:val="auto"/>
        </w:rPr>
      </w:pPr>
    </w:p>
    <w:p>
      <w:pPr>
        <w:spacing w:after="0" w:line="28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2A2A2A"/>
        </w:rPr>
        <w:t>NPL WEST LLC</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9"/>
          <w:szCs w:val="19"/>
          <w:color w:val="282828"/>
        </w:rPr>
        <w:t xml:space="preserve">By: </w:t>
      </w:r>
      <w:r>
        <w:rPr>
          <w:rFonts w:ascii="Times New Roman" w:cs="Times New Roman" w:eastAsia="Times New Roman" w:hAnsi="Times New Roman"/>
          <w:sz w:val="19"/>
          <w:szCs w:val="19"/>
          <w:u w:val="single" w:color="auto"/>
          <w:color w:val="282828"/>
        </w:rPr>
        <w:t>/s/ Kevin L. Neill</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2A2A2A"/>
        </w:rPr>
        <w:t xml:space="preserve">Name: Kevin </w:t>
      </w:r>
      <w:r>
        <w:rPr>
          <w:rFonts w:ascii="Arial" w:cs="Arial" w:eastAsia="Arial" w:hAnsi="Arial"/>
          <w:sz w:val="17"/>
          <w:szCs w:val="17"/>
          <w:color w:val="2A2A2A"/>
        </w:rPr>
        <w:t>L.</w:t>
      </w:r>
      <w:r>
        <w:rPr>
          <w:rFonts w:ascii="Times New Roman" w:cs="Times New Roman" w:eastAsia="Times New Roman" w:hAnsi="Times New Roman"/>
          <w:sz w:val="19"/>
          <w:szCs w:val="19"/>
          <w:color w:val="2A2A2A"/>
        </w:rPr>
        <w:t xml:space="preserve"> Neill 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4819"/>
        <w:spacing w:after="0"/>
        <w:rPr>
          <w:sz w:val="20"/>
          <w:szCs w:val="20"/>
          <w:color w:val="auto"/>
        </w:rPr>
      </w:pPr>
      <w:r>
        <w:rPr>
          <w:rFonts w:ascii="Times New Roman" w:cs="Times New Roman" w:eastAsia="Times New Roman" w:hAnsi="Times New Roman"/>
          <w:sz w:val="15"/>
          <w:szCs w:val="15"/>
          <w:color w:val="2A2A2A"/>
        </w:rPr>
        <w:t>Centuri Group</w:t>
      </w:r>
      <w:r>
        <w:rPr>
          <w:rFonts w:ascii="Times New Roman" w:cs="Times New Roman" w:eastAsia="Times New Roman" w:hAnsi="Times New Roman"/>
          <w:sz w:val="15"/>
          <w:szCs w:val="15"/>
          <w:color w:val="414246"/>
        </w:rPr>
        <w:t>,</w:t>
      </w:r>
      <w:r>
        <w:rPr>
          <w:rFonts w:ascii="Times New Roman" w:cs="Times New Roman" w:eastAsia="Times New Roman" w:hAnsi="Times New Roman"/>
          <w:sz w:val="15"/>
          <w:szCs w:val="15"/>
          <w:color w:val="2A2A2A"/>
        </w:rPr>
        <w:t xml:space="preserve"> Inc</w:t>
      </w:r>
      <w:r>
        <w:rPr>
          <w:rFonts w:ascii="Times New Roman" w:cs="Times New Roman" w:eastAsia="Times New Roman" w:hAnsi="Times New Roman"/>
          <w:sz w:val="15"/>
          <w:szCs w:val="15"/>
          <w:color w:val="414246"/>
        </w:rPr>
        <w:t>.</w:t>
      </w:r>
    </w:p>
    <w:p>
      <w:pPr>
        <w:spacing w:after="0" w:line="25" w:lineRule="exact"/>
        <w:rPr>
          <w:sz w:val="20"/>
          <w:szCs w:val="20"/>
          <w:color w:val="auto"/>
        </w:rPr>
      </w:pPr>
    </w:p>
    <w:p>
      <w:pPr>
        <w:jc w:val="center"/>
        <w:ind w:right="4819"/>
        <w:spacing w:after="0"/>
        <w:rPr>
          <w:sz w:val="20"/>
          <w:szCs w:val="20"/>
          <w:color w:val="auto"/>
        </w:rPr>
      </w:pPr>
      <w:r>
        <w:rPr>
          <w:rFonts w:ascii="Times New Roman" w:cs="Times New Roman" w:eastAsia="Times New Roman" w:hAnsi="Times New Roman"/>
          <w:sz w:val="15"/>
          <w:szCs w:val="15"/>
          <w:color w:val="2A2A2A"/>
        </w:rPr>
        <w:t>Fifth Amendment to Second Amend</w:t>
      </w:r>
      <w:r>
        <w:rPr>
          <w:rFonts w:ascii="Times New Roman" w:cs="Times New Roman" w:eastAsia="Times New Roman" w:hAnsi="Times New Roman"/>
          <w:sz w:val="15"/>
          <w:szCs w:val="15"/>
          <w:color w:val="414246"/>
        </w:rPr>
        <w:t>e</w:t>
      </w:r>
      <w:r>
        <w:rPr>
          <w:rFonts w:ascii="Times New Roman" w:cs="Times New Roman" w:eastAsia="Times New Roman" w:hAnsi="Times New Roman"/>
          <w:sz w:val="15"/>
          <w:szCs w:val="15"/>
          <w:color w:val="2A2A2A"/>
        </w:rPr>
        <w:t>d and Restated Credit Agr</w:t>
      </w:r>
      <w:r>
        <w:rPr>
          <w:rFonts w:ascii="Times New Roman" w:cs="Times New Roman" w:eastAsia="Times New Roman" w:hAnsi="Times New Roman"/>
          <w:sz w:val="15"/>
          <w:szCs w:val="15"/>
          <w:color w:val="414246"/>
        </w:rPr>
        <w:t>e</w:t>
      </w:r>
      <w:r>
        <w:rPr>
          <w:rFonts w:ascii="Times New Roman" w:cs="Times New Roman" w:eastAsia="Times New Roman" w:hAnsi="Times New Roman"/>
          <w:sz w:val="15"/>
          <w:szCs w:val="15"/>
          <w:color w:val="2A2A2A"/>
        </w:rPr>
        <w:t>ement Signature Page</w:t>
      </w:r>
    </w:p>
    <w:p>
      <w:pPr>
        <w:sectPr>
          <w:pgSz w:w="11900" w:h="16838" w:orient="portrait"/>
          <w:cols w:equalWidth="0" w:num="1">
            <w:col w:w="10059"/>
          </w:cols>
          <w:pgMar w:left="400" w:top="1440" w:right="1440" w:bottom="1440" w:gutter="0" w:footer="0" w:header="0"/>
        </w:sectPr>
      </w:pPr>
    </w:p>
    <w:bookmarkStart w:id="126" w:name="page127"/>
    <w:bookmarkEnd w:id="126"/>
    <w:p>
      <w:pPr>
        <w:spacing w:after="0" w:line="37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2A2A2A"/>
        </w:rPr>
        <w:t>OIL &amp; GAS DIVISION LLC</w:t>
      </w:r>
    </w:p>
    <w:p>
      <w:pPr>
        <w:ind w:left="4520"/>
        <w:spacing w:after="0" w:line="237" w:lineRule="auto"/>
        <w:rPr>
          <w:sz w:val="20"/>
          <w:szCs w:val="20"/>
          <w:color w:val="auto"/>
        </w:rPr>
      </w:pPr>
      <w:r>
        <w:rPr>
          <w:rFonts w:ascii="Times New Roman" w:cs="Times New Roman" w:eastAsia="Times New Roman" w:hAnsi="Times New Roman"/>
          <w:sz w:val="19"/>
          <w:szCs w:val="19"/>
          <w:color w:val="282828"/>
        </w:rPr>
        <w:t xml:space="preserve">By: </w:t>
      </w:r>
      <w:r>
        <w:rPr>
          <w:rFonts w:ascii="Times New Roman" w:cs="Times New Roman" w:eastAsia="Times New Roman" w:hAnsi="Times New Roman"/>
          <w:sz w:val="19"/>
          <w:szCs w:val="19"/>
          <w:u w:val="single" w:color="auto"/>
          <w:color w:val="282828"/>
        </w:rPr>
        <w:t>/s/ Kevin L. Neill</w:t>
      </w:r>
    </w:p>
    <w:p>
      <w:pPr>
        <w:ind w:left="4500"/>
        <w:spacing w:after="0"/>
        <w:rPr>
          <w:sz w:val="20"/>
          <w:szCs w:val="20"/>
          <w:color w:val="auto"/>
        </w:rPr>
      </w:pPr>
      <w:r>
        <w:rPr>
          <w:rFonts w:ascii="Times New Roman" w:cs="Times New Roman" w:eastAsia="Times New Roman" w:hAnsi="Times New Roman"/>
          <w:sz w:val="19"/>
          <w:szCs w:val="19"/>
          <w:color w:val="2A2A2A"/>
        </w:rPr>
        <w:t xml:space="preserve">Name: Kevin </w:t>
      </w:r>
      <w:r>
        <w:rPr>
          <w:rFonts w:ascii="Arial" w:cs="Arial" w:eastAsia="Arial" w:hAnsi="Arial"/>
          <w:sz w:val="17"/>
          <w:szCs w:val="17"/>
          <w:color w:val="2A2A2A"/>
        </w:rPr>
        <w:t>L.</w:t>
      </w:r>
      <w:r>
        <w:rPr>
          <w:rFonts w:ascii="Times New Roman" w:cs="Times New Roman" w:eastAsia="Times New Roman" w:hAnsi="Times New Roman"/>
          <w:sz w:val="19"/>
          <w:szCs w:val="19"/>
          <w:color w:val="2A2A2A"/>
        </w:rPr>
        <w:t xml:space="preserve"> Neill Title: Treasurer</w:t>
      </w:r>
    </w:p>
    <w:p>
      <w:pPr>
        <w:spacing w:after="0" w:line="200" w:lineRule="exact"/>
        <w:rPr>
          <w:sz w:val="20"/>
          <w:szCs w:val="20"/>
          <w:color w:val="auto"/>
        </w:rPr>
      </w:pPr>
    </w:p>
    <w:p>
      <w:pPr>
        <w:spacing w:after="0" w:line="28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2A2A2A"/>
        </w:rPr>
        <w:t>SERVICES DIVISION LLC</w:t>
      </w:r>
    </w:p>
    <w:p>
      <w:pPr>
        <w:ind w:left="4520"/>
        <w:spacing w:after="0" w:line="237" w:lineRule="auto"/>
        <w:rPr>
          <w:sz w:val="20"/>
          <w:szCs w:val="20"/>
          <w:color w:val="auto"/>
        </w:rPr>
      </w:pPr>
      <w:r>
        <w:rPr>
          <w:rFonts w:ascii="Times New Roman" w:cs="Times New Roman" w:eastAsia="Times New Roman" w:hAnsi="Times New Roman"/>
          <w:sz w:val="19"/>
          <w:szCs w:val="19"/>
          <w:color w:val="282828"/>
        </w:rPr>
        <w:t xml:space="preserve">By: </w:t>
      </w:r>
      <w:r>
        <w:rPr>
          <w:rFonts w:ascii="Times New Roman" w:cs="Times New Roman" w:eastAsia="Times New Roman" w:hAnsi="Times New Roman"/>
          <w:sz w:val="19"/>
          <w:szCs w:val="19"/>
          <w:u w:val="single" w:color="auto"/>
          <w:color w:val="282828"/>
        </w:rPr>
        <w:t>/s/ Kevin L. Neill</w:t>
      </w:r>
    </w:p>
    <w:p>
      <w:pPr>
        <w:ind w:left="4500"/>
        <w:spacing w:after="0"/>
        <w:rPr>
          <w:sz w:val="20"/>
          <w:szCs w:val="20"/>
          <w:color w:val="auto"/>
        </w:rPr>
      </w:pPr>
      <w:r>
        <w:rPr>
          <w:rFonts w:ascii="Times New Roman" w:cs="Times New Roman" w:eastAsia="Times New Roman" w:hAnsi="Times New Roman"/>
          <w:sz w:val="19"/>
          <w:szCs w:val="19"/>
          <w:color w:val="2A2A2A"/>
        </w:rPr>
        <w:t xml:space="preserve">Name: Kevin </w:t>
      </w:r>
      <w:r>
        <w:rPr>
          <w:rFonts w:ascii="Arial" w:cs="Arial" w:eastAsia="Arial" w:hAnsi="Arial"/>
          <w:sz w:val="17"/>
          <w:szCs w:val="17"/>
          <w:color w:val="2A2A2A"/>
        </w:rPr>
        <w:t>L.</w:t>
      </w:r>
      <w:r>
        <w:rPr>
          <w:rFonts w:ascii="Times New Roman" w:cs="Times New Roman" w:eastAsia="Times New Roman" w:hAnsi="Times New Roman"/>
          <w:sz w:val="19"/>
          <w:szCs w:val="19"/>
          <w:color w:val="2A2A2A"/>
        </w:rPr>
        <w:t xml:space="preserve"> Neill Title: Treasurer</w:t>
      </w:r>
    </w:p>
    <w:p>
      <w:pPr>
        <w:spacing w:after="0" w:line="200" w:lineRule="exact"/>
        <w:rPr>
          <w:sz w:val="20"/>
          <w:szCs w:val="20"/>
          <w:color w:val="auto"/>
        </w:rPr>
      </w:pPr>
    </w:p>
    <w:p>
      <w:pPr>
        <w:spacing w:after="0" w:line="28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2A2A2A"/>
        </w:rPr>
        <w:t>SOUTHWEST ADMINISTRATORS, INC.</w:t>
      </w:r>
    </w:p>
    <w:p>
      <w:pPr>
        <w:spacing w:after="0" w:line="1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9"/>
          <w:szCs w:val="19"/>
          <w:color w:val="282828"/>
        </w:rPr>
        <w:t xml:space="preserve">By: </w:t>
      </w:r>
      <w:r>
        <w:rPr>
          <w:rFonts w:ascii="Times New Roman" w:cs="Times New Roman" w:eastAsia="Times New Roman" w:hAnsi="Times New Roman"/>
          <w:sz w:val="19"/>
          <w:szCs w:val="19"/>
          <w:u w:val="single" w:color="auto"/>
          <w:color w:val="282828"/>
        </w:rPr>
        <w:t>/s/ Kevin L. Neill</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2A2A2A"/>
        </w:rPr>
        <w:t xml:space="preserve">Name: Kevin </w:t>
      </w:r>
      <w:r>
        <w:rPr>
          <w:rFonts w:ascii="Arial" w:cs="Arial" w:eastAsia="Arial" w:hAnsi="Arial"/>
          <w:sz w:val="17"/>
          <w:szCs w:val="17"/>
          <w:color w:val="2A2A2A"/>
        </w:rPr>
        <w:t>L.</w:t>
      </w:r>
      <w:r>
        <w:rPr>
          <w:rFonts w:ascii="Times New Roman" w:cs="Times New Roman" w:eastAsia="Times New Roman" w:hAnsi="Times New Roman"/>
          <w:sz w:val="19"/>
          <w:szCs w:val="19"/>
          <w:color w:val="2A2A2A"/>
        </w:rPr>
        <w:t xml:space="preserve"> Neill Title: Treasurer</w:t>
      </w:r>
    </w:p>
    <w:p>
      <w:pPr>
        <w:spacing w:after="0" w:line="200" w:lineRule="exact"/>
        <w:rPr>
          <w:sz w:val="20"/>
          <w:szCs w:val="20"/>
          <w:color w:val="auto"/>
        </w:rPr>
      </w:pPr>
    </w:p>
    <w:p>
      <w:pPr>
        <w:spacing w:after="0" w:line="27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2A2A2A"/>
        </w:rPr>
        <w:t>DRUM PARENT LLC</w:t>
      </w:r>
    </w:p>
    <w:p>
      <w:pPr>
        <w:ind w:left="4520"/>
        <w:spacing w:after="0"/>
        <w:rPr>
          <w:sz w:val="20"/>
          <w:szCs w:val="20"/>
          <w:color w:val="auto"/>
        </w:rPr>
      </w:pPr>
      <w:r>
        <w:rPr>
          <w:rFonts w:ascii="Times New Roman" w:cs="Times New Roman" w:eastAsia="Times New Roman" w:hAnsi="Times New Roman"/>
          <w:sz w:val="19"/>
          <w:szCs w:val="19"/>
          <w:color w:val="282828"/>
        </w:rPr>
        <w:t xml:space="preserve">By: </w:t>
      </w:r>
      <w:r>
        <w:rPr>
          <w:rFonts w:ascii="Times New Roman" w:cs="Times New Roman" w:eastAsia="Times New Roman" w:hAnsi="Times New Roman"/>
          <w:sz w:val="19"/>
          <w:szCs w:val="19"/>
          <w:u w:val="single" w:color="auto"/>
          <w:color w:val="282828"/>
        </w:rPr>
        <w:t>/s/ Kevin L. Neill</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2A2A2A"/>
        </w:rPr>
        <w:t xml:space="preserve">Name: Kevin </w:t>
      </w:r>
      <w:r>
        <w:rPr>
          <w:rFonts w:ascii="Arial" w:cs="Arial" w:eastAsia="Arial" w:hAnsi="Arial"/>
          <w:sz w:val="17"/>
          <w:szCs w:val="17"/>
          <w:color w:val="2A2A2A"/>
        </w:rPr>
        <w:t>L.</w:t>
      </w:r>
      <w:r>
        <w:rPr>
          <w:rFonts w:ascii="Times New Roman" w:cs="Times New Roman" w:eastAsia="Times New Roman" w:hAnsi="Times New Roman"/>
          <w:sz w:val="19"/>
          <w:szCs w:val="19"/>
          <w:color w:val="2A2A2A"/>
        </w:rPr>
        <w:t xml:space="preserve"> Neill Title: Treasurer</w:t>
      </w:r>
    </w:p>
    <w:p>
      <w:pPr>
        <w:spacing w:after="0" w:line="200" w:lineRule="exact"/>
        <w:rPr>
          <w:sz w:val="20"/>
          <w:szCs w:val="20"/>
          <w:color w:val="auto"/>
        </w:rPr>
      </w:pPr>
    </w:p>
    <w:p>
      <w:pPr>
        <w:spacing w:after="0" w:line="28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2A2A2A"/>
        </w:rPr>
        <w:t>RIGGS DISTLER &amp; COMPANY, INC.</w:t>
      </w:r>
    </w:p>
    <w:p>
      <w:pPr>
        <w:ind w:left="4520"/>
        <w:spacing w:after="0" w:line="237" w:lineRule="auto"/>
        <w:rPr>
          <w:sz w:val="20"/>
          <w:szCs w:val="20"/>
          <w:color w:val="auto"/>
        </w:rPr>
      </w:pPr>
      <w:r>
        <w:rPr>
          <w:rFonts w:ascii="Times New Roman" w:cs="Times New Roman" w:eastAsia="Times New Roman" w:hAnsi="Times New Roman"/>
          <w:sz w:val="19"/>
          <w:szCs w:val="19"/>
          <w:color w:val="282828"/>
        </w:rPr>
        <w:t xml:space="preserve">By: </w:t>
      </w:r>
      <w:r>
        <w:rPr>
          <w:rFonts w:ascii="Times New Roman" w:cs="Times New Roman" w:eastAsia="Times New Roman" w:hAnsi="Times New Roman"/>
          <w:sz w:val="19"/>
          <w:szCs w:val="19"/>
          <w:u w:val="single" w:color="auto"/>
          <w:color w:val="282828"/>
        </w:rPr>
        <w:t>/s/ Kevin L. Neill</w:t>
      </w:r>
    </w:p>
    <w:p>
      <w:pPr>
        <w:ind w:left="4500"/>
        <w:spacing w:after="0"/>
        <w:rPr>
          <w:sz w:val="20"/>
          <w:szCs w:val="20"/>
          <w:color w:val="auto"/>
        </w:rPr>
      </w:pPr>
      <w:r>
        <w:rPr>
          <w:rFonts w:ascii="Times New Roman" w:cs="Times New Roman" w:eastAsia="Times New Roman" w:hAnsi="Times New Roman"/>
          <w:sz w:val="19"/>
          <w:szCs w:val="19"/>
          <w:color w:val="2A2A2A"/>
        </w:rPr>
        <w:t xml:space="preserve">Name: Kevin </w:t>
      </w:r>
      <w:r>
        <w:rPr>
          <w:rFonts w:ascii="Arial" w:cs="Arial" w:eastAsia="Arial" w:hAnsi="Arial"/>
          <w:sz w:val="17"/>
          <w:szCs w:val="17"/>
          <w:color w:val="2A2A2A"/>
        </w:rPr>
        <w:t>L.</w:t>
      </w:r>
      <w:r>
        <w:rPr>
          <w:rFonts w:ascii="Times New Roman" w:cs="Times New Roman" w:eastAsia="Times New Roman" w:hAnsi="Times New Roman"/>
          <w:sz w:val="19"/>
          <w:szCs w:val="19"/>
          <w:color w:val="2A2A2A"/>
        </w:rPr>
        <w:t xml:space="preserve"> Neill Title: Treasurer</w:t>
      </w:r>
    </w:p>
    <w:p>
      <w:pPr>
        <w:spacing w:after="0" w:line="200" w:lineRule="exact"/>
        <w:rPr>
          <w:sz w:val="20"/>
          <w:szCs w:val="20"/>
          <w:color w:val="auto"/>
        </w:rPr>
      </w:pPr>
    </w:p>
    <w:p>
      <w:pPr>
        <w:spacing w:after="0" w:line="28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2A2A2A"/>
        </w:rPr>
        <w:t>SHELBY MECHANICAL LLC</w:t>
      </w:r>
    </w:p>
    <w:p>
      <w:pPr>
        <w:ind w:left="4520"/>
        <w:spacing w:after="0" w:line="237" w:lineRule="auto"/>
        <w:rPr>
          <w:sz w:val="20"/>
          <w:szCs w:val="20"/>
          <w:color w:val="auto"/>
        </w:rPr>
      </w:pPr>
      <w:r>
        <w:rPr>
          <w:rFonts w:ascii="Times New Roman" w:cs="Times New Roman" w:eastAsia="Times New Roman" w:hAnsi="Times New Roman"/>
          <w:sz w:val="19"/>
          <w:szCs w:val="19"/>
          <w:color w:val="282828"/>
        </w:rPr>
        <w:t xml:space="preserve">By: </w:t>
      </w:r>
      <w:r>
        <w:rPr>
          <w:rFonts w:ascii="Times New Roman" w:cs="Times New Roman" w:eastAsia="Times New Roman" w:hAnsi="Times New Roman"/>
          <w:sz w:val="19"/>
          <w:szCs w:val="19"/>
          <w:u w:val="single" w:color="auto"/>
          <w:color w:val="282828"/>
        </w:rPr>
        <w:t>/s/ Kevin L. Neill</w:t>
      </w:r>
    </w:p>
    <w:p>
      <w:pPr>
        <w:ind w:left="4500"/>
        <w:spacing w:after="0"/>
        <w:rPr>
          <w:sz w:val="20"/>
          <w:szCs w:val="20"/>
          <w:color w:val="auto"/>
        </w:rPr>
      </w:pPr>
      <w:r>
        <w:rPr>
          <w:rFonts w:ascii="Times New Roman" w:cs="Times New Roman" w:eastAsia="Times New Roman" w:hAnsi="Times New Roman"/>
          <w:sz w:val="19"/>
          <w:szCs w:val="19"/>
          <w:color w:val="2A2A2A"/>
        </w:rPr>
        <w:t xml:space="preserve">Name: Kevin </w:t>
      </w:r>
      <w:r>
        <w:rPr>
          <w:rFonts w:ascii="Arial" w:cs="Arial" w:eastAsia="Arial" w:hAnsi="Arial"/>
          <w:sz w:val="17"/>
          <w:szCs w:val="17"/>
          <w:color w:val="2A2A2A"/>
        </w:rPr>
        <w:t>L.</w:t>
      </w:r>
      <w:r>
        <w:rPr>
          <w:rFonts w:ascii="Times New Roman" w:cs="Times New Roman" w:eastAsia="Times New Roman" w:hAnsi="Times New Roman"/>
          <w:sz w:val="19"/>
          <w:szCs w:val="19"/>
          <w:color w:val="2A2A2A"/>
        </w:rPr>
        <w:t xml:space="preserve"> Neill Title: Treasurer</w:t>
      </w:r>
    </w:p>
    <w:p>
      <w:pPr>
        <w:spacing w:after="0" w:line="200" w:lineRule="exact"/>
        <w:rPr>
          <w:sz w:val="20"/>
          <w:szCs w:val="20"/>
          <w:color w:val="auto"/>
        </w:rPr>
      </w:pPr>
    </w:p>
    <w:p>
      <w:pPr>
        <w:spacing w:after="0" w:line="28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2A2A2A"/>
        </w:rPr>
        <w:t>SHELBY PLUMBING, LLC</w:t>
      </w:r>
    </w:p>
    <w:p>
      <w:pPr>
        <w:ind w:left="4520"/>
        <w:spacing w:after="0" w:line="237" w:lineRule="auto"/>
        <w:rPr>
          <w:sz w:val="20"/>
          <w:szCs w:val="20"/>
          <w:color w:val="auto"/>
        </w:rPr>
      </w:pPr>
      <w:r>
        <w:rPr>
          <w:rFonts w:ascii="Times New Roman" w:cs="Times New Roman" w:eastAsia="Times New Roman" w:hAnsi="Times New Roman"/>
          <w:sz w:val="19"/>
          <w:szCs w:val="19"/>
          <w:color w:val="282828"/>
        </w:rPr>
        <w:t xml:space="preserve">By: </w:t>
      </w:r>
      <w:r>
        <w:rPr>
          <w:rFonts w:ascii="Times New Roman" w:cs="Times New Roman" w:eastAsia="Times New Roman" w:hAnsi="Times New Roman"/>
          <w:sz w:val="19"/>
          <w:szCs w:val="19"/>
          <w:u w:val="single" w:color="auto"/>
          <w:color w:val="282828"/>
        </w:rPr>
        <w:t>/s/ Kevin L. Neill</w:t>
      </w:r>
    </w:p>
    <w:p>
      <w:pPr>
        <w:ind w:left="4520"/>
        <w:spacing w:after="0" w:line="235" w:lineRule="auto"/>
        <w:rPr>
          <w:sz w:val="20"/>
          <w:szCs w:val="20"/>
          <w:color w:val="auto"/>
        </w:rPr>
      </w:pPr>
      <w:r>
        <w:rPr>
          <w:rFonts w:ascii="Times New Roman" w:cs="Times New Roman" w:eastAsia="Times New Roman" w:hAnsi="Times New Roman"/>
          <w:sz w:val="19"/>
          <w:szCs w:val="19"/>
          <w:color w:val="2A2A2A"/>
        </w:rPr>
        <w:t xml:space="preserve">Name: Kevin </w:t>
      </w:r>
      <w:r>
        <w:rPr>
          <w:rFonts w:ascii="Arial" w:cs="Arial" w:eastAsia="Arial" w:hAnsi="Arial"/>
          <w:sz w:val="17"/>
          <w:szCs w:val="17"/>
          <w:color w:val="2A2A2A"/>
        </w:rPr>
        <w:t>L.</w:t>
      </w:r>
      <w:r>
        <w:rPr>
          <w:rFonts w:ascii="Times New Roman" w:cs="Times New Roman" w:eastAsia="Times New Roman" w:hAnsi="Times New Roman"/>
          <w:sz w:val="19"/>
          <w:szCs w:val="19"/>
          <w:color w:val="2A2A2A"/>
        </w:rPr>
        <w:t xml:space="preserve"> Neill</w:t>
      </w:r>
    </w:p>
    <w:p>
      <w:pPr>
        <w:ind w:left="4520"/>
        <w:spacing w:after="0"/>
        <w:rPr>
          <w:sz w:val="20"/>
          <w:szCs w:val="20"/>
          <w:color w:val="auto"/>
        </w:rPr>
      </w:pPr>
      <w:r>
        <w:rPr>
          <w:rFonts w:ascii="Times New Roman" w:cs="Times New Roman" w:eastAsia="Times New Roman" w:hAnsi="Times New Roman"/>
          <w:sz w:val="19"/>
          <w:szCs w:val="19"/>
          <w:color w:val="282828"/>
        </w:rPr>
        <w:t>Title: Treasurer and Manager</w:t>
      </w:r>
    </w:p>
    <w:p>
      <w:pPr>
        <w:spacing w:after="0" w:line="200" w:lineRule="exact"/>
        <w:rPr>
          <w:sz w:val="20"/>
          <w:szCs w:val="20"/>
          <w:color w:val="auto"/>
        </w:rPr>
      </w:pPr>
    </w:p>
    <w:p>
      <w:pPr>
        <w:spacing w:after="0" w:line="27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2A2A2A"/>
        </w:rPr>
        <w:t>NPL CANADA LTD.</w:t>
      </w:r>
    </w:p>
    <w:p>
      <w:pPr>
        <w:ind w:left="4520"/>
        <w:spacing w:after="0" w:line="237" w:lineRule="auto"/>
        <w:rPr>
          <w:sz w:val="20"/>
          <w:szCs w:val="20"/>
          <w:color w:val="auto"/>
        </w:rPr>
      </w:pPr>
      <w:r>
        <w:rPr>
          <w:rFonts w:ascii="Times New Roman" w:cs="Times New Roman" w:eastAsia="Times New Roman" w:hAnsi="Times New Roman"/>
          <w:sz w:val="19"/>
          <w:szCs w:val="19"/>
          <w:color w:val="282828"/>
        </w:rPr>
        <w:t xml:space="preserve">By: </w:t>
      </w:r>
      <w:r>
        <w:rPr>
          <w:rFonts w:ascii="Times New Roman" w:cs="Times New Roman" w:eastAsia="Times New Roman" w:hAnsi="Times New Roman"/>
          <w:sz w:val="19"/>
          <w:szCs w:val="19"/>
          <w:u w:val="single" w:color="auto"/>
          <w:color w:val="282828"/>
        </w:rPr>
        <w:t>/s/ Kevin L. Neill</w:t>
      </w:r>
    </w:p>
    <w:p>
      <w:pPr>
        <w:ind w:left="4500"/>
        <w:spacing w:after="0"/>
        <w:rPr>
          <w:sz w:val="20"/>
          <w:szCs w:val="20"/>
          <w:color w:val="auto"/>
        </w:rPr>
      </w:pPr>
      <w:r>
        <w:rPr>
          <w:rFonts w:ascii="Times New Roman" w:cs="Times New Roman" w:eastAsia="Times New Roman" w:hAnsi="Times New Roman"/>
          <w:sz w:val="19"/>
          <w:szCs w:val="19"/>
          <w:color w:val="2A2A2A"/>
        </w:rPr>
        <w:t xml:space="preserve">Name: Kevin </w:t>
      </w:r>
      <w:r>
        <w:rPr>
          <w:rFonts w:ascii="Arial" w:cs="Arial" w:eastAsia="Arial" w:hAnsi="Arial"/>
          <w:sz w:val="17"/>
          <w:szCs w:val="17"/>
          <w:color w:val="2A2A2A"/>
        </w:rPr>
        <w:t>L.</w:t>
      </w:r>
      <w:r>
        <w:rPr>
          <w:rFonts w:ascii="Times New Roman" w:cs="Times New Roman" w:eastAsia="Times New Roman" w:hAnsi="Times New Roman"/>
          <w:sz w:val="19"/>
          <w:szCs w:val="19"/>
          <w:color w:val="2A2A2A"/>
        </w:rPr>
        <w:t xml:space="preserve"> Neill 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4819"/>
        <w:spacing w:after="0"/>
        <w:rPr>
          <w:sz w:val="20"/>
          <w:szCs w:val="20"/>
          <w:color w:val="auto"/>
        </w:rPr>
      </w:pPr>
      <w:r>
        <w:rPr>
          <w:rFonts w:ascii="Times New Roman" w:cs="Times New Roman" w:eastAsia="Times New Roman" w:hAnsi="Times New Roman"/>
          <w:sz w:val="15"/>
          <w:szCs w:val="15"/>
          <w:color w:val="2A2A2A"/>
        </w:rPr>
        <w:t>Centuri Group</w:t>
      </w:r>
      <w:r>
        <w:rPr>
          <w:rFonts w:ascii="Times New Roman" w:cs="Times New Roman" w:eastAsia="Times New Roman" w:hAnsi="Times New Roman"/>
          <w:sz w:val="15"/>
          <w:szCs w:val="15"/>
          <w:color w:val="414246"/>
        </w:rPr>
        <w:t>,</w:t>
      </w:r>
      <w:r>
        <w:rPr>
          <w:rFonts w:ascii="Times New Roman" w:cs="Times New Roman" w:eastAsia="Times New Roman" w:hAnsi="Times New Roman"/>
          <w:sz w:val="15"/>
          <w:szCs w:val="15"/>
          <w:color w:val="2A2A2A"/>
        </w:rPr>
        <w:t xml:space="preserve"> Inc</w:t>
      </w:r>
      <w:r>
        <w:rPr>
          <w:rFonts w:ascii="Times New Roman" w:cs="Times New Roman" w:eastAsia="Times New Roman" w:hAnsi="Times New Roman"/>
          <w:sz w:val="15"/>
          <w:szCs w:val="15"/>
          <w:color w:val="414246"/>
        </w:rPr>
        <w:t>.</w:t>
      </w:r>
    </w:p>
    <w:p>
      <w:pPr>
        <w:spacing w:after="0" w:line="25" w:lineRule="exact"/>
        <w:rPr>
          <w:sz w:val="20"/>
          <w:szCs w:val="20"/>
          <w:color w:val="auto"/>
        </w:rPr>
      </w:pPr>
    </w:p>
    <w:p>
      <w:pPr>
        <w:jc w:val="center"/>
        <w:ind w:right="4819"/>
        <w:spacing w:after="0"/>
        <w:rPr>
          <w:sz w:val="20"/>
          <w:szCs w:val="20"/>
          <w:color w:val="auto"/>
        </w:rPr>
      </w:pPr>
      <w:r>
        <w:rPr>
          <w:rFonts w:ascii="Times New Roman" w:cs="Times New Roman" w:eastAsia="Times New Roman" w:hAnsi="Times New Roman"/>
          <w:sz w:val="15"/>
          <w:szCs w:val="15"/>
          <w:color w:val="2A2A2A"/>
        </w:rPr>
        <w:t>Fifth Amendment to Second Amend</w:t>
      </w:r>
      <w:r>
        <w:rPr>
          <w:rFonts w:ascii="Times New Roman" w:cs="Times New Roman" w:eastAsia="Times New Roman" w:hAnsi="Times New Roman"/>
          <w:sz w:val="15"/>
          <w:szCs w:val="15"/>
          <w:color w:val="414246"/>
        </w:rPr>
        <w:t>e</w:t>
      </w:r>
      <w:r>
        <w:rPr>
          <w:rFonts w:ascii="Times New Roman" w:cs="Times New Roman" w:eastAsia="Times New Roman" w:hAnsi="Times New Roman"/>
          <w:sz w:val="15"/>
          <w:szCs w:val="15"/>
          <w:color w:val="2A2A2A"/>
        </w:rPr>
        <w:t>d and Restated Credit Agr</w:t>
      </w:r>
      <w:r>
        <w:rPr>
          <w:rFonts w:ascii="Times New Roman" w:cs="Times New Roman" w:eastAsia="Times New Roman" w:hAnsi="Times New Roman"/>
          <w:sz w:val="15"/>
          <w:szCs w:val="15"/>
          <w:color w:val="414246"/>
        </w:rPr>
        <w:t>e</w:t>
      </w:r>
      <w:r>
        <w:rPr>
          <w:rFonts w:ascii="Times New Roman" w:cs="Times New Roman" w:eastAsia="Times New Roman" w:hAnsi="Times New Roman"/>
          <w:sz w:val="15"/>
          <w:szCs w:val="15"/>
          <w:color w:val="2A2A2A"/>
        </w:rPr>
        <w:t>ement Signature Page</w:t>
      </w:r>
    </w:p>
    <w:p>
      <w:pPr>
        <w:sectPr>
          <w:pgSz w:w="11900" w:h="16838" w:orient="portrait"/>
          <w:cols w:equalWidth="0" w:num="1">
            <w:col w:w="10059"/>
          </w:cols>
          <w:pgMar w:left="400" w:top="1440" w:right="1440" w:bottom="1440" w:gutter="0" w:footer="0" w:header="0"/>
        </w:sectPr>
      </w:pPr>
    </w:p>
    <w:bookmarkStart w:id="127" w:name="page128"/>
    <w:bookmarkEnd w:id="127"/>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2A2A2A"/>
        </w:rPr>
        <w:t>WSN CONSTRUCTION INC.</w:t>
      </w:r>
    </w:p>
    <w:p>
      <w:pPr>
        <w:ind w:left="4520"/>
        <w:spacing w:after="0" w:line="237" w:lineRule="auto"/>
        <w:rPr>
          <w:sz w:val="20"/>
          <w:szCs w:val="20"/>
          <w:color w:val="auto"/>
        </w:rPr>
      </w:pPr>
      <w:r>
        <w:rPr>
          <w:rFonts w:ascii="Times New Roman" w:cs="Times New Roman" w:eastAsia="Times New Roman" w:hAnsi="Times New Roman"/>
          <w:sz w:val="19"/>
          <w:szCs w:val="19"/>
          <w:color w:val="282828"/>
        </w:rPr>
        <w:t xml:space="preserve">By: </w:t>
      </w:r>
      <w:r>
        <w:rPr>
          <w:rFonts w:ascii="Times New Roman" w:cs="Times New Roman" w:eastAsia="Times New Roman" w:hAnsi="Times New Roman"/>
          <w:sz w:val="19"/>
          <w:szCs w:val="19"/>
          <w:u w:val="single" w:color="auto"/>
          <w:color w:val="282828"/>
        </w:rPr>
        <w:t>/s/ Kevin L. Neill</w:t>
      </w:r>
    </w:p>
    <w:p>
      <w:pPr>
        <w:jc w:val="right"/>
        <w:ind w:right="2719"/>
        <w:spacing w:after="0"/>
        <w:rPr>
          <w:sz w:val="20"/>
          <w:szCs w:val="20"/>
          <w:color w:val="auto"/>
        </w:rPr>
      </w:pPr>
      <w:r>
        <w:rPr>
          <w:rFonts w:ascii="Times New Roman" w:cs="Times New Roman" w:eastAsia="Times New Roman" w:hAnsi="Times New Roman"/>
          <w:sz w:val="19"/>
          <w:szCs w:val="19"/>
          <w:color w:val="2A2A2A"/>
        </w:rPr>
        <w:t xml:space="preserve">Name: Kevin </w:t>
      </w:r>
      <w:r>
        <w:rPr>
          <w:rFonts w:ascii="Arial" w:cs="Arial" w:eastAsia="Arial" w:hAnsi="Arial"/>
          <w:sz w:val="17"/>
          <w:szCs w:val="17"/>
          <w:color w:val="2A2A2A"/>
        </w:rPr>
        <w:t>L.</w:t>
      </w:r>
      <w:r>
        <w:rPr>
          <w:rFonts w:ascii="Times New Roman" w:cs="Times New Roman" w:eastAsia="Times New Roman" w:hAnsi="Times New Roman"/>
          <w:sz w:val="19"/>
          <w:szCs w:val="19"/>
          <w:color w:val="2A2A2A"/>
        </w:rPr>
        <w:t xml:space="preserve"> Neill Title: Treasurer</w:t>
      </w:r>
    </w:p>
    <w:p>
      <w:pPr>
        <w:spacing w:after="0" w:line="200" w:lineRule="exact"/>
        <w:rPr>
          <w:sz w:val="20"/>
          <w:szCs w:val="20"/>
          <w:color w:val="auto"/>
        </w:rPr>
      </w:pPr>
    </w:p>
    <w:p>
      <w:pPr>
        <w:spacing w:after="0" w:line="28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2A2A2A"/>
        </w:rPr>
        <w:t>RIGGS GAS LLC</w:t>
      </w:r>
    </w:p>
    <w:p>
      <w:pPr>
        <w:ind w:left="4520"/>
        <w:spacing w:after="0" w:line="237" w:lineRule="auto"/>
        <w:rPr>
          <w:sz w:val="20"/>
          <w:szCs w:val="20"/>
          <w:color w:val="auto"/>
        </w:rPr>
      </w:pPr>
      <w:r>
        <w:rPr>
          <w:rFonts w:ascii="Times New Roman" w:cs="Times New Roman" w:eastAsia="Times New Roman" w:hAnsi="Times New Roman"/>
          <w:sz w:val="19"/>
          <w:szCs w:val="19"/>
          <w:color w:val="282828"/>
        </w:rPr>
        <w:t xml:space="preserve">By: </w:t>
      </w:r>
      <w:r>
        <w:rPr>
          <w:rFonts w:ascii="Times New Roman" w:cs="Times New Roman" w:eastAsia="Times New Roman" w:hAnsi="Times New Roman"/>
          <w:sz w:val="19"/>
          <w:szCs w:val="19"/>
          <w:u w:val="single" w:color="auto"/>
          <w:color w:val="282828"/>
        </w:rPr>
        <w:t>/s/ Kevin L. Neill</w:t>
      </w:r>
    </w:p>
    <w:p>
      <w:pPr>
        <w:jc w:val="right"/>
        <w:ind w:right="2719"/>
        <w:spacing w:after="0"/>
        <w:rPr>
          <w:sz w:val="20"/>
          <w:szCs w:val="20"/>
          <w:color w:val="auto"/>
        </w:rPr>
      </w:pPr>
      <w:r>
        <w:rPr>
          <w:rFonts w:ascii="Times New Roman" w:cs="Times New Roman" w:eastAsia="Times New Roman" w:hAnsi="Times New Roman"/>
          <w:sz w:val="19"/>
          <w:szCs w:val="19"/>
          <w:color w:val="2A2A2A"/>
        </w:rPr>
        <w:t xml:space="preserve">Name: Kevin </w:t>
      </w:r>
      <w:r>
        <w:rPr>
          <w:rFonts w:ascii="Arial" w:cs="Arial" w:eastAsia="Arial" w:hAnsi="Arial"/>
          <w:sz w:val="17"/>
          <w:szCs w:val="17"/>
          <w:color w:val="2A2A2A"/>
        </w:rPr>
        <w:t>L.</w:t>
      </w:r>
      <w:r>
        <w:rPr>
          <w:rFonts w:ascii="Times New Roman" w:cs="Times New Roman" w:eastAsia="Times New Roman" w:hAnsi="Times New Roman"/>
          <w:sz w:val="19"/>
          <w:szCs w:val="19"/>
          <w:color w:val="2A2A2A"/>
        </w:rPr>
        <w:t xml:space="preserve"> Neill 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4819"/>
        <w:spacing w:after="0"/>
        <w:rPr>
          <w:sz w:val="20"/>
          <w:szCs w:val="20"/>
          <w:color w:val="auto"/>
        </w:rPr>
      </w:pPr>
      <w:r>
        <w:rPr>
          <w:rFonts w:ascii="Times New Roman" w:cs="Times New Roman" w:eastAsia="Times New Roman" w:hAnsi="Times New Roman"/>
          <w:sz w:val="15"/>
          <w:szCs w:val="15"/>
          <w:color w:val="2A2A2A"/>
        </w:rPr>
        <w:t>Centuri Group</w:t>
      </w:r>
      <w:r>
        <w:rPr>
          <w:rFonts w:ascii="Times New Roman" w:cs="Times New Roman" w:eastAsia="Times New Roman" w:hAnsi="Times New Roman"/>
          <w:sz w:val="15"/>
          <w:szCs w:val="15"/>
          <w:color w:val="414246"/>
        </w:rPr>
        <w:t>,</w:t>
      </w:r>
      <w:r>
        <w:rPr>
          <w:rFonts w:ascii="Times New Roman" w:cs="Times New Roman" w:eastAsia="Times New Roman" w:hAnsi="Times New Roman"/>
          <w:sz w:val="15"/>
          <w:szCs w:val="15"/>
          <w:color w:val="2A2A2A"/>
        </w:rPr>
        <w:t xml:space="preserve"> Inc</w:t>
      </w:r>
      <w:r>
        <w:rPr>
          <w:rFonts w:ascii="Times New Roman" w:cs="Times New Roman" w:eastAsia="Times New Roman" w:hAnsi="Times New Roman"/>
          <w:sz w:val="15"/>
          <w:szCs w:val="15"/>
          <w:color w:val="414246"/>
        </w:rPr>
        <w:t>.</w:t>
      </w:r>
    </w:p>
    <w:p>
      <w:pPr>
        <w:spacing w:after="0" w:line="25" w:lineRule="exact"/>
        <w:rPr>
          <w:sz w:val="20"/>
          <w:szCs w:val="20"/>
          <w:color w:val="auto"/>
        </w:rPr>
      </w:pPr>
    </w:p>
    <w:p>
      <w:pPr>
        <w:jc w:val="center"/>
        <w:ind w:right="4819"/>
        <w:spacing w:after="0"/>
        <w:rPr>
          <w:sz w:val="20"/>
          <w:szCs w:val="20"/>
          <w:color w:val="auto"/>
        </w:rPr>
      </w:pPr>
      <w:r>
        <w:rPr>
          <w:rFonts w:ascii="Times New Roman" w:cs="Times New Roman" w:eastAsia="Times New Roman" w:hAnsi="Times New Roman"/>
          <w:sz w:val="15"/>
          <w:szCs w:val="15"/>
          <w:color w:val="2A2A2A"/>
        </w:rPr>
        <w:t>Fifth Amendment to Second Amend</w:t>
      </w:r>
      <w:r>
        <w:rPr>
          <w:rFonts w:ascii="Times New Roman" w:cs="Times New Roman" w:eastAsia="Times New Roman" w:hAnsi="Times New Roman"/>
          <w:sz w:val="15"/>
          <w:szCs w:val="15"/>
          <w:color w:val="414246"/>
        </w:rPr>
        <w:t>e</w:t>
      </w:r>
      <w:r>
        <w:rPr>
          <w:rFonts w:ascii="Times New Roman" w:cs="Times New Roman" w:eastAsia="Times New Roman" w:hAnsi="Times New Roman"/>
          <w:sz w:val="15"/>
          <w:szCs w:val="15"/>
          <w:color w:val="2A2A2A"/>
        </w:rPr>
        <w:t>d and Restated Credit Agr</w:t>
      </w:r>
      <w:r>
        <w:rPr>
          <w:rFonts w:ascii="Times New Roman" w:cs="Times New Roman" w:eastAsia="Times New Roman" w:hAnsi="Times New Roman"/>
          <w:sz w:val="15"/>
          <w:szCs w:val="15"/>
          <w:color w:val="414246"/>
        </w:rPr>
        <w:t>e</w:t>
      </w:r>
      <w:r>
        <w:rPr>
          <w:rFonts w:ascii="Times New Roman" w:cs="Times New Roman" w:eastAsia="Times New Roman" w:hAnsi="Times New Roman"/>
          <w:sz w:val="15"/>
          <w:szCs w:val="15"/>
          <w:color w:val="2A2A2A"/>
        </w:rPr>
        <w:t>ement Signature Page</w:t>
      </w:r>
    </w:p>
    <w:p>
      <w:pPr>
        <w:sectPr>
          <w:pgSz w:w="11900" w:h="16838" w:orient="portrait"/>
          <w:cols w:equalWidth="0" w:num="1">
            <w:col w:w="10059"/>
          </w:cols>
          <w:pgMar w:left="400" w:top="1440" w:right="1440" w:bottom="1440" w:gutter="0" w:footer="0" w:header="0"/>
        </w:sectPr>
      </w:pPr>
    </w:p>
    <w:bookmarkStart w:id="128" w:name="page129"/>
    <w:bookmarkEnd w:id="128"/>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ADMINISTRATIVE AGENT AND LENDERS:</w:t>
      </w:r>
      <w:r>
        <w:rPr>
          <w:rFonts w:ascii="Times New Roman" w:cs="Times New Roman" w:eastAsia="Times New Roman" w:hAnsi="Times New Roman"/>
          <w:sz w:val="18"/>
          <w:szCs w:val="18"/>
          <w:color w:val="auto"/>
        </w:rPr>
        <w:t xml:space="preserve"> WELLS FARGO BANK, NATIONAL</w:t>
      </w:r>
    </w:p>
    <w:p>
      <w:pPr>
        <w:spacing w:after="0" w:line="30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ASSOCIATION,</w:t>
      </w:r>
    </w:p>
    <w:p>
      <w:pPr>
        <w:spacing w:after="0" w:line="15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as Administrative Agent, Swingline Lender, Issuing Lender and Lender</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82828"/>
        </w:rPr>
        <w:t xml:space="preserve">By: </w:t>
      </w:r>
      <w:r>
        <w:rPr>
          <w:rFonts w:ascii="Times New Roman" w:cs="Times New Roman" w:eastAsia="Times New Roman" w:hAnsi="Times New Roman"/>
          <w:sz w:val="19"/>
          <w:szCs w:val="19"/>
          <w:u w:val="single" w:color="auto"/>
          <w:color w:val="282828"/>
        </w:rPr>
        <w:t>/s/ John Hancey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A2A2A"/>
        </w:rPr>
        <w:t>Name: John Hancey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A2A2A"/>
        </w:rPr>
        <w:t>Title: CVP</w:t>
      </w:r>
    </w:p>
    <w:p>
      <w:pPr>
        <w:sectPr>
          <w:pgSz w:w="11900" w:h="16838" w:orient="portrait"/>
          <w:cols w:equalWidth="0" w:num="1">
            <w:col w:w="10780"/>
          </w:cols>
          <w:pgMar w:left="320" w:top="1440" w:right="799" w:bottom="9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Signature Page</w:t>
      </w:r>
    </w:p>
    <w:p>
      <w:pPr>
        <w:sectPr>
          <w:pgSz w:w="11900" w:h="16838" w:orient="portrait"/>
          <w:cols w:equalWidth="0" w:num="1">
            <w:col w:w="10780"/>
          </w:cols>
          <w:pgMar w:left="320" w:top="1440" w:right="799" w:bottom="910" w:gutter="0" w:footer="0" w:header="0"/>
          <w:type w:val="continuous"/>
        </w:sectPr>
      </w:pPr>
    </w:p>
    <w:bookmarkStart w:id="129" w:name="page130"/>
    <w:bookmarkEnd w:id="129"/>
    <w:p>
      <w:pPr>
        <w:jc w:val="center"/>
        <w:ind w:right="-1060"/>
        <w:spacing w:after="0"/>
        <w:rPr>
          <w:sz w:val="20"/>
          <w:szCs w:val="20"/>
          <w:color w:val="auto"/>
        </w:rPr>
      </w:pPr>
      <w:r>
        <w:rPr>
          <w:rFonts w:ascii="Times New Roman" w:cs="Times New Roman" w:eastAsia="Times New Roman" w:hAnsi="Times New Roman"/>
          <w:sz w:val="16"/>
          <w:szCs w:val="16"/>
          <w:b w:val="1"/>
          <w:bCs w:val="1"/>
          <w:color w:val="auto"/>
        </w:rPr>
        <w:t>Centuri Group, Inc.</w:t>
      </w:r>
    </w:p>
    <w:p>
      <w:pPr>
        <w:spacing w:after="0" w:line="23"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6"/>
          <w:szCs w:val="16"/>
          <w:b w:val="1"/>
          <w:bCs w:val="1"/>
          <w:color w:val="auto"/>
        </w:rPr>
        <w:t>Fifth Amendment to Second Amended and Restated Credit Agreemenl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Signature Page</w:t>
      </w:r>
    </w:p>
    <w:p>
      <w:pPr>
        <w:sectPr>
          <w:pgSz w:w="11900" w:h="16838" w:orient="portrait"/>
          <w:cols w:equalWidth="0" w:num="1">
            <w:col w:w="10099"/>
          </w:cols>
          <w:pgMar w:left="360" w:top="351" w:right="1440" w:bottom="1440" w:gutter="0" w:footer="0" w:header="0"/>
        </w:sectPr>
      </w:pPr>
    </w:p>
    <w:bookmarkStart w:id="130" w:name="page131"/>
    <w:bookmarkEnd w:id="130"/>
    <w:p>
      <w:pPr>
        <w:jc w:val="right"/>
        <w:ind w:right="2579"/>
        <w:spacing w:after="0"/>
        <w:rPr>
          <w:sz w:val="20"/>
          <w:szCs w:val="20"/>
          <w:color w:val="auto"/>
        </w:rPr>
      </w:pPr>
      <w:r>
        <w:rPr>
          <w:rFonts w:ascii="Times New Roman" w:cs="Times New Roman" w:eastAsia="Times New Roman" w:hAnsi="Times New Roman"/>
          <w:sz w:val="19"/>
          <w:szCs w:val="19"/>
          <w:color w:val="212123"/>
        </w:rPr>
        <w:t xml:space="preserve">BANK </w:t>
      </w:r>
      <w:r>
        <w:rPr>
          <w:rFonts w:ascii="Times New Roman" w:cs="Times New Roman" w:eastAsia="Times New Roman" w:hAnsi="Times New Roman"/>
          <w:sz w:val="19"/>
          <w:szCs w:val="19"/>
          <w:color w:val="363636"/>
        </w:rPr>
        <w:t>OF</w:t>
      </w:r>
      <w:r>
        <w:rPr>
          <w:rFonts w:ascii="Times New Roman" w:cs="Times New Roman" w:eastAsia="Times New Roman" w:hAnsi="Times New Roman"/>
          <w:sz w:val="19"/>
          <w:szCs w:val="19"/>
          <w:color w:val="212123"/>
        </w:rPr>
        <w:t xml:space="preserve"> AMERI</w:t>
      </w:r>
      <w:r>
        <w:rPr>
          <w:rFonts w:ascii="Times New Roman" w:cs="Times New Roman" w:eastAsia="Times New Roman" w:hAnsi="Times New Roman"/>
          <w:sz w:val="19"/>
          <w:szCs w:val="19"/>
          <w:color w:val="494949"/>
        </w:rPr>
        <w:t>C</w:t>
      </w:r>
      <w:r>
        <w:rPr>
          <w:rFonts w:ascii="Times New Roman" w:cs="Times New Roman" w:eastAsia="Times New Roman" w:hAnsi="Times New Roman"/>
          <w:sz w:val="19"/>
          <w:szCs w:val="19"/>
          <w:color w:val="212123"/>
        </w:rPr>
        <w:t>A</w:t>
      </w:r>
      <w:r>
        <w:rPr>
          <w:rFonts w:ascii="Times New Roman" w:cs="Times New Roman" w:eastAsia="Times New Roman" w:hAnsi="Times New Roman"/>
          <w:sz w:val="19"/>
          <w:szCs w:val="19"/>
          <w:color w:val="5B5B5B"/>
        </w:rPr>
        <w:t>,</w:t>
      </w:r>
      <w:r>
        <w:rPr>
          <w:rFonts w:ascii="Times New Roman" w:cs="Times New Roman" w:eastAsia="Times New Roman" w:hAnsi="Times New Roman"/>
          <w:sz w:val="19"/>
          <w:szCs w:val="19"/>
          <w:color w:val="212123"/>
        </w:rPr>
        <w:t xml:space="preserve"> </w:t>
      </w:r>
      <w:r>
        <w:rPr>
          <w:rFonts w:ascii="Times New Roman" w:cs="Times New Roman" w:eastAsia="Times New Roman" w:hAnsi="Times New Roman"/>
          <w:sz w:val="19"/>
          <w:szCs w:val="19"/>
          <w:color w:val="494949"/>
        </w:rPr>
        <w:t>N.A.,</w:t>
      </w:r>
      <w:r>
        <w:rPr>
          <w:rFonts w:ascii="Times New Roman" w:cs="Times New Roman" w:eastAsia="Times New Roman" w:hAnsi="Times New Roman"/>
          <w:sz w:val="19"/>
          <w:szCs w:val="19"/>
          <w:color w:val="212123"/>
        </w:rPr>
        <w:t xml:space="preserve"> a</w:t>
      </w:r>
      <w:r>
        <w:rPr>
          <w:rFonts w:ascii="Times New Roman" w:cs="Times New Roman" w:eastAsia="Times New Roman" w:hAnsi="Times New Roman"/>
          <w:sz w:val="19"/>
          <w:szCs w:val="19"/>
          <w:color w:val="494949"/>
        </w:rPr>
        <w:t>s</w:t>
      </w:r>
      <w:r>
        <w:rPr>
          <w:rFonts w:ascii="Times New Roman" w:cs="Times New Roman" w:eastAsia="Times New Roman" w:hAnsi="Times New Roman"/>
          <w:sz w:val="19"/>
          <w:szCs w:val="19"/>
          <w:color w:val="212123"/>
        </w:rPr>
        <w:t xml:space="preserve"> </w:t>
      </w:r>
      <w:r>
        <w:rPr>
          <w:rFonts w:ascii="Times New Roman" w:cs="Times New Roman" w:eastAsia="Times New Roman" w:hAnsi="Times New Roman"/>
          <w:sz w:val="19"/>
          <w:szCs w:val="19"/>
          <w:color w:val="363636"/>
        </w:rPr>
        <w:t>Lender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By: /s/ Brendan Kelly</w:t>
      </w:r>
    </w:p>
    <w:p>
      <w:pPr>
        <w:spacing w:after="0" w:line="156" w:lineRule="exact"/>
        <w:rPr>
          <w:sz w:val="20"/>
          <w:szCs w:val="20"/>
          <w:color w:val="auto"/>
        </w:rPr>
      </w:pPr>
    </w:p>
    <w:p>
      <w:pPr>
        <w:ind w:left="1280"/>
        <w:spacing w:after="0"/>
        <w:tabs>
          <w:tab w:leader="none" w:pos="5140" w:val="left"/>
        </w:tabs>
        <w:rPr>
          <w:sz w:val="20"/>
          <w:szCs w:val="20"/>
          <w:color w:val="auto"/>
        </w:rPr>
      </w:pPr>
      <w:r>
        <w:rPr>
          <w:rFonts w:ascii="Times New Roman" w:cs="Times New Roman" w:eastAsia="Times New Roman" w:hAnsi="Times New Roman"/>
          <w:sz w:val="19"/>
          <w:szCs w:val="19"/>
          <w:color w:val="auto"/>
        </w:rPr>
        <w:t>Name: Brendan Kelly</w:t>
      </w:r>
      <w:r>
        <w:rPr>
          <w:sz w:val="20"/>
          <w:szCs w:val="20"/>
          <w:color w:val="auto"/>
        </w:rPr>
        <w:tab/>
      </w:r>
      <w:r>
        <w:rPr>
          <w:rFonts w:ascii="Times New Roman" w:cs="Times New Roman" w:eastAsia="Times New Roman" w:hAnsi="Times New Roman"/>
          <w:sz w:val="18"/>
          <w:szCs w:val="18"/>
          <w:color w:val="auto"/>
        </w:rPr>
        <w:t>Title: Senior Vice President</w:t>
      </w:r>
    </w:p>
    <w:p>
      <w:pPr>
        <w:sectPr>
          <w:pgSz w:w="11900" w:h="16838" w:orient="portrait"/>
          <w:cols w:equalWidth="0" w:num="1">
            <w:col w:w="10099"/>
          </w:cols>
          <w:pgMar w:left="360" w:top="138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494949"/>
        </w:rPr>
        <w:t>Sig</w:t>
      </w:r>
      <w:r>
        <w:rPr>
          <w:rFonts w:ascii="Arial" w:cs="Arial" w:eastAsia="Arial" w:hAnsi="Arial"/>
          <w:sz w:val="14"/>
          <w:szCs w:val="14"/>
          <w:color w:val="212123"/>
        </w:rPr>
        <w:t>n</w:t>
      </w:r>
      <w:r>
        <w:rPr>
          <w:rFonts w:ascii="Arial" w:cs="Arial" w:eastAsia="Arial" w:hAnsi="Arial"/>
          <w:sz w:val="14"/>
          <w:szCs w:val="14"/>
          <w:color w:val="494949"/>
        </w:rPr>
        <w:t xml:space="preserve">ature </w:t>
      </w:r>
      <w:r>
        <w:rPr>
          <w:rFonts w:ascii="Arial" w:cs="Arial" w:eastAsia="Arial" w:hAnsi="Arial"/>
          <w:sz w:val="14"/>
          <w:szCs w:val="14"/>
          <w:color w:val="363636"/>
        </w:rPr>
        <w:t>Page</w:t>
      </w:r>
    </w:p>
    <w:p>
      <w:pPr>
        <w:sectPr>
          <w:pgSz w:w="11900" w:h="16838" w:orient="portrait"/>
          <w:cols w:equalWidth="0" w:num="1">
            <w:col w:w="10099"/>
          </w:cols>
          <w:pgMar w:left="360" w:top="1384" w:right="1440" w:bottom="1440" w:gutter="0" w:footer="0" w:header="0"/>
          <w:type w:val="continuous"/>
        </w:sectPr>
      </w:pPr>
    </w:p>
    <w:bookmarkStart w:id="131" w:name="page132"/>
    <w:bookmarkEnd w:id="131"/>
    <w:p>
      <w:pPr>
        <w:spacing w:after="0" w:line="188" w:lineRule="exact"/>
        <w:rPr>
          <w:sz w:val="20"/>
          <w:szCs w:val="20"/>
          <w:color w:val="auto"/>
        </w:rPr>
      </w:pPr>
    </w:p>
    <w:p>
      <w:pPr>
        <w:jc w:val="center"/>
        <w:ind w:right="-1080"/>
        <w:spacing w:after="0"/>
        <w:rPr>
          <w:sz w:val="20"/>
          <w:szCs w:val="20"/>
          <w:color w:val="auto"/>
        </w:rPr>
      </w:pPr>
      <w:r>
        <w:rPr>
          <w:rFonts w:ascii="Arial" w:cs="Arial" w:eastAsia="Arial" w:hAnsi="Arial"/>
          <w:sz w:val="14"/>
          <w:szCs w:val="14"/>
          <w:color w:val="5B5B5B"/>
        </w:rPr>
        <w:t>Ce</w:t>
      </w:r>
      <w:r>
        <w:rPr>
          <w:rFonts w:ascii="Arial" w:cs="Arial" w:eastAsia="Arial" w:hAnsi="Arial"/>
          <w:sz w:val="14"/>
          <w:szCs w:val="14"/>
          <w:color w:val="212123"/>
        </w:rPr>
        <w:t>nturi</w:t>
      </w:r>
      <w:r>
        <w:rPr>
          <w:rFonts w:ascii="Arial" w:cs="Arial" w:eastAsia="Arial" w:hAnsi="Arial"/>
          <w:sz w:val="14"/>
          <w:szCs w:val="14"/>
          <w:color w:val="5B5B5B"/>
        </w:rPr>
        <w:t xml:space="preserve"> </w:t>
      </w:r>
      <w:r>
        <w:rPr>
          <w:rFonts w:ascii="Arial" w:cs="Arial" w:eastAsia="Arial" w:hAnsi="Arial"/>
          <w:sz w:val="14"/>
          <w:szCs w:val="14"/>
          <w:color w:val="494949"/>
        </w:rPr>
        <w:t>Group</w:t>
      </w:r>
      <w:r>
        <w:rPr>
          <w:rFonts w:ascii="Arial" w:cs="Arial" w:eastAsia="Arial" w:hAnsi="Arial"/>
          <w:sz w:val="14"/>
          <w:szCs w:val="14"/>
          <w:color w:val="030303"/>
        </w:rPr>
        <w:t>.</w:t>
      </w:r>
      <w:r>
        <w:rPr>
          <w:rFonts w:ascii="Arial" w:cs="Arial" w:eastAsia="Arial" w:hAnsi="Arial"/>
          <w:sz w:val="14"/>
          <w:szCs w:val="14"/>
          <w:color w:val="5B5B5B"/>
        </w:rPr>
        <w:t xml:space="preserve"> </w:t>
      </w:r>
      <w:r>
        <w:rPr>
          <w:rFonts w:ascii="Arial" w:cs="Arial" w:eastAsia="Arial" w:hAnsi="Arial"/>
          <w:sz w:val="14"/>
          <w:szCs w:val="14"/>
          <w:color w:val="212123"/>
        </w:rPr>
        <w:t>In</w:t>
      </w:r>
      <w:r>
        <w:rPr>
          <w:rFonts w:ascii="Arial" w:cs="Arial" w:eastAsia="Arial" w:hAnsi="Arial"/>
          <w:sz w:val="14"/>
          <w:szCs w:val="14"/>
          <w:color w:val="494949"/>
        </w:rPr>
        <w:t>c.</w:t>
      </w:r>
    </w:p>
    <w:p>
      <w:pPr>
        <w:spacing w:after="0" w:line="28" w:lineRule="exact"/>
        <w:rPr>
          <w:sz w:val="20"/>
          <w:szCs w:val="20"/>
          <w:color w:val="auto"/>
        </w:rPr>
      </w:pPr>
    </w:p>
    <w:p>
      <w:pPr>
        <w:jc w:val="right"/>
        <w:ind w:right="2279"/>
        <w:spacing w:after="0"/>
        <w:rPr>
          <w:sz w:val="20"/>
          <w:szCs w:val="20"/>
          <w:color w:val="auto"/>
        </w:rPr>
      </w:pPr>
      <w:r>
        <w:rPr>
          <w:rFonts w:ascii="Arial" w:cs="Arial" w:eastAsia="Arial" w:hAnsi="Arial"/>
          <w:sz w:val="14"/>
          <w:szCs w:val="14"/>
          <w:color w:val="494949"/>
        </w:rPr>
        <w:t>Fift</w:t>
      </w:r>
      <w:r>
        <w:rPr>
          <w:rFonts w:ascii="Arial" w:cs="Arial" w:eastAsia="Arial" w:hAnsi="Arial"/>
          <w:sz w:val="14"/>
          <w:szCs w:val="14"/>
          <w:color w:val="212123"/>
        </w:rPr>
        <w:t>h</w:t>
      </w:r>
      <w:r>
        <w:rPr>
          <w:rFonts w:ascii="Arial" w:cs="Arial" w:eastAsia="Arial" w:hAnsi="Arial"/>
          <w:sz w:val="14"/>
          <w:szCs w:val="14"/>
          <w:color w:val="494949"/>
        </w:rPr>
        <w:t xml:space="preserve"> Ame</w:t>
      </w:r>
      <w:r>
        <w:rPr>
          <w:rFonts w:ascii="Arial" w:cs="Arial" w:eastAsia="Arial" w:hAnsi="Arial"/>
          <w:sz w:val="14"/>
          <w:szCs w:val="14"/>
          <w:color w:val="212123"/>
        </w:rPr>
        <w:t>n</w:t>
      </w:r>
      <w:r>
        <w:rPr>
          <w:rFonts w:ascii="Arial" w:cs="Arial" w:eastAsia="Arial" w:hAnsi="Arial"/>
          <w:sz w:val="14"/>
          <w:szCs w:val="14"/>
          <w:color w:val="494949"/>
        </w:rPr>
        <w:t>d</w:t>
      </w:r>
      <w:r>
        <w:rPr>
          <w:rFonts w:ascii="Arial" w:cs="Arial" w:eastAsia="Arial" w:hAnsi="Arial"/>
          <w:sz w:val="14"/>
          <w:szCs w:val="14"/>
          <w:color w:val="212123"/>
        </w:rPr>
        <w:t>m</w:t>
      </w:r>
      <w:r>
        <w:rPr>
          <w:rFonts w:ascii="Arial" w:cs="Arial" w:eastAsia="Arial" w:hAnsi="Arial"/>
          <w:sz w:val="14"/>
          <w:szCs w:val="14"/>
          <w:color w:val="494949"/>
        </w:rPr>
        <w:t>e</w:t>
      </w:r>
      <w:r>
        <w:rPr>
          <w:rFonts w:ascii="Arial" w:cs="Arial" w:eastAsia="Arial" w:hAnsi="Arial"/>
          <w:sz w:val="14"/>
          <w:szCs w:val="14"/>
          <w:color w:val="212123"/>
        </w:rPr>
        <w:t>nt</w:t>
      </w:r>
      <w:r>
        <w:rPr>
          <w:rFonts w:ascii="Arial" w:cs="Arial" w:eastAsia="Arial" w:hAnsi="Arial"/>
          <w:sz w:val="14"/>
          <w:szCs w:val="14"/>
          <w:color w:val="494949"/>
        </w:rPr>
        <w:t xml:space="preserve"> to Seco</w:t>
      </w:r>
      <w:r>
        <w:rPr>
          <w:rFonts w:ascii="Arial" w:cs="Arial" w:eastAsia="Arial" w:hAnsi="Arial"/>
          <w:sz w:val="14"/>
          <w:szCs w:val="14"/>
          <w:color w:val="212123"/>
        </w:rPr>
        <w:t>n</w:t>
      </w:r>
      <w:r>
        <w:rPr>
          <w:rFonts w:ascii="Arial" w:cs="Arial" w:eastAsia="Arial" w:hAnsi="Arial"/>
          <w:sz w:val="14"/>
          <w:szCs w:val="14"/>
          <w:color w:val="494949"/>
        </w:rPr>
        <w:t>d A</w:t>
      </w:r>
      <w:r>
        <w:rPr>
          <w:rFonts w:ascii="Arial" w:cs="Arial" w:eastAsia="Arial" w:hAnsi="Arial"/>
          <w:sz w:val="14"/>
          <w:szCs w:val="14"/>
          <w:color w:val="212123"/>
        </w:rPr>
        <w:t>m</w:t>
      </w:r>
      <w:r>
        <w:rPr>
          <w:rFonts w:ascii="Arial" w:cs="Arial" w:eastAsia="Arial" w:hAnsi="Arial"/>
          <w:sz w:val="14"/>
          <w:szCs w:val="14"/>
          <w:color w:val="5B5B5B"/>
        </w:rPr>
        <w:t>e</w:t>
      </w:r>
      <w:r>
        <w:rPr>
          <w:rFonts w:ascii="Arial" w:cs="Arial" w:eastAsia="Arial" w:hAnsi="Arial"/>
          <w:sz w:val="14"/>
          <w:szCs w:val="14"/>
          <w:color w:val="363636"/>
        </w:rPr>
        <w:t>nd</w:t>
      </w:r>
      <w:r>
        <w:rPr>
          <w:rFonts w:ascii="Arial" w:cs="Arial" w:eastAsia="Arial" w:hAnsi="Arial"/>
          <w:sz w:val="14"/>
          <w:szCs w:val="14"/>
          <w:color w:val="5B5B5B"/>
        </w:rPr>
        <w:t>e</w:t>
      </w:r>
      <w:r>
        <w:rPr>
          <w:rFonts w:ascii="Arial" w:cs="Arial" w:eastAsia="Arial" w:hAnsi="Arial"/>
          <w:sz w:val="14"/>
          <w:szCs w:val="14"/>
          <w:color w:val="363636"/>
        </w:rPr>
        <w:t>d</w:t>
      </w:r>
      <w:r>
        <w:rPr>
          <w:rFonts w:ascii="Arial" w:cs="Arial" w:eastAsia="Arial" w:hAnsi="Arial"/>
          <w:sz w:val="14"/>
          <w:szCs w:val="14"/>
          <w:color w:val="494949"/>
        </w:rPr>
        <w:t xml:space="preserve"> a</w:t>
      </w:r>
      <w:r>
        <w:rPr>
          <w:rFonts w:ascii="Arial" w:cs="Arial" w:eastAsia="Arial" w:hAnsi="Arial"/>
          <w:sz w:val="14"/>
          <w:szCs w:val="14"/>
          <w:color w:val="212123"/>
        </w:rPr>
        <w:t>nd</w:t>
      </w:r>
      <w:r>
        <w:rPr>
          <w:rFonts w:ascii="Arial" w:cs="Arial" w:eastAsia="Arial" w:hAnsi="Arial"/>
          <w:sz w:val="14"/>
          <w:szCs w:val="14"/>
          <w:color w:val="494949"/>
        </w:rPr>
        <w:t xml:space="preserve"> </w:t>
      </w:r>
      <w:r>
        <w:rPr>
          <w:rFonts w:ascii="Arial" w:cs="Arial" w:eastAsia="Arial" w:hAnsi="Arial"/>
          <w:sz w:val="14"/>
          <w:szCs w:val="14"/>
          <w:color w:val="363636"/>
        </w:rPr>
        <w:t>Restated</w:t>
      </w:r>
      <w:r>
        <w:rPr>
          <w:rFonts w:ascii="Arial" w:cs="Arial" w:eastAsia="Arial" w:hAnsi="Arial"/>
          <w:sz w:val="14"/>
          <w:szCs w:val="14"/>
          <w:color w:val="494949"/>
        </w:rPr>
        <w:t xml:space="preserve"> Credit Agreement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color w:val="494949"/>
        </w:rPr>
        <w:t>Sig</w:t>
      </w:r>
      <w:r>
        <w:rPr>
          <w:rFonts w:ascii="Arial" w:cs="Arial" w:eastAsia="Arial" w:hAnsi="Arial"/>
          <w:sz w:val="14"/>
          <w:szCs w:val="14"/>
          <w:color w:val="212123"/>
        </w:rPr>
        <w:t>n</w:t>
      </w:r>
      <w:r>
        <w:rPr>
          <w:rFonts w:ascii="Arial" w:cs="Arial" w:eastAsia="Arial" w:hAnsi="Arial"/>
          <w:sz w:val="14"/>
          <w:szCs w:val="14"/>
          <w:color w:val="494949"/>
        </w:rPr>
        <w:t xml:space="preserve">ature </w:t>
      </w:r>
      <w:r>
        <w:rPr>
          <w:rFonts w:ascii="Arial" w:cs="Arial" w:eastAsia="Arial" w:hAnsi="Arial"/>
          <w:sz w:val="14"/>
          <w:szCs w:val="14"/>
          <w:color w:val="363636"/>
        </w:rPr>
        <w:t>Page</w:t>
      </w:r>
    </w:p>
    <w:p>
      <w:pPr>
        <w:sectPr>
          <w:pgSz w:w="11900" w:h="16838" w:orient="portrait"/>
          <w:cols w:equalWidth="0" w:num="1">
            <w:col w:w="10099"/>
          </w:cols>
          <w:pgMar w:left="360" w:top="1440" w:right="1440" w:bottom="1440" w:gutter="0" w:footer="0" w:header="0"/>
        </w:sectPr>
      </w:pPr>
    </w:p>
    <w:bookmarkStart w:id="132" w:name="page133"/>
    <w:bookmarkEnd w:id="132"/>
    <w:p>
      <w:pPr>
        <w:ind w:left="4500"/>
        <w:spacing w:after="0"/>
        <w:rPr>
          <w:sz w:val="20"/>
          <w:szCs w:val="20"/>
          <w:color w:val="auto"/>
        </w:rPr>
      </w:pPr>
      <w:r>
        <w:rPr>
          <w:rFonts w:ascii="Times New Roman" w:cs="Times New Roman" w:eastAsia="Times New Roman" w:hAnsi="Times New Roman"/>
          <w:sz w:val="19"/>
          <w:szCs w:val="19"/>
          <w:color w:val="auto"/>
        </w:rPr>
        <w:t>CANADIAN IMPERIAL BANK OF COMMERCE, as</w:t>
      </w:r>
    </w:p>
    <w:p>
      <w:pPr>
        <w:spacing w:after="0" w:line="3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Swingline Lender, Issuing Lender and Lender</w:t>
      </w:r>
    </w:p>
    <w:p>
      <w:pPr>
        <w:spacing w:after="0" w:line="211" w:lineRule="exact"/>
        <w:rPr>
          <w:sz w:val="20"/>
          <w:szCs w:val="20"/>
          <w:color w:val="auto"/>
        </w:rPr>
      </w:pPr>
    </w:p>
    <w:p>
      <w:pPr>
        <w:ind w:left="4500"/>
        <w:spacing w:after="0"/>
        <w:tabs>
          <w:tab w:leader="none" w:pos="49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James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3159125</wp:posOffset>
            </wp:positionH>
            <wp:positionV relativeFrom="paragraph">
              <wp:posOffset>-12065</wp:posOffset>
            </wp:positionV>
            <wp:extent cx="81597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39">
                      <a:extLst>
                        <a:ext uri="{28A0092B-C50C-407E-A947-70E740481C1C}"/>
                      </a:extLst>
                    </a:blip>
                    <a:srcRect/>
                    <a:stretch>
                      <a:fillRect/>
                    </a:stretch>
                  </pic:blipFill>
                  <pic:spPr bwMode="auto">
                    <a:xfrm>
                      <a:off x="0" y="0"/>
                      <a:ext cx="815975" cy="825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0"/>
          <w:szCs w:val="20"/>
          <w:color w:val="auto"/>
        </w:rPr>
        <w:t>Name: James Day</w:t>
      </w:r>
    </w:p>
    <w:p>
      <w:pPr>
        <w:ind w:left="450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57" w:lineRule="exact"/>
        <w:rPr>
          <w:sz w:val="20"/>
          <w:szCs w:val="20"/>
          <w:color w:val="auto"/>
        </w:rPr>
      </w:pPr>
    </w:p>
    <w:p>
      <w:pPr>
        <w:ind w:left="4500"/>
        <w:spacing w:after="0"/>
        <w:tabs>
          <w:tab w:leader="none" w:pos="49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Josh Spagnoletti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3159125</wp:posOffset>
            </wp:positionH>
            <wp:positionV relativeFrom="paragraph">
              <wp:posOffset>-12065</wp:posOffset>
            </wp:positionV>
            <wp:extent cx="10928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40">
                      <a:extLst>
                        <a:ext uri="{28A0092B-C50C-407E-A947-70E740481C1C}"/>
                      </a:extLst>
                    </a:blip>
                    <a:srcRect/>
                    <a:stretch>
                      <a:fillRect/>
                    </a:stretch>
                  </pic:blipFill>
                  <pic:spPr bwMode="auto">
                    <a:xfrm>
                      <a:off x="0" y="0"/>
                      <a:ext cx="1092835" cy="825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0"/>
          <w:szCs w:val="20"/>
          <w:color w:val="auto"/>
        </w:rPr>
        <w:t>Name: Josh Spagnoletti 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4539"/>
        <w:spacing w:after="0"/>
        <w:rPr>
          <w:sz w:val="20"/>
          <w:szCs w:val="20"/>
          <w:color w:val="auto"/>
        </w:rPr>
      </w:pPr>
      <w:r>
        <w:rPr>
          <w:rFonts w:ascii="Times New Roman" w:cs="Times New Roman" w:eastAsia="Times New Roman" w:hAnsi="Times New Roman"/>
          <w:sz w:val="16"/>
          <w:szCs w:val="16"/>
          <w:color w:val="auto"/>
        </w:rPr>
        <w:t>Centuri Group, Inc.</w:t>
      </w:r>
    </w:p>
    <w:p>
      <w:pPr>
        <w:spacing w:after="0" w:line="21" w:lineRule="exact"/>
        <w:rPr>
          <w:sz w:val="20"/>
          <w:szCs w:val="20"/>
          <w:color w:val="auto"/>
        </w:rPr>
      </w:pPr>
    </w:p>
    <w:p>
      <w:pPr>
        <w:jc w:val="center"/>
        <w:ind w:right="4539"/>
        <w:spacing w:after="0"/>
        <w:rPr>
          <w:sz w:val="20"/>
          <w:szCs w:val="20"/>
          <w:color w:val="auto"/>
        </w:rPr>
      </w:pPr>
      <w:r>
        <w:rPr>
          <w:rFonts w:ascii="Times New Roman" w:cs="Times New Roman" w:eastAsia="Times New Roman" w:hAnsi="Times New Roman"/>
          <w:sz w:val="16"/>
          <w:szCs w:val="16"/>
          <w:color w:val="auto"/>
        </w:rPr>
        <w:t>Fifth Amendment to Second Amended and Restated Credit Agreement Signature Page</w:t>
      </w:r>
    </w:p>
    <w:p>
      <w:pPr>
        <w:sectPr>
          <w:pgSz w:w="11900" w:h="16838" w:orient="portrait"/>
          <w:cols w:equalWidth="0" w:num="1">
            <w:col w:w="10099"/>
          </w:cols>
          <w:pgMar w:left="360" w:top="1387" w:right="1440" w:bottom="1440" w:gutter="0" w:footer="0" w:header="0"/>
        </w:sectPr>
      </w:pPr>
    </w:p>
    <w:bookmarkStart w:id="133" w:name="page134"/>
    <w:bookmarkEnd w:id="133"/>
    <w:p>
      <w:pPr>
        <w:spacing w:after="0" w:line="78" w:lineRule="exact"/>
        <w:rPr>
          <w:sz w:val="20"/>
          <w:szCs w:val="20"/>
          <w:color w:val="auto"/>
        </w:rPr>
      </w:pPr>
    </w:p>
    <w:p>
      <w:pPr>
        <w:jc w:val="right"/>
        <w:ind w:right="1579"/>
        <w:spacing w:after="0"/>
        <w:rPr>
          <w:sz w:val="20"/>
          <w:szCs w:val="20"/>
          <w:color w:val="auto"/>
        </w:rPr>
      </w:pPr>
      <w:r>
        <w:rPr>
          <w:rFonts w:ascii="Times New Roman" w:cs="Times New Roman" w:eastAsia="Times New Roman" w:hAnsi="Times New Roman"/>
          <w:sz w:val="19"/>
          <w:szCs w:val="19"/>
          <w:color w:val="2A2A2A"/>
        </w:rPr>
        <w:t xml:space="preserve">PNC BANK, </w:t>
      </w:r>
      <w:r>
        <w:rPr>
          <w:rFonts w:ascii="Times New Roman" w:cs="Times New Roman" w:eastAsia="Times New Roman" w:hAnsi="Times New Roman"/>
          <w:sz w:val="19"/>
          <w:szCs w:val="19"/>
          <w:color w:val="3F3F3F"/>
        </w:rPr>
        <w:t>NATIONAL</w:t>
      </w:r>
      <w:r>
        <w:rPr>
          <w:rFonts w:ascii="Times New Roman" w:cs="Times New Roman" w:eastAsia="Times New Roman" w:hAnsi="Times New Roman"/>
          <w:sz w:val="19"/>
          <w:szCs w:val="19"/>
          <w:color w:val="2A2A2A"/>
        </w:rPr>
        <w:t xml:space="preserve"> ASSOCIATION</w:t>
      </w:r>
      <w:r>
        <w:rPr>
          <w:rFonts w:ascii="Times New Roman" w:cs="Times New Roman" w:eastAsia="Times New Roman" w:hAnsi="Times New Roman"/>
          <w:sz w:val="19"/>
          <w:szCs w:val="19"/>
          <w:color w:val="525252"/>
        </w:rPr>
        <w:t>,</w:t>
      </w:r>
      <w:r>
        <w:rPr>
          <w:rFonts w:ascii="Times New Roman" w:cs="Times New Roman" w:eastAsia="Times New Roman" w:hAnsi="Times New Roman"/>
          <w:sz w:val="19"/>
          <w:szCs w:val="19"/>
          <w:color w:val="2A2A2A"/>
        </w:rPr>
        <w:t xml:space="preserve"> as Lender</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9"/>
          <w:szCs w:val="19"/>
          <w:color w:val="2A2A2A"/>
        </w:rPr>
        <w:t>By: /s/ Garret Galt</w:t>
      </w:r>
    </w:p>
    <w:p>
      <w:pPr>
        <w:spacing w:after="0" w:line="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9"/>
          <w:szCs w:val="19"/>
          <w:color w:val="2A2A2A"/>
        </w:rPr>
        <w:t>Name: Garrett Galt</w:t>
      </w:r>
    </w:p>
    <w:p>
      <w:pPr>
        <w:spacing w:after="0" w:line="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9"/>
          <w:szCs w:val="19"/>
          <w:color w:val="2A2A2A"/>
        </w:rPr>
        <w:t>Title: Vice President</w:t>
      </w:r>
    </w:p>
    <w:p>
      <w:pPr>
        <w:spacing w:after="0" w:line="200" w:lineRule="exact"/>
        <w:rPr>
          <w:sz w:val="20"/>
          <w:szCs w:val="20"/>
          <w:color w:val="auto"/>
        </w:rPr>
      </w:pPr>
    </w:p>
    <w:p>
      <w:pPr>
        <w:spacing w:after="0" w:line="284" w:lineRule="exact"/>
        <w:rPr>
          <w:sz w:val="20"/>
          <w:szCs w:val="20"/>
          <w:color w:val="auto"/>
        </w:rPr>
      </w:pPr>
    </w:p>
    <w:p>
      <w:pPr>
        <w:jc w:val="center"/>
        <w:ind w:right="4719"/>
        <w:spacing w:after="0"/>
        <w:rPr>
          <w:sz w:val="20"/>
          <w:szCs w:val="20"/>
          <w:color w:val="auto"/>
        </w:rPr>
      </w:pPr>
      <w:r>
        <w:rPr>
          <w:rFonts w:ascii="Times New Roman" w:cs="Times New Roman" w:eastAsia="Times New Roman" w:hAnsi="Times New Roman"/>
          <w:sz w:val="15"/>
          <w:szCs w:val="15"/>
          <w:color w:val="313131"/>
        </w:rPr>
        <w:t>Centuri Group, Inc</w:t>
      </w:r>
      <w:r>
        <w:rPr>
          <w:rFonts w:ascii="Times New Roman" w:cs="Times New Roman" w:eastAsia="Times New Roman" w:hAnsi="Times New Roman"/>
          <w:sz w:val="15"/>
          <w:szCs w:val="15"/>
          <w:color w:val="000000"/>
        </w:rPr>
        <w:t>.</w:t>
      </w:r>
    </w:p>
    <w:p>
      <w:pPr>
        <w:spacing w:after="0" w:line="25" w:lineRule="exact"/>
        <w:rPr>
          <w:sz w:val="20"/>
          <w:szCs w:val="20"/>
          <w:color w:val="auto"/>
        </w:rPr>
      </w:pPr>
    </w:p>
    <w:p>
      <w:pPr>
        <w:jc w:val="center"/>
        <w:ind w:right="4719"/>
        <w:spacing w:after="0"/>
        <w:rPr>
          <w:sz w:val="20"/>
          <w:szCs w:val="20"/>
          <w:color w:val="auto"/>
        </w:rPr>
      </w:pPr>
      <w:r>
        <w:rPr>
          <w:rFonts w:ascii="Times New Roman" w:cs="Times New Roman" w:eastAsia="Times New Roman" w:hAnsi="Times New Roman"/>
          <w:sz w:val="15"/>
          <w:szCs w:val="15"/>
          <w:color w:val="313131"/>
        </w:rPr>
        <w:t xml:space="preserve">Fifth Amendment to Second </w:t>
      </w:r>
      <w:r>
        <w:rPr>
          <w:rFonts w:ascii="Times New Roman" w:cs="Times New Roman" w:eastAsia="Times New Roman" w:hAnsi="Times New Roman"/>
          <w:sz w:val="15"/>
          <w:szCs w:val="15"/>
          <w:color w:val="232323"/>
        </w:rPr>
        <w:t>Amended</w:t>
      </w:r>
      <w:r>
        <w:rPr>
          <w:rFonts w:ascii="Times New Roman" w:cs="Times New Roman" w:eastAsia="Times New Roman" w:hAnsi="Times New Roman"/>
          <w:sz w:val="15"/>
          <w:szCs w:val="15"/>
          <w:color w:val="313131"/>
        </w:rPr>
        <w:t xml:space="preserve"> and </w:t>
      </w:r>
      <w:r>
        <w:rPr>
          <w:rFonts w:ascii="Times New Roman" w:cs="Times New Roman" w:eastAsia="Times New Roman" w:hAnsi="Times New Roman"/>
          <w:sz w:val="15"/>
          <w:szCs w:val="15"/>
          <w:color w:val="232323"/>
        </w:rPr>
        <w:t>Restated</w:t>
      </w:r>
      <w:r>
        <w:rPr>
          <w:rFonts w:ascii="Times New Roman" w:cs="Times New Roman" w:eastAsia="Times New Roman" w:hAnsi="Times New Roman"/>
          <w:sz w:val="15"/>
          <w:szCs w:val="15"/>
          <w:color w:val="313131"/>
        </w:rPr>
        <w:t xml:space="preserve"> Credit Agreement </w:t>
      </w:r>
      <w:r>
        <w:rPr>
          <w:rFonts w:ascii="Times New Roman" w:cs="Times New Roman" w:eastAsia="Times New Roman" w:hAnsi="Times New Roman"/>
          <w:sz w:val="15"/>
          <w:szCs w:val="15"/>
          <w:color w:val="232323"/>
        </w:rPr>
        <w:t>Signature Page</w:t>
      </w:r>
    </w:p>
    <w:p>
      <w:pPr>
        <w:sectPr>
          <w:pgSz w:w="11900" w:h="16838" w:orient="portrait"/>
          <w:cols w:equalWidth="0" w:num="1">
            <w:col w:w="9959"/>
          </w:cols>
          <w:pgMar w:left="500" w:top="1440" w:right="1440" w:bottom="1440" w:gutter="0" w:footer="0" w:header="0"/>
        </w:sectPr>
      </w:pPr>
    </w:p>
    <w:bookmarkStart w:id="134" w:name="page135"/>
    <w:bookmarkEnd w:id="134"/>
    <w:p>
      <w:pPr>
        <w:spacing w:after="0" w:line="131" w:lineRule="exact"/>
        <w:rPr>
          <w:sz w:val="20"/>
          <w:szCs w:val="20"/>
          <w:color w:val="auto"/>
        </w:rPr>
      </w:pPr>
    </w:p>
    <w:p>
      <w:pPr>
        <w:jc w:val="right"/>
        <w:ind w:right="2139"/>
        <w:spacing w:after="0"/>
        <w:rPr>
          <w:sz w:val="20"/>
          <w:szCs w:val="20"/>
          <w:color w:val="auto"/>
        </w:rPr>
      </w:pPr>
      <w:r>
        <w:rPr>
          <w:rFonts w:ascii="Times New Roman" w:cs="Times New Roman" w:eastAsia="Times New Roman" w:hAnsi="Times New Roman"/>
          <w:sz w:val="19"/>
          <w:szCs w:val="19"/>
          <w:color w:val="232323"/>
        </w:rPr>
        <w:t xml:space="preserve">PNC BANK CANADA BRANCH, as </w:t>
      </w:r>
      <w:r>
        <w:rPr>
          <w:rFonts w:ascii="Times New Roman" w:cs="Times New Roman" w:eastAsia="Times New Roman" w:hAnsi="Times New Roman"/>
          <w:sz w:val="19"/>
          <w:szCs w:val="19"/>
          <w:color w:val="313131"/>
        </w:rPr>
        <w:t>Lender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232323"/>
        </w:rPr>
        <w:t>By: /s/ Martin Peichl</w:t>
      </w:r>
    </w:p>
    <w:p>
      <w:pPr>
        <w:spacing w:after="0" w:line="11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9"/>
          <w:szCs w:val="19"/>
          <w:color w:val="232323"/>
        </w:rPr>
        <w:t>Name: Martin Peichl</w:t>
      </w:r>
    </w:p>
    <w:p>
      <w:pPr>
        <w:spacing w:after="0" w:line="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9"/>
          <w:szCs w:val="19"/>
          <w:color w:val="232323"/>
        </w:rPr>
        <w:t>Title: Senior Vice President</w:t>
      </w:r>
    </w:p>
    <w:p>
      <w:pPr>
        <w:spacing w:after="0" w:line="200" w:lineRule="exact"/>
        <w:rPr>
          <w:sz w:val="20"/>
          <w:szCs w:val="20"/>
          <w:color w:val="auto"/>
        </w:rPr>
      </w:pPr>
    </w:p>
    <w:p>
      <w:pPr>
        <w:spacing w:after="0" w:line="239" w:lineRule="exact"/>
        <w:rPr>
          <w:sz w:val="20"/>
          <w:szCs w:val="20"/>
          <w:color w:val="auto"/>
        </w:rPr>
      </w:pPr>
    </w:p>
    <w:p>
      <w:pPr>
        <w:jc w:val="center"/>
        <w:ind w:right="4719"/>
        <w:spacing w:after="0"/>
        <w:rPr>
          <w:sz w:val="20"/>
          <w:szCs w:val="20"/>
          <w:color w:val="auto"/>
        </w:rPr>
      </w:pPr>
      <w:r>
        <w:rPr>
          <w:rFonts w:ascii="Times New Roman" w:cs="Times New Roman" w:eastAsia="Times New Roman" w:hAnsi="Times New Roman"/>
          <w:sz w:val="15"/>
          <w:szCs w:val="15"/>
          <w:color w:val="313131"/>
        </w:rPr>
        <w:t>Centuri Group, Inc</w:t>
      </w:r>
      <w:r>
        <w:rPr>
          <w:rFonts w:ascii="Times New Roman" w:cs="Times New Roman" w:eastAsia="Times New Roman" w:hAnsi="Times New Roman"/>
          <w:sz w:val="15"/>
          <w:szCs w:val="15"/>
          <w:color w:val="000000"/>
        </w:rPr>
        <w:t>.</w:t>
      </w:r>
    </w:p>
    <w:p>
      <w:pPr>
        <w:spacing w:after="0" w:line="28" w:lineRule="exact"/>
        <w:rPr>
          <w:sz w:val="20"/>
          <w:szCs w:val="20"/>
          <w:color w:val="auto"/>
        </w:rPr>
      </w:pPr>
    </w:p>
    <w:p>
      <w:pPr>
        <w:jc w:val="center"/>
        <w:ind w:right="4719"/>
        <w:spacing w:after="0"/>
        <w:rPr>
          <w:sz w:val="20"/>
          <w:szCs w:val="20"/>
          <w:color w:val="auto"/>
        </w:rPr>
      </w:pPr>
      <w:r>
        <w:rPr>
          <w:rFonts w:ascii="Times New Roman" w:cs="Times New Roman" w:eastAsia="Times New Roman" w:hAnsi="Times New Roman"/>
          <w:sz w:val="15"/>
          <w:szCs w:val="15"/>
          <w:color w:val="313131"/>
        </w:rPr>
        <w:t xml:space="preserve">Fifth Amendment to Second </w:t>
      </w:r>
      <w:r>
        <w:rPr>
          <w:rFonts w:ascii="Times New Roman" w:cs="Times New Roman" w:eastAsia="Times New Roman" w:hAnsi="Times New Roman"/>
          <w:sz w:val="15"/>
          <w:szCs w:val="15"/>
          <w:color w:val="232323"/>
        </w:rPr>
        <w:t>Amended</w:t>
      </w:r>
      <w:r>
        <w:rPr>
          <w:rFonts w:ascii="Times New Roman" w:cs="Times New Roman" w:eastAsia="Times New Roman" w:hAnsi="Times New Roman"/>
          <w:sz w:val="15"/>
          <w:szCs w:val="15"/>
          <w:color w:val="313131"/>
        </w:rPr>
        <w:t xml:space="preserve"> and </w:t>
      </w:r>
      <w:r>
        <w:rPr>
          <w:rFonts w:ascii="Times New Roman" w:cs="Times New Roman" w:eastAsia="Times New Roman" w:hAnsi="Times New Roman"/>
          <w:sz w:val="15"/>
          <w:szCs w:val="15"/>
          <w:color w:val="232323"/>
        </w:rPr>
        <w:t>Restated</w:t>
      </w:r>
      <w:r>
        <w:rPr>
          <w:rFonts w:ascii="Times New Roman" w:cs="Times New Roman" w:eastAsia="Times New Roman" w:hAnsi="Times New Roman"/>
          <w:sz w:val="15"/>
          <w:szCs w:val="15"/>
          <w:color w:val="313131"/>
        </w:rPr>
        <w:t xml:space="preserve"> Credit Agreement </w:t>
      </w:r>
      <w:r>
        <w:rPr>
          <w:rFonts w:ascii="Times New Roman" w:cs="Times New Roman" w:eastAsia="Times New Roman" w:hAnsi="Times New Roman"/>
          <w:sz w:val="15"/>
          <w:szCs w:val="15"/>
          <w:color w:val="232323"/>
        </w:rPr>
        <w:t>Signature Page</w:t>
      </w:r>
    </w:p>
    <w:p>
      <w:pPr>
        <w:sectPr>
          <w:pgSz w:w="11900" w:h="16838" w:orient="portrait"/>
          <w:cols w:equalWidth="0" w:num="1">
            <w:col w:w="9959"/>
          </w:cols>
          <w:pgMar w:left="500" w:top="1440" w:right="1440" w:bottom="1440" w:gutter="0" w:footer="0" w:header="0"/>
        </w:sectPr>
      </w:pPr>
    </w:p>
    <w:bookmarkStart w:id="135" w:name="page136"/>
    <w:bookmarkEnd w:id="135"/>
    <w:p>
      <w:pPr>
        <w:jc w:val="right"/>
        <w:ind w:right="3539"/>
        <w:spacing w:after="0"/>
        <w:rPr>
          <w:sz w:val="20"/>
          <w:szCs w:val="20"/>
          <w:color w:val="auto"/>
        </w:rPr>
      </w:pPr>
      <w:r>
        <w:rPr>
          <w:rFonts w:ascii="Times New Roman" w:cs="Times New Roman" w:eastAsia="Times New Roman" w:hAnsi="Times New Roman"/>
          <w:sz w:val="19"/>
          <w:szCs w:val="19"/>
          <w:color w:val="161616"/>
        </w:rPr>
        <w:t>TRUIST BANK, as Lender</w:t>
      </w:r>
    </w:p>
    <w:p>
      <w:pPr>
        <w:spacing w:after="0" w:line="200" w:lineRule="exact"/>
        <w:rPr>
          <w:sz w:val="20"/>
          <w:szCs w:val="20"/>
          <w:color w:val="auto"/>
        </w:rPr>
      </w:pPr>
    </w:p>
    <w:p>
      <w:pPr>
        <w:spacing w:after="0" w:line="299"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By: /s/ Chapman Mitchell</w:t>
      </w:r>
    </w:p>
    <w:p>
      <w:pPr>
        <w:spacing w:after="0" w:line="242"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Name: Chapman Mitchell</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679"/>
        <w:spacing w:after="0"/>
        <w:rPr>
          <w:sz w:val="20"/>
          <w:szCs w:val="20"/>
          <w:color w:val="auto"/>
        </w:rPr>
      </w:pPr>
      <w:r>
        <w:rPr>
          <w:rFonts w:ascii="Times New Roman" w:cs="Times New Roman" w:eastAsia="Times New Roman" w:hAnsi="Times New Roman"/>
          <w:sz w:val="15"/>
          <w:szCs w:val="15"/>
          <w:color w:val="757575"/>
        </w:rPr>
        <w:t>Cen</w:t>
      </w:r>
      <w:r>
        <w:rPr>
          <w:rFonts w:ascii="Times New Roman" w:cs="Times New Roman" w:eastAsia="Times New Roman" w:hAnsi="Times New Roman"/>
          <w:sz w:val="15"/>
          <w:szCs w:val="15"/>
          <w:color w:val="4B4B4B"/>
        </w:rPr>
        <w:t>turi</w:t>
      </w:r>
      <w:r>
        <w:rPr>
          <w:rFonts w:ascii="Times New Roman" w:cs="Times New Roman" w:eastAsia="Times New Roman" w:hAnsi="Times New Roman"/>
          <w:sz w:val="15"/>
          <w:szCs w:val="15"/>
          <w:color w:val="757575"/>
        </w:rPr>
        <w:t xml:space="preserve"> </w:t>
      </w:r>
      <w:r>
        <w:rPr>
          <w:rFonts w:ascii="Times New Roman" w:cs="Times New Roman" w:eastAsia="Times New Roman" w:hAnsi="Times New Roman"/>
          <w:sz w:val="15"/>
          <w:szCs w:val="15"/>
          <w:color w:val="626262"/>
        </w:rPr>
        <w:t>Group,</w:t>
      </w:r>
      <w:r>
        <w:rPr>
          <w:rFonts w:ascii="Times New Roman" w:cs="Times New Roman" w:eastAsia="Times New Roman" w:hAnsi="Times New Roman"/>
          <w:sz w:val="15"/>
          <w:szCs w:val="15"/>
          <w:color w:val="757575"/>
        </w:rPr>
        <w:t xml:space="preserve"> </w:t>
      </w:r>
      <w:r>
        <w:rPr>
          <w:rFonts w:ascii="Times New Roman" w:cs="Times New Roman" w:eastAsia="Times New Roman" w:hAnsi="Times New Roman"/>
          <w:sz w:val="15"/>
          <w:szCs w:val="15"/>
          <w:color w:val="4B4B4B"/>
        </w:rPr>
        <w:t>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4B4B4B"/>
        </w:rPr>
        <w:t xml:space="preserve">Fifth </w:t>
      </w:r>
      <w:r>
        <w:rPr>
          <w:rFonts w:ascii="Times New Roman" w:cs="Times New Roman" w:eastAsia="Times New Roman" w:hAnsi="Times New Roman"/>
          <w:sz w:val="15"/>
          <w:szCs w:val="15"/>
          <w:color w:val="626262"/>
        </w:rPr>
        <w:t>Ame</w:t>
      </w:r>
      <w:r>
        <w:rPr>
          <w:rFonts w:ascii="Times New Roman" w:cs="Times New Roman" w:eastAsia="Times New Roman" w:hAnsi="Times New Roman"/>
          <w:sz w:val="15"/>
          <w:szCs w:val="15"/>
          <w:color w:val="343434"/>
        </w:rPr>
        <w:t>n</w:t>
      </w:r>
      <w:r>
        <w:rPr>
          <w:rFonts w:ascii="Times New Roman" w:cs="Times New Roman" w:eastAsia="Times New Roman" w:hAnsi="Times New Roman"/>
          <w:sz w:val="15"/>
          <w:szCs w:val="15"/>
          <w:color w:val="626262"/>
        </w:rPr>
        <w:t>dment</w:t>
      </w:r>
      <w:r>
        <w:rPr>
          <w:rFonts w:ascii="Times New Roman" w:cs="Times New Roman" w:eastAsia="Times New Roman" w:hAnsi="Times New Roman"/>
          <w:sz w:val="15"/>
          <w:szCs w:val="15"/>
          <w:color w:val="4B4B4B"/>
        </w:rPr>
        <w:t xml:space="preserve"> to </w:t>
      </w:r>
      <w:r>
        <w:rPr>
          <w:rFonts w:ascii="Times New Roman" w:cs="Times New Roman" w:eastAsia="Times New Roman" w:hAnsi="Times New Roman"/>
          <w:sz w:val="15"/>
          <w:szCs w:val="15"/>
          <w:color w:val="626262"/>
        </w:rPr>
        <w:t>Second Amended and Restated Credit</w:t>
      </w:r>
      <w:r>
        <w:rPr>
          <w:rFonts w:ascii="Times New Roman" w:cs="Times New Roman" w:eastAsia="Times New Roman" w:hAnsi="Times New Roman"/>
          <w:sz w:val="15"/>
          <w:szCs w:val="15"/>
          <w:color w:val="4B4B4B"/>
        </w:rPr>
        <w:t xml:space="preserve"> </w:t>
      </w:r>
      <w:r>
        <w:rPr>
          <w:rFonts w:ascii="Times New Roman" w:cs="Times New Roman" w:eastAsia="Times New Roman" w:hAnsi="Times New Roman"/>
          <w:sz w:val="15"/>
          <w:szCs w:val="15"/>
          <w:color w:val="757575"/>
        </w:rPr>
        <w:t>Agreement Signature</w:t>
      </w:r>
      <w:r>
        <w:rPr>
          <w:rFonts w:ascii="Times New Roman" w:cs="Times New Roman" w:eastAsia="Times New Roman" w:hAnsi="Times New Roman"/>
          <w:sz w:val="15"/>
          <w:szCs w:val="15"/>
          <w:color w:val="4B4B4B"/>
        </w:rPr>
        <w:t xml:space="preserve"> </w:t>
      </w:r>
      <w:r>
        <w:rPr>
          <w:rFonts w:ascii="Times New Roman" w:cs="Times New Roman" w:eastAsia="Times New Roman" w:hAnsi="Times New Roman"/>
          <w:sz w:val="15"/>
          <w:szCs w:val="15"/>
          <w:color w:val="626262"/>
        </w:rPr>
        <w:t>Page</w:t>
      </w:r>
    </w:p>
    <w:p>
      <w:pPr>
        <w:sectPr>
          <w:pgSz w:w="11900" w:h="16838" w:orient="portrait"/>
          <w:cols w:equalWidth="0" w:num="1">
            <w:col w:w="9919"/>
          </w:cols>
          <w:pgMar w:left="540" w:top="1357" w:right="1440" w:bottom="1440" w:gutter="0" w:footer="0" w:header="0"/>
        </w:sectPr>
      </w:pPr>
    </w:p>
    <w:bookmarkStart w:id="136" w:name="page137"/>
    <w:bookmarkEnd w:id="136"/>
    <w:p>
      <w:pPr>
        <w:jc w:val="right"/>
        <w:ind w:right="1419"/>
        <w:spacing w:after="0"/>
        <w:rPr>
          <w:sz w:val="20"/>
          <w:szCs w:val="20"/>
          <w:color w:val="auto"/>
        </w:rPr>
      </w:pPr>
      <w:r>
        <w:rPr>
          <w:rFonts w:ascii="Times New Roman" w:cs="Times New Roman" w:eastAsia="Times New Roman" w:hAnsi="Times New Roman"/>
          <w:sz w:val="20"/>
          <w:szCs w:val="20"/>
          <w:color w:val="4B4B4B"/>
        </w:rPr>
        <w:t>U.S. BANK NATIONAL ASSOCIATION, as Lender</w:t>
      </w:r>
    </w:p>
    <w:p>
      <w:pPr>
        <w:spacing w:after="0" w:line="39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4B4B4B"/>
        </w:rPr>
        <w:t>By: /s/ James O’Shaughnessy</w:t>
      </w:r>
    </w:p>
    <w:p>
      <w:pPr>
        <w:spacing w:after="0" w:line="22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343434"/>
        </w:rPr>
        <w:t>Name: James O’ Shaughnessy</w:t>
      </w:r>
    </w:p>
    <w:p>
      <w:pPr>
        <w:spacing w:after="0" w:line="238"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343434"/>
        </w:rPr>
        <w:t>Titl</w:t>
      </w:r>
      <w:r>
        <w:rPr>
          <w:rFonts w:ascii="Times New Roman" w:cs="Times New Roman" w:eastAsia="Times New Roman" w:hAnsi="Times New Roman"/>
          <w:sz w:val="20"/>
          <w:szCs w:val="20"/>
          <w:color w:val="626262"/>
        </w:rPr>
        <w:t>e:</w:t>
      </w:r>
      <w:r>
        <w:rPr>
          <w:rFonts w:ascii="Times New Roman" w:cs="Times New Roman" w:eastAsia="Times New Roman" w:hAnsi="Times New Roman"/>
          <w:sz w:val="20"/>
          <w:szCs w:val="20"/>
          <w:color w:val="343434"/>
        </w:rPr>
        <w:t xml:space="preserve"> </w:t>
      </w:r>
      <w:r>
        <w:rPr>
          <w:rFonts w:ascii="Times New Roman" w:cs="Times New Roman" w:eastAsia="Times New Roman" w:hAnsi="Times New Roman"/>
          <w:sz w:val="20"/>
          <w:szCs w:val="20"/>
          <w:color w:val="4B4B4B"/>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4679"/>
        <w:spacing w:after="0"/>
        <w:rPr>
          <w:sz w:val="20"/>
          <w:szCs w:val="20"/>
          <w:color w:val="auto"/>
        </w:rPr>
      </w:pPr>
      <w:r>
        <w:rPr>
          <w:rFonts w:ascii="Times New Roman" w:cs="Times New Roman" w:eastAsia="Times New Roman" w:hAnsi="Times New Roman"/>
          <w:sz w:val="15"/>
          <w:szCs w:val="15"/>
          <w:color w:val="757575"/>
        </w:rPr>
        <w:t>Cen</w:t>
      </w:r>
      <w:r>
        <w:rPr>
          <w:rFonts w:ascii="Times New Roman" w:cs="Times New Roman" w:eastAsia="Times New Roman" w:hAnsi="Times New Roman"/>
          <w:sz w:val="15"/>
          <w:szCs w:val="15"/>
          <w:color w:val="4B4B4B"/>
        </w:rPr>
        <w:t>turi</w:t>
      </w:r>
      <w:r>
        <w:rPr>
          <w:rFonts w:ascii="Times New Roman" w:cs="Times New Roman" w:eastAsia="Times New Roman" w:hAnsi="Times New Roman"/>
          <w:sz w:val="15"/>
          <w:szCs w:val="15"/>
          <w:color w:val="757575"/>
        </w:rPr>
        <w:t xml:space="preserve"> </w:t>
      </w:r>
      <w:r>
        <w:rPr>
          <w:rFonts w:ascii="Times New Roman" w:cs="Times New Roman" w:eastAsia="Times New Roman" w:hAnsi="Times New Roman"/>
          <w:sz w:val="15"/>
          <w:szCs w:val="15"/>
          <w:color w:val="626262"/>
        </w:rPr>
        <w:t>Group,</w:t>
      </w:r>
      <w:r>
        <w:rPr>
          <w:rFonts w:ascii="Times New Roman" w:cs="Times New Roman" w:eastAsia="Times New Roman" w:hAnsi="Times New Roman"/>
          <w:sz w:val="15"/>
          <w:szCs w:val="15"/>
          <w:color w:val="757575"/>
        </w:rPr>
        <w:t xml:space="preserve"> </w:t>
      </w:r>
      <w:r>
        <w:rPr>
          <w:rFonts w:ascii="Times New Roman" w:cs="Times New Roman" w:eastAsia="Times New Roman" w:hAnsi="Times New Roman"/>
          <w:sz w:val="15"/>
          <w:szCs w:val="15"/>
          <w:color w:val="4B4B4B"/>
        </w:rPr>
        <w:t>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4B4B4B"/>
        </w:rPr>
        <w:t xml:space="preserve">Fifth </w:t>
      </w:r>
      <w:r>
        <w:rPr>
          <w:rFonts w:ascii="Times New Roman" w:cs="Times New Roman" w:eastAsia="Times New Roman" w:hAnsi="Times New Roman"/>
          <w:sz w:val="15"/>
          <w:szCs w:val="15"/>
          <w:color w:val="626262"/>
        </w:rPr>
        <w:t>Ame</w:t>
      </w:r>
      <w:r>
        <w:rPr>
          <w:rFonts w:ascii="Times New Roman" w:cs="Times New Roman" w:eastAsia="Times New Roman" w:hAnsi="Times New Roman"/>
          <w:sz w:val="15"/>
          <w:szCs w:val="15"/>
          <w:color w:val="343434"/>
        </w:rPr>
        <w:t>n</w:t>
      </w:r>
      <w:r>
        <w:rPr>
          <w:rFonts w:ascii="Times New Roman" w:cs="Times New Roman" w:eastAsia="Times New Roman" w:hAnsi="Times New Roman"/>
          <w:sz w:val="15"/>
          <w:szCs w:val="15"/>
          <w:color w:val="626262"/>
        </w:rPr>
        <w:t>dment</w:t>
      </w:r>
      <w:r>
        <w:rPr>
          <w:rFonts w:ascii="Times New Roman" w:cs="Times New Roman" w:eastAsia="Times New Roman" w:hAnsi="Times New Roman"/>
          <w:sz w:val="15"/>
          <w:szCs w:val="15"/>
          <w:color w:val="4B4B4B"/>
        </w:rPr>
        <w:t xml:space="preserve"> to </w:t>
      </w:r>
      <w:r>
        <w:rPr>
          <w:rFonts w:ascii="Times New Roman" w:cs="Times New Roman" w:eastAsia="Times New Roman" w:hAnsi="Times New Roman"/>
          <w:sz w:val="15"/>
          <w:szCs w:val="15"/>
          <w:color w:val="626262"/>
        </w:rPr>
        <w:t>Second Amended and Restated Credit</w:t>
      </w:r>
      <w:r>
        <w:rPr>
          <w:rFonts w:ascii="Times New Roman" w:cs="Times New Roman" w:eastAsia="Times New Roman" w:hAnsi="Times New Roman"/>
          <w:sz w:val="15"/>
          <w:szCs w:val="15"/>
          <w:color w:val="4B4B4B"/>
        </w:rPr>
        <w:t xml:space="preserve"> </w:t>
      </w:r>
      <w:r>
        <w:rPr>
          <w:rFonts w:ascii="Times New Roman" w:cs="Times New Roman" w:eastAsia="Times New Roman" w:hAnsi="Times New Roman"/>
          <w:sz w:val="15"/>
          <w:szCs w:val="15"/>
          <w:color w:val="757575"/>
        </w:rPr>
        <w:t>Agreement Signature</w:t>
      </w:r>
      <w:r>
        <w:rPr>
          <w:rFonts w:ascii="Times New Roman" w:cs="Times New Roman" w:eastAsia="Times New Roman" w:hAnsi="Times New Roman"/>
          <w:sz w:val="15"/>
          <w:szCs w:val="15"/>
          <w:color w:val="4B4B4B"/>
        </w:rPr>
        <w:t xml:space="preserve"> </w:t>
      </w:r>
      <w:r>
        <w:rPr>
          <w:rFonts w:ascii="Times New Roman" w:cs="Times New Roman" w:eastAsia="Times New Roman" w:hAnsi="Times New Roman"/>
          <w:sz w:val="15"/>
          <w:szCs w:val="15"/>
          <w:color w:val="626262"/>
        </w:rPr>
        <w:t>Page</w:t>
      </w:r>
    </w:p>
    <w:p>
      <w:pPr>
        <w:sectPr>
          <w:pgSz w:w="11900" w:h="16838" w:orient="portrait"/>
          <w:cols w:equalWidth="0" w:num="1">
            <w:col w:w="9919"/>
          </w:cols>
          <w:pgMar w:left="540" w:top="1374" w:right="1440" w:bottom="1440" w:gutter="0" w:footer="0" w:header="0"/>
        </w:sectPr>
      </w:pPr>
    </w:p>
    <w:bookmarkStart w:id="137" w:name="page138"/>
    <w:bookmarkEnd w:id="137"/>
    <w:p>
      <w:pPr>
        <w:jc w:val="right"/>
        <w:ind w:right="2739"/>
        <w:spacing w:after="0"/>
        <w:rPr>
          <w:sz w:val="20"/>
          <w:szCs w:val="20"/>
          <w:color w:val="auto"/>
        </w:rPr>
      </w:pPr>
      <w:r>
        <w:rPr>
          <w:rFonts w:ascii="Times New Roman" w:cs="Times New Roman" w:eastAsia="Times New Roman" w:hAnsi="Times New Roman"/>
          <w:sz w:val="19"/>
          <w:szCs w:val="19"/>
          <w:color w:val="auto"/>
        </w:rPr>
        <w:t>BANK OF MONTREAL, as Lender</w:t>
      </w:r>
    </w:p>
    <w:p>
      <w:pPr>
        <w:sectPr>
          <w:pgSz w:w="11900" w:h="16838" w:orient="portrait"/>
          <w:cols w:equalWidth="0" w:num="1">
            <w:col w:w="10099"/>
          </w:cols>
          <w:pgMar w:left="360" w:top="140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By: /s/ Nick Irving</w:t>
      </w:r>
    </w:p>
    <w:p>
      <w:pPr>
        <w:spacing w:after="0" w:line="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Name: Nick Irving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Title: </w:t>
      </w:r>
      <w:r>
        <w:rPr>
          <w:rFonts w:ascii="Times New Roman" w:cs="Times New Roman" w:eastAsia="Times New Roman" w:hAnsi="Times New Roman"/>
          <w:sz w:val="16"/>
          <w:szCs w:val="16"/>
          <w:color w:val="auto"/>
        </w:rPr>
        <w:t>VP</w:t>
      </w:r>
    </w:p>
    <w:p>
      <w:pPr>
        <w:spacing w:after="0" w:line="221" w:lineRule="exact"/>
        <w:rPr>
          <w:sz w:val="20"/>
          <w:szCs w:val="20"/>
          <w:color w:val="auto"/>
        </w:rPr>
      </w:pPr>
    </w:p>
    <w:p>
      <w:pPr>
        <w:sectPr>
          <w:pgSz w:w="11900" w:h="16838" w:orient="portrait"/>
          <w:cols w:equalWidth="0" w:num="2">
            <w:col w:w="5980" w:space="400"/>
            <w:col w:w="3719"/>
          </w:cols>
          <w:pgMar w:left="360" w:top="1400" w:right="1440" w:bottom="1440" w:gutter="0" w:footer="0" w:header="0"/>
          <w:type w:val="continuous"/>
        </w:sectPr>
      </w:pPr>
    </w:p>
    <w:p>
      <w:pPr>
        <w:spacing w:after="0" w:line="200" w:lineRule="exact"/>
        <w:rPr>
          <w:sz w:val="20"/>
          <w:szCs w:val="20"/>
          <w:color w:val="auto"/>
        </w:rPr>
      </w:pPr>
    </w:p>
    <w:p>
      <w:pPr>
        <w:spacing w:after="0" w:line="265" w:lineRule="exact"/>
        <w:rPr>
          <w:sz w:val="20"/>
          <w:szCs w:val="20"/>
          <w:color w:val="auto"/>
        </w:rPr>
      </w:pPr>
    </w:p>
    <w:p>
      <w:pPr>
        <w:jc w:val="center"/>
        <w:ind w:right="4539"/>
        <w:spacing w:after="0"/>
        <w:rPr>
          <w:sz w:val="20"/>
          <w:szCs w:val="20"/>
          <w:color w:val="auto"/>
        </w:rPr>
      </w:pPr>
      <w:r>
        <w:rPr>
          <w:rFonts w:ascii="Times New Roman" w:cs="Times New Roman" w:eastAsia="Times New Roman" w:hAnsi="Times New Roman"/>
          <w:sz w:val="16"/>
          <w:szCs w:val="16"/>
          <w:color w:val="auto"/>
        </w:rPr>
        <w:t>Centuri Group, Inc.</w:t>
      </w:r>
    </w:p>
    <w:p>
      <w:pPr>
        <w:spacing w:after="0" w:line="25" w:lineRule="exact"/>
        <w:rPr>
          <w:sz w:val="20"/>
          <w:szCs w:val="20"/>
          <w:color w:val="auto"/>
        </w:rPr>
      </w:pPr>
    </w:p>
    <w:p>
      <w:pPr>
        <w:jc w:val="center"/>
        <w:ind w:right="4539"/>
        <w:spacing w:after="0"/>
        <w:rPr>
          <w:sz w:val="20"/>
          <w:szCs w:val="20"/>
          <w:color w:val="auto"/>
        </w:rPr>
      </w:pPr>
      <w:r>
        <w:rPr>
          <w:rFonts w:ascii="Times New Roman" w:cs="Times New Roman" w:eastAsia="Times New Roman" w:hAnsi="Times New Roman"/>
          <w:sz w:val="16"/>
          <w:szCs w:val="16"/>
          <w:color w:val="auto"/>
        </w:rPr>
        <w:t>Fifth Amendment to Second Amended and Restated Credit Agreement Signature Page</w:t>
      </w:r>
    </w:p>
    <w:p>
      <w:pPr>
        <w:sectPr>
          <w:pgSz w:w="11900" w:h="16838" w:orient="portrait"/>
          <w:cols w:equalWidth="0" w:num="1">
            <w:col w:w="10099"/>
          </w:cols>
          <w:pgMar w:left="360" w:top="1400" w:right="1440" w:bottom="1440" w:gutter="0" w:footer="0" w:header="0"/>
          <w:type w:val="continuous"/>
        </w:sectPr>
      </w:pPr>
    </w:p>
    <w:bookmarkStart w:id="138" w:name="page139"/>
    <w:bookmarkEnd w:id="138"/>
    <w:p>
      <w:pPr>
        <w:jc w:val="center"/>
        <w:spacing w:after="0"/>
        <w:rPr>
          <w:sz w:val="20"/>
          <w:szCs w:val="20"/>
          <w:color w:val="auto"/>
        </w:rPr>
      </w:pPr>
      <w:r>
        <w:rPr>
          <w:rFonts w:ascii="Times New Roman" w:cs="Times New Roman" w:eastAsia="Times New Roman" w:hAnsi="Times New Roman"/>
          <w:sz w:val="20"/>
          <w:szCs w:val="20"/>
          <w:u w:val="single" w:color="auto"/>
          <w:color w:val="auto"/>
        </w:rPr>
        <w:t>ANNEX A</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Amended Credit Agreement [See attached]</w:t>
      </w:r>
    </w:p>
    <w:p>
      <w:pPr>
        <w:sectPr>
          <w:pgSz w:w="11900" w:h="16838" w:orient="portrait"/>
          <w:cols w:equalWidth="0" w:num="1">
            <w:col w:w="9019"/>
          </w:cols>
          <w:pgMar w:left="1440" w:top="1400" w:right="1440" w:bottom="1440" w:gutter="0" w:footer="0" w:header="0"/>
        </w:sectPr>
      </w:pPr>
    </w:p>
    <w:bookmarkStart w:id="139" w:name="page140"/>
    <w:bookmarkEnd w:id="139"/>
    <w:p>
      <w:pPr>
        <w:ind w:left="6300"/>
        <w:spacing w:after="0"/>
        <w:rPr>
          <w:sz w:val="20"/>
          <w:szCs w:val="20"/>
          <w:color w:val="auto"/>
        </w:rPr>
      </w:pPr>
      <w:r>
        <w:rPr>
          <w:rFonts w:ascii="Times New Roman" w:cs="Times New Roman" w:eastAsia="Times New Roman" w:hAnsi="Times New Roman"/>
          <w:sz w:val="20"/>
          <w:szCs w:val="20"/>
          <w:b w:val="1"/>
          <w:bCs w:val="1"/>
          <w:color w:val="auto"/>
        </w:rPr>
        <w:t>Conformed Credit Agreement</w:t>
      </w:r>
    </w:p>
    <w:p>
      <w:pPr>
        <w:spacing w:after="0" w:line="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Published CUSIP Number: 15643XAA6 Revolving Credit CUSIP</w:t>
      </w:r>
    </w:p>
    <w:p>
      <w:pPr>
        <w:spacing w:after="0" w:line="2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0"/>
          <w:szCs w:val="20"/>
          <w:color w:val="auto"/>
        </w:rPr>
        <w:t>Number: 15643XAB4 Initial Term Loan CUSIP Number: 15643XAC2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SECOND AMENDED AND RESTATED CREDIT AGREEMENT</w:t>
      </w:r>
    </w:p>
    <w:p>
      <w:pPr>
        <w:spacing w:after="0" w:line="24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dated as of August 27, 2021</w:t>
      </w:r>
    </w:p>
    <w:p>
      <w:pPr>
        <w:spacing w:after="0" w:line="6" w:lineRule="exact"/>
        <w:rPr>
          <w:sz w:val="20"/>
          <w:szCs w:val="20"/>
          <w:color w:val="auto"/>
        </w:rPr>
      </w:pPr>
    </w:p>
    <w:p>
      <w:pPr>
        <w:jc w:val="center"/>
        <w:ind w:left="440" w:right="340"/>
        <w:spacing w:after="0" w:line="248" w:lineRule="auto"/>
        <w:rPr>
          <w:sz w:val="20"/>
          <w:szCs w:val="20"/>
          <w:color w:val="auto"/>
        </w:rPr>
      </w:pPr>
      <w:r>
        <w:rPr>
          <w:rFonts w:ascii="Times New Roman" w:cs="Times New Roman" w:eastAsia="Times New Roman" w:hAnsi="Times New Roman"/>
          <w:sz w:val="20"/>
          <w:szCs w:val="20"/>
          <w:color w:val="auto"/>
        </w:rPr>
        <w:t xml:space="preserve">(as amended by the First Amendment to Second Amended and Restated Credit Agreement dated as of November 4, 2022, the Second Amendment to Second Amended and Restated Credit Agreement dated as of May 31, 2023, the Third Amendment to Second Amended and Restated Credit Agreement dated as of November 13, 2023, </w:t>
      </w:r>
      <w:r>
        <w:rPr>
          <w:rFonts w:ascii="Times New Roman" w:cs="Times New Roman" w:eastAsia="Times New Roman" w:hAnsi="Times New Roman"/>
          <w:sz w:val="20"/>
          <w:szCs w:val="20"/>
          <w:color w:val="FF0000"/>
          <w:strike w:val="1"/>
        </w:rPr>
        <w:t>and</w:t>
      </w:r>
      <w:r>
        <w:rPr>
          <w:rFonts w:ascii="Times New Roman" w:cs="Times New Roman" w:eastAsia="Times New Roman" w:hAnsi="Times New Roman"/>
          <w:sz w:val="20"/>
          <w:szCs w:val="20"/>
          <w:color w:val="auto"/>
        </w:rPr>
        <w:t xml:space="preserve"> the Fourth Amendment to Second Amended and Restated Credit Agreement dated as of March 22, 2024</w:t>
      </w:r>
      <w:r>
        <w:rPr>
          <w:rFonts w:ascii="Times New Roman" w:cs="Times New Roman" w:eastAsia="Times New Roman" w:hAnsi="Times New Roman"/>
          <w:sz w:val="20"/>
          <w:szCs w:val="20"/>
          <w:u w:val="single" w:color="auto"/>
          <w:color w:val="0000FF"/>
        </w:rPr>
        <w:t>, and the Fifth Amendment to Second Amended and Restated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Agreement dated</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7F00"/>
        </w:rPr>
        <w:t>as of</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May 13, 2024</w:t>
      </w:r>
      <w:r>
        <w:rPr>
          <w:rFonts w:ascii="Times New Roman" w:cs="Times New Roman" w:eastAsia="Times New Roman" w:hAnsi="Times New Roman"/>
          <w:sz w:val="20"/>
          <w:szCs w:val="20"/>
          <w:color w:val="000000"/>
        </w:rPr>
        <w:t>)</w:t>
      </w:r>
    </w:p>
    <w:p>
      <w:pPr>
        <w:spacing w:after="0" w:line="1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by and among</w:t>
      </w:r>
    </w:p>
    <w:p>
      <w:pPr>
        <w:spacing w:after="0" w:line="2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CENTURI GROUP, INC.,</w:t>
      </w:r>
    </w:p>
    <w:p>
      <w:pPr>
        <w:spacing w:after="0" w:line="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and</w:t>
      </w:r>
    </w:p>
    <w:p>
      <w:pPr>
        <w:jc w:val="center"/>
        <w:ind w:right="-139"/>
        <w:spacing w:after="0" w:line="237" w:lineRule="auto"/>
        <w:rPr>
          <w:sz w:val="20"/>
          <w:szCs w:val="20"/>
          <w:color w:val="auto"/>
        </w:rPr>
      </w:pPr>
      <w:r>
        <w:rPr>
          <w:rFonts w:ascii="Times New Roman" w:cs="Times New Roman" w:eastAsia="Times New Roman" w:hAnsi="Times New Roman"/>
          <w:sz w:val="20"/>
          <w:szCs w:val="20"/>
          <w:b w:val="1"/>
          <w:bCs w:val="1"/>
          <w:color w:val="auto"/>
        </w:rPr>
        <w:t>each Additional Borrower,</w:t>
      </w:r>
    </w:p>
    <w:p>
      <w:pPr>
        <w:jc w:val="center"/>
        <w:ind w:right="-139"/>
        <w:spacing w:after="0"/>
        <w:rPr>
          <w:sz w:val="20"/>
          <w:szCs w:val="20"/>
          <w:color w:val="auto"/>
        </w:rPr>
      </w:pPr>
      <w:r>
        <w:rPr>
          <w:rFonts w:ascii="Times New Roman" w:cs="Times New Roman" w:eastAsia="Times New Roman" w:hAnsi="Times New Roman"/>
          <w:sz w:val="20"/>
          <w:szCs w:val="20"/>
          <w:color w:val="auto"/>
        </w:rPr>
        <w:t>as US Borrowers,</w:t>
      </w:r>
    </w:p>
    <w:p>
      <w:pPr>
        <w:spacing w:after="0" w:line="18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CENTURI CANADA DIVISION INC.,</w:t>
      </w:r>
    </w:p>
    <w:p>
      <w:pPr>
        <w:spacing w:after="0" w:line="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and</w:t>
      </w:r>
    </w:p>
    <w:p>
      <w:pPr>
        <w:jc w:val="center"/>
        <w:ind w:right="-139"/>
        <w:spacing w:after="0" w:line="237" w:lineRule="auto"/>
        <w:rPr>
          <w:sz w:val="20"/>
          <w:szCs w:val="20"/>
          <w:color w:val="auto"/>
        </w:rPr>
      </w:pPr>
      <w:r>
        <w:rPr>
          <w:rFonts w:ascii="Times New Roman" w:cs="Times New Roman" w:eastAsia="Times New Roman" w:hAnsi="Times New Roman"/>
          <w:sz w:val="20"/>
          <w:szCs w:val="20"/>
          <w:b w:val="1"/>
          <w:bCs w:val="1"/>
          <w:color w:val="auto"/>
        </w:rPr>
        <w:t>each Additional Borrower,</w:t>
      </w:r>
    </w:p>
    <w:p>
      <w:pPr>
        <w:jc w:val="center"/>
        <w:ind w:right="-139"/>
        <w:spacing w:after="0"/>
        <w:rPr>
          <w:sz w:val="20"/>
          <w:szCs w:val="20"/>
          <w:color w:val="auto"/>
        </w:rPr>
      </w:pPr>
      <w:r>
        <w:rPr>
          <w:rFonts w:ascii="Times New Roman" w:cs="Times New Roman" w:eastAsia="Times New Roman" w:hAnsi="Times New Roman"/>
          <w:sz w:val="20"/>
          <w:szCs w:val="20"/>
          <w:color w:val="auto"/>
        </w:rPr>
        <w:t>as Canadian Borrowers,</w:t>
      </w:r>
    </w:p>
    <w:p>
      <w:pPr>
        <w:spacing w:after="0" w:line="1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the Lenders referred to herein, as Lenders,</w:t>
      </w:r>
    </w:p>
    <w:p>
      <w:pPr>
        <w:spacing w:after="0" w:line="2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WELLS FARGO BANK, NATIONAL ASSOCIATION,</w:t>
      </w:r>
    </w:p>
    <w:p>
      <w:pPr>
        <w:spacing w:after="0" w:line="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as Administrative Agent, Swingline Lender and Issuing Lender,</w:t>
      </w:r>
    </w:p>
    <w:p>
      <w:pPr>
        <w:spacing w:after="0" w:line="1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WELLS FARGO SECURITIES, LLC and BOFA SECURITIES, INC.,</w:t>
      </w:r>
    </w:p>
    <w:p>
      <w:pPr>
        <w:spacing w:after="0" w:line="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as Joint Lead Arrangers and Joint Bookrunners</w:t>
      </w:r>
    </w:p>
    <w:p>
      <w:pPr>
        <w:spacing w:after="0" w:line="19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b w:val="1"/>
          <w:bCs w:val="1"/>
          <w:color w:val="auto"/>
        </w:rPr>
        <w:t>BANK OF AMERICA, N.A.</w:t>
      </w:r>
      <w:r>
        <w:rPr>
          <w:rFonts w:ascii="Times New Roman" w:cs="Times New Roman" w:eastAsia="Times New Roman" w:hAnsi="Times New Roman"/>
          <w:sz w:val="20"/>
          <w:szCs w:val="20"/>
          <w:color w:val="auto"/>
        </w:rPr>
        <w:t>,</w:t>
      </w:r>
    </w:p>
    <w:p>
      <w:pPr>
        <w:spacing w:after="0" w:line="10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color w:val="auto"/>
        </w:rPr>
        <w:t>as Syndication Agent and</w:t>
      </w:r>
    </w:p>
    <w:p>
      <w:pPr>
        <w:spacing w:after="0" w:line="11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0"/>
          <w:szCs w:val="20"/>
          <w:b w:val="1"/>
          <w:bCs w:val="1"/>
          <w:color w:val="auto"/>
        </w:rPr>
        <w:t>CANADIAN IMPERIAL BANK OF COMMERCE, PNC BANK,</w:t>
      </w:r>
    </w:p>
    <w:p>
      <w:pPr>
        <w:spacing w:after="0" w:line="23"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0"/>
          <w:szCs w:val="20"/>
          <w:b w:val="1"/>
          <w:bCs w:val="1"/>
          <w:color w:val="auto"/>
        </w:rPr>
        <w:t>NATIONAL ASSOCIATION, TRUIST BANK,</w:t>
      </w:r>
    </w:p>
    <w:p>
      <w:pPr>
        <w:spacing w:after="0" w:line="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b w:val="1"/>
          <w:bCs w:val="1"/>
          <w:color w:val="auto"/>
        </w:rPr>
        <w:t xml:space="preserve">U.S. BANK NATIONAL ASSOCIATION </w:t>
      </w:r>
      <w:r>
        <w:rPr>
          <w:rFonts w:ascii="Times New Roman" w:cs="Times New Roman" w:eastAsia="Times New Roman" w:hAnsi="Times New Roman"/>
          <w:sz w:val="20"/>
          <w:szCs w:val="20"/>
          <w:color w:val="auto"/>
        </w:rPr>
        <w:t>and</w:t>
      </w:r>
    </w:p>
    <w:p>
      <w:pPr>
        <w:spacing w:after="0" w:line="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b w:val="1"/>
          <w:bCs w:val="1"/>
          <w:color w:val="auto"/>
        </w:rPr>
        <w:t>BANK OF MONTREAL</w:t>
      </w:r>
      <w:r>
        <w:rPr>
          <w:rFonts w:ascii="Times New Roman" w:cs="Times New Roman" w:eastAsia="Times New Roman" w:hAnsi="Times New Roman"/>
          <w:sz w:val="20"/>
          <w:szCs w:val="20"/>
          <w:color w:val="auto"/>
        </w:rPr>
        <w:t>,</w:t>
      </w:r>
    </w:p>
    <w:p>
      <w:pPr>
        <w:ind w:left="4620"/>
        <w:spacing w:after="0"/>
        <w:rPr>
          <w:sz w:val="20"/>
          <w:szCs w:val="20"/>
          <w:color w:val="auto"/>
        </w:rPr>
      </w:pPr>
      <w:r>
        <w:rPr>
          <w:rFonts w:ascii="Times New Roman" w:cs="Times New Roman" w:eastAsia="Times New Roman" w:hAnsi="Times New Roman"/>
          <w:sz w:val="20"/>
          <w:szCs w:val="20"/>
          <w:color w:val="auto"/>
        </w:rPr>
        <w:t>as Documentation Agents</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41">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14"/>
          <w:szCs w:val="14"/>
          <w:color w:val="FF0000"/>
          <w:strike w:val="1"/>
        </w:rPr>
        <w:t xml:space="preserve"> 186545342_4</w:t>
      </w:r>
      <w:r>
        <w:rPr>
          <w:rFonts w:ascii="Times New Roman" w:cs="Times New Roman" w:eastAsia="Times New Roman" w:hAnsi="Times New Roman"/>
          <w:sz w:val="14"/>
          <w:szCs w:val="14"/>
          <w:u w:val="single" w:color="auto"/>
          <w:color w:val="0000FF"/>
          <w:strike w:val="1"/>
        </w:rPr>
        <w:t>187749669_2</w:t>
      </w:r>
    </w:p>
    <w:p>
      <w:pPr>
        <w:sectPr>
          <w:pgSz w:w="11900" w:h="16838" w:orient="portrait"/>
          <w:cols w:equalWidth="0" w:num="1">
            <w:col w:w="11120"/>
          </w:cols>
          <w:pgMar w:left="320" w:top="755" w:right="459" w:bottom="1440" w:gutter="0" w:footer="0" w:header="0"/>
        </w:sectPr>
      </w:pPr>
    </w:p>
    <w:bookmarkStart w:id="140" w:name="page141"/>
    <w:bookmarkEnd w:id="140"/>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p>
      <w:pPr>
        <w:spacing w:after="0" w:line="200" w:lineRule="exact"/>
        <w:rPr>
          <w:sz w:val="20"/>
          <w:szCs w:val="20"/>
          <w:color w:val="auto"/>
        </w:rPr>
      </w:pPr>
    </w:p>
    <w:p>
      <w:pPr>
        <w:spacing w:after="0" w:line="203" w:lineRule="exact"/>
        <w:rPr>
          <w:sz w:val="20"/>
          <w:szCs w:val="20"/>
          <w:color w:val="auto"/>
        </w:rPr>
      </w:pPr>
    </w:p>
    <w:tbl>
      <w:tblPr>
        <w:tblLayout w:type="fixed"/>
        <w:tblInd w:w="680" w:type="dxa"/>
        <w:tblCellMar>
          <w:top w:w="0" w:type="dxa"/>
          <w:left w:w="0" w:type="dxa"/>
          <w:bottom w:w="0" w:type="dxa"/>
          <w:right w:w="0" w:type="dxa"/>
        </w:tblCellMar>
      </w:tblPr>
      <w:tr>
        <w:trPr>
          <w:trHeight w:val="255"/>
        </w:trPr>
        <w:tc>
          <w:tcPr>
            <w:tcW w:w="2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 DEFINITIONS  1</w:t>
            </w: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348"/>
        </w:trPr>
        <w:tc>
          <w:tcPr>
            <w:tcW w:w="18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1.1</w:t>
            </w:r>
          </w:p>
        </w:tc>
        <w:tc>
          <w:tcPr>
            <w:tcW w:w="102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99"/>
              </w:rPr>
              <w:t>Definitions</w:t>
            </w:r>
          </w:p>
        </w:tc>
        <w:tc>
          <w:tcPr>
            <w:tcW w:w="580" w:type="dxa"/>
            <w:vAlign w:val="bottom"/>
          </w:tcPr>
          <w:p>
            <w:pPr>
              <w:jc w:val="right"/>
              <w:ind w:right="222"/>
              <w:spacing w:after="0"/>
              <w:rPr>
                <w:sz w:val="20"/>
                <w:szCs w:val="20"/>
                <w:color w:val="auto"/>
              </w:rPr>
            </w:pPr>
            <w:r>
              <w:rPr>
                <w:rFonts w:ascii="Times New Roman" w:cs="Times New Roman" w:eastAsia="Times New Roman" w:hAnsi="Times New Roman"/>
                <w:sz w:val="20"/>
                <w:szCs w:val="20"/>
                <w:color w:val="auto"/>
              </w:rPr>
              <w:t>1</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48"/>
        </w:trPr>
        <w:tc>
          <w:tcPr>
            <w:tcW w:w="18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1.2</w:t>
            </w:r>
          </w:p>
        </w:tc>
        <w:tc>
          <w:tcPr>
            <w:tcW w:w="3300" w:type="dxa"/>
            <w:vAlign w:val="bottom"/>
            <w:gridSpan w:val="5"/>
          </w:tcPr>
          <w:p>
            <w:pPr>
              <w:ind w:left="100"/>
              <w:spacing w:after="0"/>
              <w:rPr>
                <w:sz w:val="20"/>
                <w:szCs w:val="20"/>
                <w:color w:val="auto"/>
              </w:rPr>
            </w:pPr>
            <w:r>
              <w:rPr>
                <w:rFonts w:ascii="Times New Roman" w:cs="Times New Roman" w:eastAsia="Times New Roman" w:hAnsi="Times New Roman"/>
                <w:sz w:val="20"/>
                <w:szCs w:val="20"/>
                <w:color w:val="auto"/>
              </w:rPr>
              <w:t>Other Definitions and Provisions  51</w:t>
            </w:r>
          </w:p>
        </w:tc>
      </w:tr>
      <w:tr>
        <w:trPr>
          <w:trHeight w:val="343"/>
        </w:trPr>
        <w:tc>
          <w:tcPr>
            <w:tcW w:w="346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SECTION 1.3  Accounting Terms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FF0000"/>
                <w:strike w:val="1"/>
                <w:w w:val="79"/>
              </w:rPr>
              <w:t>51</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52</w:t>
            </w:r>
          </w:p>
        </w:tc>
        <w:tc>
          <w:tcPr>
            <w:tcW w:w="1320" w:type="dxa"/>
            <w:vAlign w:val="bottom"/>
          </w:tcPr>
          <w:p>
            <w:pPr>
              <w:spacing w:after="0"/>
              <w:rPr>
                <w:sz w:val="24"/>
                <w:szCs w:val="24"/>
                <w:color w:val="auto"/>
              </w:rPr>
            </w:pPr>
          </w:p>
        </w:tc>
      </w:tr>
      <w:tr>
        <w:trPr>
          <w:trHeight w:val="251"/>
        </w:trPr>
        <w:tc>
          <w:tcPr>
            <w:tcW w:w="18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1.4</w:t>
            </w:r>
          </w:p>
        </w:tc>
        <w:tc>
          <w:tcPr>
            <w:tcW w:w="3300" w:type="dxa"/>
            <w:vAlign w:val="bottom"/>
            <w:gridSpan w:val="5"/>
          </w:tcPr>
          <w:p>
            <w:pPr>
              <w:ind w:left="100"/>
              <w:spacing w:after="0"/>
              <w:rPr>
                <w:sz w:val="20"/>
                <w:szCs w:val="20"/>
                <w:color w:val="auto"/>
              </w:rPr>
            </w:pPr>
            <w:r>
              <w:rPr>
                <w:rFonts w:ascii="Times New Roman" w:cs="Times New Roman" w:eastAsia="Times New Roman" w:hAnsi="Times New Roman"/>
                <w:sz w:val="20"/>
                <w:szCs w:val="20"/>
                <w:color w:val="auto"/>
              </w:rPr>
              <w:t>UCC and PPSA Terms  52</w:t>
            </w:r>
          </w:p>
        </w:tc>
      </w:tr>
      <w:tr>
        <w:trPr>
          <w:trHeight w:val="255"/>
        </w:trPr>
        <w:tc>
          <w:tcPr>
            <w:tcW w:w="18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1.5</w:t>
            </w:r>
          </w:p>
        </w:tc>
        <w:tc>
          <w:tcPr>
            <w:tcW w:w="10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Rounding</w:t>
            </w:r>
          </w:p>
        </w:tc>
        <w:tc>
          <w:tcPr>
            <w:tcW w:w="580" w:type="dxa"/>
            <w:vAlign w:val="bottom"/>
          </w:tcPr>
          <w:p>
            <w:pPr>
              <w:jc w:val="right"/>
              <w:ind w:right="242"/>
              <w:spacing w:after="0"/>
              <w:rPr>
                <w:sz w:val="20"/>
                <w:szCs w:val="20"/>
                <w:color w:val="auto"/>
              </w:rPr>
            </w:pPr>
            <w:r>
              <w:rPr>
                <w:rFonts w:ascii="Times New Roman" w:cs="Times New Roman" w:eastAsia="Times New Roman" w:hAnsi="Times New Roman"/>
                <w:sz w:val="20"/>
                <w:szCs w:val="20"/>
                <w:color w:val="auto"/>
              </w:rPr>
              <w:t>52</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348"/>
        </w:trPr>
        <w:tc>
          <w:tcPr>
            <w:tcW w:w="18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1.6</w:t>
            </w:r>
          </w:p>
        </w:tc>
        <w:tc>
          <w:tcPr>
            <w:tcW w:w="3300" w:type="dxa"/>
            <w:vAlign w:val="bottom"/>
            <w:gridSpan w:val="5"/>
          </w:tcPr>
          <w:p>
            <w:pPr>
              <w:ind w:left="100"/>
              <w:spacing w:after="0"/>
              <w:rPr>
                <w:sz w:val="20"/>
                <w:szCs w:val="20"/>
                <w:color w:val="auto"/>
              </w:rPr>
            </w:pPr>
            <w:r>
              <w:rPr>
                <w:rFonts w:ascii="Times New Roman" w:cs="Times New Roman" w:eastAsia="Times New Roman" w:hAnsi="Times New Roman"/>
                <w:sz w:val="20"/>
                <w:szCs w:val="20"/>
                <w:color w:val="auto"/>
              </w:rPr>
              <w:t>References to Agreement and Laws  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2593340</wp:posOffset>
            </wp:positionH>
            <wp:positionV relativeFrom="paragraph">
              <wp:posOffset>-554355</wp:posOffset>
            </wp:positionV>
            <wp:extent cx="3111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42">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1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 xml:space="preserve">SECTION 1.7 Times of Day </w:t>
      </w:r>
      <w:r>
        <w:rPr>
          <w:rFonts w:ascii="Times New Roman" w:cs="Times New Roman" w:eastAsia="Times New Roman" w:hAnsi="Times New Roman"/>
          <w:sz w:val="20"/>
          <w:szCs w:val="20"/>
          <w:color w:val="FF0000"/>
          <w:strike w:val="1"/>
        </w:rPr>
        <w:t>52</w:t>
      </w:r>
      <w:r>
        <w:rPr>
          <w:rFonts w:ascii="Times New Roman" w:cs="Times New Roman" w:eastAsia="Times New Roman" w:hAnsi="Times New Roman"/>
          <w:sz w:val="20"/>
          <w:szCs w:val="20"/>
          <w:u w:val="single" w:color="auto"/>
          <w:color w:val="0000FF"/>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2265680</wp:posOffset>
            </wp:positionH>
            <wp:positionV relativeFrom="paragraph">
              <wp:posOffset>-12065</wp:posOffset>
            </wp:positionV>
            <wp:extent cx="3111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43">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 xml:space="preserve">SECTION 1.8 Letter of Credit Amounts </w:t>
      </w:r>
      <w:r>
        <w:rPr>
          <w:rFonts w:ascii="Times New Roman" w:cs="Times New Roman" w:eastAsia="Times New Roman" w:hAnsi="Times New Roman"/>
          <w:sz w:val="20"/>
          <w:szCs w:val="20"/>
          <w:color w:val="FF0000"/>
          <w:strike w:val="1"/>
        </w:rPr>
        <w:t>52</w:t>
      </w:r>
      <w:r>
        <w:rPr>
          <w:rFonts w:ascii="Times New Roman" w:cs="Times New Roman" w:eastAsia="Times New Roman" w:hAnsi="Times New Roman"/>
          <w:sz w:val="20"/>
          <w:szCs w:val="20"/>
          <w:u w:val="single" w:color="auto"/>
          <w:color w:val="0000FF"/>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2847340</wp:posOffset>
            </wp:positionH>
            <wp:positionV relativeFrom="paragraph">
              <wp:posOffset>-7620</wp:posOffset>
            </wp:positionV>
            <wp:extent cx="3111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44">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ind w:left="1320"/>
        <w:spacing w:after="0" w:line="195" w:lineRule="auto"/>
        <w:rPr>
          <w:sz w:val="20"/>
          <w:szCs w:val="20"/>
          <w:color w:val="auto"/>
        </w:rPr>
      </w:pPr>
      <w:r>
        <w:rPr>
          <w:rFonts w:ascii="Times New Roman" w:cs="Times New Roman" w:eastAsia="Times New Roman" w:hAnsi="Times New Roman"/>
          <w:sz w:val="20"/>
          <w:szCs w:val="20"/>
          <w:color w:val="auto"/>
        </w:rPr>
        <w:t xml:space="preserve">SECTION 1.9 Guarantees/Earn-Outs </w:t>
      </w:r>
      <w:r>
        <w:rPr>
          <w:rFonts w:ascii="Times New Roman" w:cs="Times New Roman" w:eastAsia="Times New Roman" w:hAnsi="Times New Roman"/>
          <w:sz w:val="20"/>
          <w:szCs w:val="20"/>
          <w:color w:val="FF0000"/>
          <w:strike w:val="1"/>
        </w:rPr>
        <w:t>52</w:t>
      </w:r>
      <w:r>
        <w:rPr>
          <w:rFonts w:ascii="Times New Roman" w:cs="Times New Roman" w:eastAsia="Times New Roman" w:hAnsi="Times New Roman"/>
          <w:sz w:val="20"/>
          <w:szCs w:val="20"/>
          <w:u w:val="single" w:color="auto"/>
          <w:color w:val="0000FF"/>
        </w:rPr>
        <w:t>53</w:t>
      </w:r>
    </w:p>
    <w:p>
      <w:pPr>
        <w:ind w:left="1320"/>
        <w:spacing w:after="0" w:line="223" w:lineRule="auto"/>
        <w:tabs>
          <w:tab w:leader="none" w:pos="5080" w:val="left"/>
        </w:tabs>
        <w:rPr>
          <w:sz w:val="20"/>
          <w:szCs w:val="20"/>
          <w:color w:val="auto"/>
        </w:rPr>
      </w:pPr>
      <w:r>
        <w:rPr>
          <w:rFonts w:ascii="Times New Roman" w:cs="Times New Roman" w:eastAsia="Times New Roman" w:hAnsi="Times New Roman"/>
          <w:sz w:val="20"/>
          <w:szCs w:val="20"/>
          <w:color w:val="auto"/>
        </w:rPr>
        <w:t>SECTION 1.10 Alternative Currency Matters</w:t>
        <w:tab/>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-133985</wp:posOffset>
            </wp:positionV>
            <wp:extent cx="3111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45">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ind w:left="1320"/>
        <w:spacing w:after="0"/>
        <w:tabs>
          <w:tab w:leader="none" w:pos="2720" w:val="left"/>
          <w:tab w:leader="none" w:pos="3340" w:val="left"/>
        </w:tabs>
        <w:rPr>
          <w:sz w:val="20"/>
          <w:szCs w:val="20"/>
          <w:color w:val="auto"/>
        </w:rPr>
      </w:pPr>
      <w:r>
        <w:rPr>
          <w:rFonts w:ascii="Times New Roman" w:cs="Times New Roman" w:eastAsia="Times New Roman" w:hAnsi="Times New Roman"/>
          <w:sz w:val="20"/>
          <w:szCs w:val="20"/>
          <w:color w:val="auto"/>
        </w:rPr>
        <w:t>SECTION 1.11</w:t>
        <w:tab/>
        <w:t>Rates</w:t>
      </w:r>
      <w:r>
        <w:rPr>
          <w:sz w:val="20"/>
          <w:szCs w:val="20"/>
          <w:color w:val="auto"/>
        </w:rPr>
        <w:tab/>
      </w:r>
      <w:r>
        <w:rPr>
          <w:rFonts w:ascii="Times New Roman" w:cs="Times New Roman" w:eastAsia="Times New Roman" w:hAnsi="Times New Roman"/>
          <w:sz w:val="19"/>
          <w:szCs w:val="19"/>
          <w:color w:val="FF0000"/>
          <w:strike w:val="1"/>
        </w:rPr>
        <w:t>53</w:t>
      </w:r>
      <w:r>
        <w:rPr>
          <w:rFonts w:ascii="Times New Roman" w:cs="Times New Roman" w:eastAsia="Times New Roman" w:hAnsi="Times New Roman"/>
          <w:sz w:val="19"/>
          <w:szCs w:val="19"/>
          <w:u w:val="single" w:color="auto"/>
          <w:color w:val="0000FF"/>
          <w:strike w:val="1"/>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2012950</wp:posOffset>
            </wp:positionH>
            <wp:positionV relativeFrom="paragraph">
              <wp:posOffset>-26035</wp:posOffset>
            </wp:positionV>
            <wp:extent cx="1244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46">
                      <a:extLst>
                        <a:ext uri="{28A0092B-C50C-407E-A947-70E740481C1C}"/>
                      </a:extLst>
                    </a:blip>
                    <a:srcRect/>
                    <a:stretch>
                      <a:fillRect/>
                    </a:stretch>
                  </pic:blipFill>
                  <pic:spPr bwMode="auto">
                    <a:xfrm>
                      <a:off x="0" y="0"/>
                      <a:ext cx="124460" cy="8255"/>
                    </a:xfrm>
                    <a:prstGeom prst="rect">
                      <a:avLst/>
                    </a:prstGeom>
                    <a:noFill/>
                  </pic:spPr>
                </pic:pic>
              </a:graphicData>
            </a:graphic>
          </wp:anchor>
        </w:drawing>
      </w:r>
    </w:p>
    <w:p>
      <w:pPr>
        <w:spacing w:after="0" w:line="62" w:lineRule="exact"/>
        <w:rPr>
          <w:sz w:val="20"/>
          <w:szCs w:val="20"/>
          <w:color w:val="auto"/>
        </w:rPr>
      </w:pPr>
    </w:p>
    <w:tbl>
      <w:tblPr>
        <w:tblLayout w:type="fixed"/>
        <w:tblInd w:w="1320" w:type="dxa"/>
        <w:tblCellMar>
          <w:top w:w="0" w:type="dxa"/>
          <w:left w:w="0" w:type="dxa"/>
          <w:bottom w:w="0" w:type="dxa"/>
          <w:right w:w="0" w:type="dxa"/>
        </w:tblCellMar>
      </w:tblPr>
      <w:tr>
        <w:trPr>
          <w:trHeight w:val="255"/>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SECTION 1.12</w:t>
            </w:r>
          </w:p>
        </w:tc>
        <w:tc>
          <w:tcPr>
            <w:tcW w:w="5980" w:type="dxa"/>
            <w:vAlign w:val="bottom"/>
            <w:gridSpan w:val="8"/>
          </w:tcPr>
          <w:p>
            <w:pPr>
              <w:ind w:left="100"/>
              <w:spacing w:after="0"/>
              <w:rPr>
                <w:sz w:val="20"/>
                <w:szCs w:val="20"/>
                <w:color w:val="auto"/>
              </w:rPr>
            </w:pPr>
            <w:r>
              <w:rPr>
                <w:rFonts w:ascii="Times New Roman" w:cs="Times New Roman" w:eastAsia="Times New Roman" w:hAnsi="Times New Roman"/>
                <w:sz w:val="20"/>
                <w:szCs w:val="20"/>
                <w:color w:val="auto"/>
              </w:rPr>
              <w:t>Limited Condition Acquisitions  54</w:t>
            </w:r>
          </w:p>
        </w:tc>
      </w:tr>
      <w:tr>
        <w:trPr>
          <w:trHeight w:val="343"/>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SECTION 1.13</w:t>
            </w:r>
          </w:p>
        </w:tc>
        <w:tc>
          <w:tcPr>
            <w:tcW w:w="86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96"/>
              </w:rPr>
              <w:t>Divisions</w:t>
            </w:r>
          </w:p>
        </w:tc>
        <w:tc>
          <w:tcPr>
            <w:tcW w:w="2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FF0000"/>
                <w:strike w:val="1"/>
                <w:w w:val="89"/>
              </w:rPr>
              <w:t>55</w:t>
            </w:r>
          </w:p>
        </w:tc>
        <w:tc>
          <w:tcPr>
            <w:tcW w:w="42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 xml:space="preserve">56 </w:t>
            </w:r>
            <w:r>
              <w:rPr>
                <w:rFonts w:ascii="Times New Roman" w:cs="Times New Roman" w:eastAsia="Times New Roman" w:hAnsi="Times New Roman"/>
                <w:sz w:val="20"/>
                <w:szCs w:val="20"/>
                <w:color w:val="000000"/>
              </w:rPr>
              <w:t>ARTICLE II REVOLVING CREDIT FACILITY</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FF0000"/>
                <w:strike w:val="1"/>
                <w:w w:val="89"/>
              </w:rPr>
              <w:t>55</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0000FF"/>
                <w:w w:val="89"/>
              </w:rPr>
              <w:t>56</w:t>
            </w:r>
          </w:p>
        </w:tc>
      </w:tr>
      <w:tr>
        <w:trPr>
          <w:trHeight w:val="20"/>
        </w:trPr>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shd w:val="clear" w:color="auto" w:fill="FF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bl>
    <w:p>
      <w:pPr>
        <w:spacing w:after="0" w:line="13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 xml:space="preserve">SECTION 2.1 Revolving Credit Loans </w:t>
      </w:r>
      <w:r>
        <w:rPr>
          <w:rFonts w:ascii="Times New Roman" w:cs="Times New Roman" w:eastAsia="Times New Roman" w:hAnsi="Times New Roman"/>
          <w:sz w:val="20"/>
          <w:szCs w:val="20"/>
          <w:color w:val="FF0000"/>
          <w:strike w:val="1"/>
        </w:rPr>
        <w:t>55</w:t>
      </w:r>
      <w:r>
        <w:rPr>
          <w:rFonts w:ascii="Times New Roman" w:cs="Times New Roman" w:eastAsia="Times New Roman" w:hAnsi="Times New Roman"/>
          <w:sz w:val="20"/>
          <w:szCs w:val="20"/>
          <w:u w:val="single" w:color="auto"/>
          <w:color w:val="0000FF"/>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-12065</wp:posOffset>
            </wp:positionV>
            <wp:extent cx="3111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47">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7" w:lineRule="exact"/>
        <w:rPr>
          <w:sz w:val="20"/>
          <w:szCs w:val="20"/>
          <w:color w:val="auto"/>
        </w:rPr>
      </w:pPr>
    </w:p>
    <w:p>
      <w:pPr>
        <w:ind w:left="1320"/>
        <w:spacing w:after="0"/>
        <w:tabs>
          <w:tab w:leader="none" w:pos="4000" w:val="left"/>
        </w:tabs>
        <w:rPr>
          <w:sz w:val="20"/>
          <w:szCs w:val="20"/>
          <w:color w:val="auto"/>
        </w:rPr>
      </w:pPr>
      <w:r>
        <w:rPr>
          <w:rFonts w:ascii="Times New Roman" w:cs="Times New Roman" w:eastAsia="Times New Roman" w:hAnsi="Times New Roman"/>
          <w:sz w:val="20"/>
          <w:szCs w:val="20"/>
          <w:color w:val="auto"/>
        </w:rPr>
        <w:t>SECTION 2.2 Swingline Loans</w:t>
        <w:tab/>
        <w:t>56</w:t>
      </w:r>
    </w:p>
    <w:p>
      <w:pPr>
        <w:ind w:left="1320"/>
        <w:spacing w:after="0"/>
        <w:tabs>
          <w:tab w:leader="none" w:pos="2620" w:val="left"/>
        </w:tabs>
        <w:rPr>
          <w:sz w:val="20"/>
          <w:szCs w:val="20"/>
          <w:color w:val="auto"/>
        </w:rPr>
      </w:pPr>
      <w:r>
        <w:rPr>
          <w:rFonts w:ascii="Times New Roman" w:cs="Times New Roman" w:eastAsia="Times New Roman" w:hAnsi="Times New Roman"/>
          <w:sz w:val="20"/>
          <w:szCs w:val="20"/>
          <w:color w:val="auto"/>
        </w:rPr>
        <w:t>SECTION 2.3</w:t>
      </w:r>
      <w:r>
        <w:rPr>
          <w:sz w:val="20"/>
          <w:szCs w:val="20"/>
          <w:color w:val="auto"/>
        </w:rPr>
        <w:tab/>
      </w:r>
      <w:r>
        <w:rPr>
          <w:rFonts w:ascii="Times New Roman" w:cs="Times New Roman" w:eastAsia="Times New Roman" w:hAnsi="Times New Roman"/>
          <w:sz w:val="19"/>
          <w:szCs w:val="19"/>
          <w:color w:val="auto"/>
        </w:rPr>
        <w:t>Procedure for Advances of Revolving Credit Loans and Swingline</w:t>
      </w:r>
    </w:p>
    <w:p>
      <w:pPr>
        <w:ind w:left="5100"/>
        <w:spacing w:after="0"/>
        <w:tabs>
          <w:tab w:leader="none" w:pos="5740" w:val="left"/>
        </w:tabs>
        <w:rPr>
          <w:sz w:val="20"/>
          <w:szCs w:val="20"/>
          <w:color w:val="auto"/>
        </w:rPr>
      </w:pPr>
      <w:r>
        <w:rPr>
          <w:rFonts w:ascii="Times New Roman" w:cs="Times New Roman" w:eastAsia="Times New Roman" w:hAnsi="Times New Roman"/>
          <w:sz w:val="20"/>
          <w:szCs w:val="20"/>
          <w:color w:val="auto"/>
        </w:rPr>
        <w:t>Loans</w:t>
      </w:r>
      <w:r>
        <w:rPr>
          <w:sz w:val="20"/>
          <w:szCs w:val="20"/>
          <w:color w:val="auto"/>
        </w:rPr>
        <w:tab/>
      </w:r>
      <w:r>
        <w:rPr>
          <w:rFonts w:ascii="Times New Roman" w:cs="Times New Roman" w:eastAsia="Times New Roman" w:hAnsi="Times New Roman"/>
          <w:sz w:val="19"/>
          <w:szCs w:val="19"/>
          <w:color w:val="FF0000"/>
          <w:strike w:val="1"/>
        </w:rPr>
        <w:t>57</w:t>
      </w:r>
      <w:r>
        <w:rPr>
          <w:rFonts w:ascii="Times New Roman" w:cs="Times New Roman" w:eastAsia="Times New Roman" w:hAnsi="Times New Roman"/>
          <w:sz w:val="19"/>
          <w:szCs w:val="19"/>
          <w:u w:val="single" w:color="auto"/>
          <w:color w:val="0000FF"/>
          <w:strike w:val="1"/>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3536315</wp:posOffset>
            </wp:positionH>
            <wp:positionV relativeFrom="paragraph">
              <wp:posOffset>-26035</wp:posOffset>
            </wp:positionV>
            <wp:extent cx="1244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48">
                      <a:extLst>
                        <a:ext uri="{28A0092B-C50C-407E-A947-70E740481C1C}"/>
                      </a:extLst>
                    </a:blip>
                    <a:srcRect/>
                    <a:stretch>
                      <a:fillRect/>
                    </a:stretch>
                  </pic:blipFill>
                  <pic:spPr bwMode="auto">
                    <a:xfrm>
                      <a:off x="0" y="0"/>
                      <a:ext cx="124460" cy="8255"/>
                    </a:xfrm>
                    <a:prstGeom prst="rect">
                      <a:avLst/>
                    </a:prstGeom>
                    <a:noFill/>
                  </pic:spPr>
                </pic:pic>
              </a:graphicData>
            </a:graphic>
          </wp:anchor>
        </w:drawing>
      </w:r>
    </w:p>
    <w:p>
      <w:pPr>
        <w:spacing w:after="0" w:line="62" w:lineRule="exact"/>
        <w:rPr>
          <w:sz w:val="20"/>
          <w:szCs w:val="20"/>
          <w:color w:val="auto"/>
        </w:rPr>
      </w:pPr>
    </w:p>
    <w:p>
      <w:pPr>
        <w:ind w:left="1320"/>
        <w:spacing w:after="0"/>
        <w:tabs>
          <w:tab w:leader="none" w:pos="2620" w:val="left"/>
        </w:tabs>
        <w:rPr>
          <w:sz w:val="20"/>
          <w:szCs w:val="20"/>
          <w:color w:val="auto"/>
        </w:rPr>
      </w:pPr>
      <w:r>
        <w:rPr>
          <w:rFonts w:ascii="Times New Roman" w:cs="Times New Roman" w:eastAsia="Times New Roman" w:hAnsi="Times New Roman"/>
          <w:sz w:val="20"/>
          <w:szCs w:val="20"/>
          <w:color w:val="auto"/>
        </w:rPr>
        <w:t>SECTION 2.4</w:t>
      </w:r>
      <w:r>
        <w:rPr>
          <w:sz w:val="20"/>
          <w:szCs w:val="20"/>
          <w:color w:val="auto"/>
        </w:rPr>
        <w:tab/>
      </w:r>
      <w:r>
        <w:rPr>
          <w:rFonts w:ascii="Times New Roman" w:cs="Times New Roman" w:eastAsia="Times New Roman" w:hAnsi="Times New Roman"/>
          <w:sz w:val="19"/>
          <w:szCs w:val="19"/>
          <w:color w:val="auto"/>
        </w:rPr>
        <w:t>Repayment and Prepayment of Revolving Credit and Swingline</w:t>
      </w:r>
    </w:p>
    <w:p>
      <w:pPr>
        <w:spacing w:after="0" w:line="3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0"/>
          <w:szCs w:val="20"/>
          <w:color w:val="auto"/>
        </w:rPr>
        <w:t xml:space="preserve">Loans </w:t>
      </w:r>
      <w:r>
        <w:rPr>
          <w:rFonts w:ascii="Times New Roman" w:cs="Times New Roman" w:eastAsia="Times New Roman" w:hAnsi="Times New Roman"/>
          <w:sz w:val="20"/>
          <w:szCs w:val="20"/>
          <w:color w:val="FF0000"/>
          <w:strike w:val="1"/>
        </w:rPr>
        <w:t>58</w:t>
      </w:r>
      <w:r>
        <w:rPr>
          <w:rFonts w:ascii="Times New Roman" w:cs="Times New Roman" w:eastAsia="Times New Roman" w:hAnsi="Times New Roman"/>
          <w:sz w:val="20"/>
          <w:szCs w:val="20"/>
          <w:u w:val="single" w:color="auto"/>
          <w:color w:val="0000FF"/>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-12065</wp:posOffset>
            </wp:positionV>
            <wp:extent cx="3111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49">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24" w:lineRule="exact"/>
        <w:rPr>
          <w:sz w:val="20"/>
          <w:szCs w:val="20"/>
          <w:color w:val="auto"/>
        </w:rPr>
      </w:pPr>
    </w:p>
    <w:p>
      <w:pPr>
        <w:ind w:left="680"/>
        <w:spacing w:after="0"/>
        <w:tabs>
          <w:tab w:leader="none" w:pos="1980" w:val="left"/>
          <w:tab w:leader="none" w:pos="6860" w:val="left"/>
        </w:tabs>
        <w:rPr>
          <w:sz w:val="20"/>
          <w:szCs w:val="20"/>
          <w:color w:val="auto"/>
        </w:rPr>
      </w:pPr>
      <w:r>
        <w:rPr>
          <w:rFonts w:ascii="Times New Roman" w:cs="Times New Roman" w:eastAsia="Times New Roman" w:hAnsi="Times New Roman"/>
          <w:sz w:val="20"/>
          <w:szCs w:val="20"/>
          <w:color w:val="auto"/>
        </w:rPr>
        <w:t>SECTION 2.5</w:t>
        <w:tab/>
        <w:t>Permanent Reduction of the Revolving Credit Commitment</w:t>
        <w:tab/>
        <w:t>60</w:t>
      </w:r>
    </w:p>
    <w:tbl>
      <w:tblPr>
        <w:tblLayout w:type="fixed"/>
        <w:tblInd w:w="680" w:type="dxa"/>
        <w:tblCellMar>
          <w:top w:w="0" w:type="dxa"/>
          <w:left w:w="0" w:type="dxa"/>
          <w:bottom w:w="0" w:type="dxa"/>
          <w:right w:w="0" w:type="dxa"/>
        </w:tblCellMar>
      </w:tblPr>
      <w:tr>
        <w:trPr>
          <w:trHeight w:val="188"/>
        </w:trPr>
        <w:tc>
          <w:tcPr>
            <w:tcW w:w="1860" w:type="dxa"/>
            <w:vAlign w:val="bottom"/>
          </w:tcPr>
          <w:p>
            <w:pPr>
              <w:ind w:left="640"/>
              <w:spacing w:after="0" w:line="188" w:lineRule="exact"/>
              <w:rPr>
                <w:sz w:val="20"/>
                <w:szCs w:val="20"/>
                <w:color w:val="auto"/>
              </w:rPr>
            </w:pPr>
            <w:r>
              <w:rPr>
                <w:rFonts w:ascii="Times New Roman" w:cs="Times New Roman" w:eastAsia="Times New Roman" w:hAnsi="Times New Roman"/>
                <w:sz w:val="20"/>
                <w:szCs w:val="20"/>
                <w:color w:val="auto"/>
              </w:rPr>
              <w:t>SECTION 2.6</w:t>
            </w:r>
          </w:p>
        </w:tc>
        <w:tc>
          <w:tcPr>
            <w:tcW w:w="3520" w:type="dxa"/>
            <w:vAlign w:val="bottom"/>
            <w:gridSpan w:val="9"/>
          </w:tcPr>
          <w:p>
            <w:pPr>
              <w:ind w:left="100"/>
              <w:spacing w:after="0" w:line="188" w:lineRule="exact"/>
              <w:rPr>
                <w:sz w:val="20"/>
                <w:szCs w:val="20"/>
                <w:color w:val="auto"/>
              </w:rPr>
            </w:pPr>
            <w:r>
              <w:rPr>
                <w:rFonts w:ascii="Times New Roman" w:cs="Times New Roman" w:eastAsia="Times New Roman" w:hAnsi="Times New Roman"/>
                <w:sz w:val="20"/>
                <w:szCs w:val="20"/>
                <w:color w:val="auto"/>
              </w:rPr>
              <w:t>Termination of Revolving Credit Facility</w:t>
            </w:r>
          </w:p>
        </w:tc>
        <w:tc>
          <w:tcPr>
            <w:tcW w:w="20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20"/>
                <w:szCs w:val="20"/>
                <w:color w:val="FF0000"/>
                <w:strike w:val="1"/>
                <w:w w:val="89"/>
              </w:rPr>
              <w:t>60</w:t>
            </w:r>
          </w:p>
        </w:tc>
        <w:tc>
          <w:tcPr>
            <w:tcW w:w="340" w:type="dxa"/>
            <w:vAlign w:val="bottom"/>
            <w:gridSpan w:val="3"/>
          </w:tcPr>
          <w:p>
            <w:pPr>
              <w:jc w:val="right"/>
              <w:ind w:right="160"/>
              <w:spacing w:after="0" w:line="188" w:lineRule="exact"/>
              <w:rPr>
                <w:sz w:val="20"/>
                <w:szCs w:val="20"/>
                <w:color w:val="auto"/>
              </w:rPr>
            </w:pPr>
            <w:r>
              <w:rPr>
                <w:rFonts w:ascii="Times New Roman" w:cs="Times New Roman" w:eastAsia="Times New Roman" w:hAnsi="Times New Roman"/>
                <w:sz w:val="20"/>
                <w:szCs w:val="20"/>
                <w:color w:val="0000FF"/>
                <w:w w:val="79"/>
              </w:rPr>
              <w:t>61</w:t>
            </w: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332"/>
        </w:trPr>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6"/>
              </w:rPr>
              <w:t>ARTICLE III LETTER OF CREDIT FACILITY</w:t>
            </w:r>
          </w:p>
        </w:tc>
        <w:tc>
          <w:tcPr>
            <w:tcW w:w="780" w:type="dxa"/>
            <w:vAlign w:val="bottom"/>
          </w:tcPr>
          <w:p>
            <w:pPr>
              <w:jc w:val="right"/>
              <w:ind w:right="282"/>
              <w:spacing w:after="0"/>
              <w:rPr>
                <w:sz w:val="20"/>
                <w:szCs w:val="20"/>
                <w:color w:val="auto"/>
              </w:rPr>
            </w:pPr>
            <w:r>
              <w:rPr>
                <w:rFonts w:ascii="Times New Roman" w:cs="Times New Roman" w:eastAsia="Times New Roman" w:hAnsi="Times New Roman"/>
                <w:sz w:val="20"/>
                <w:szCs w:val="20"/>
                <w:color w:val="auto"/>
              </w:rPr>
              <w:t>61</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top w:val="single" w:sz="8" w:color="FF0000"/>
            </w:tcBorders>
          </w:tcPr>
          <w:p>
            <w:pPr>
              <w:spacing w:after="0"/>
              <w:rPr>
                <w:sz w:val="24"/>
                <w:szCs w:val="24"/>
                <w:color w:val="auto"/>
              </w:rPr>
            </w:pPr>
          </w:p>
        </w:tc>
        <w:tc>
          <w:tcPr>
            <w:tcW w:w="40" w:type="dxa"/>
            <w:vAlign w:val="bottom"/>
            <w:tcBorders>
              <w:top w:val="single" w:sz="8" w:color="FF0000"/>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61"/>
        </w:trPr>
        <w:tc>
          <w:tcPr>
            <w:tcW w:w="18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3.1</w:t>
            </w:r>
          </w:p>
        </w:tc>
        <w:tc>
          <w:tcPr>
            <w:tcW w:w="19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L/C Facility  61</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34"/>
        </w:trPr>
        <w:tc>
          <w:tcPr>
            <w:tcW w:w="18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3.2</w:t>
            </w:r>
          </w:p>
        </w:tc>
        <w:tc>
          <w:tcPr>
            <w:tcW w:w="3520" w:type="dxa"/>
            <w:vAlign w:val="bottom"/>
            <w:gridSpan w:val="9"/>
          </w:tcPr>
          <w:p>
            <w:pPr>
              <w:ind w:left="100"/>
              <w:spacing w:after="0"/>
              <w:rPr>
                <w:sz w:val="20"/>
                <w:szCs w:val="20"/>
                <w:color w:val="auto"/>
              </w:rPr>
            </w:pPr>
            <w:r>
              <w:rPr>
                <w:rFonts w:ascii="Times New Roman" w:cs="Times New Roman" w:eastAsia="Times New Roman" w:hAnsi="Times New Roman"/>
                <w:sz w:val="20"/>
                <w:szCs w:val="20"/>
                <w:color w:val="auto"/>
                <w:w w:val="99"/>
              </w:rPr>
              <w:t>Procedure for Issuance of Letters of Credit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57"/>
        </w:trPr>
        <w:tc>
          <w:tcPr>
            <w:tcW w:w="460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SECTION 3.3  Commissions and Other Charges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FF0000"/>
                <w:strike w:val="1"/>
                <w:w w:val="89"/>
              </w:rPr>
              <w:t>62</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79"/>
              </w:rPr>
              <w:t>63</w:t>
            </w:r>
          </w:p>
        </w:tc>
        <w:tc>
          <w:tcPr>
            <w:tcW w:w="16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2"/>
        </w:trPr>
        <w:tc>
          <w:tcPr>
            <w:tcW w:w="18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3.4</w:t>
            </w:r>
          </w:p>
        </w:tc>
        <w:tc>
          <w:tcPr>
            <w:tcW w:w="19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L/C Participations  63</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0"/>
        </w:trPr>
        <w:tc>
          <w:tcPr>
            <w:tcW w:w="5520" w:type="dxa"/>
            <w:vAlign w:val="bottom"/>
            <w:gridSpan w:val="11"/>
          </w:tcPr>
          <w:p>
            <w:pPr>
              <w:ind w:left="640"/>
              <w:spacing w:after="0" w:line="210" w:lineRule="exact"/>
              <w:rPr>
                <w:sz w:val="20"/>
                <w:szCs w:val="20"/>
                <w:color w:val="auto"/>
              </w:rPr>
            </w:pPr>
            <w:r>
              <w:rPr>
                <w:rFonts w:ascii="Times New Roman" w:cs="Times New Roman" w:eastAsia="Times New Roman" w:hAnsi="Times New Roman"/>
                <w:sz w:val="20"/>
                <w:szCs w:val="20"/>
                <w:color w:val="auto"/>
              </w:rPr>
              <w:t>SECTION 3.5  Reimbursement Obligation of the Borrowers</w:t>
            </w:r>
          </w:p>
        </w:tc>
        <w:tc>
          <w:tcPr>
            <w:tcW w:w="200" w:type="dxa"/>
            <w:vAlign w:val="bottom"/>
            <w:gridSpan w:val="2"/>
          </w:tcPr>
          <w:p>
            <w:pPr>
              <w:jc w:val="right"/>
              <w:spacing w:after="0" w:line="210" w:lineRule="exact"/>
              <w:rPr>
                <w:sz w:val="20"/>
                <w:szCs w:val="20"/>
                <w:color w:val="auto"/>
              </w:rPr>
            </w:pPr>
            <w:r>
              <w:rPr>
                <w:rFonts w:ascii="Times New Roman" w:cs="Times New Roman" w:eastAsia="Times New Roman" w:hAnsi="Times New Roman"/>
                <w:sz w:val="20"/>
                <w:szCs w:val="20"/>
                <w:color w:val="FF0000"/>
                <w:strike w:val="1"/>
                <w:w w:val="89"/>
              </w:rPr>
              <w:t>63</w:t>
            </w:r>
          </w:p>
        </w:tc>
        <w:tc>
          <w:tcPr>
            <w:tcW w:w="200" w:type="dxa"/>
            <w:vAlign w:val="bottom"/>
            <w:tcBorders>
              <w:bottom w:val="single" w:sz="8" w:color="0000FF"/>
            </w:tcBorders>
            <w:gridSpan w:val="2"/>
          </w:tcPr>
          <w:p>
            <w:pPr>
              <w:jc w:val="right"/>
              <w:spacing w:after="0" w:line="210" w:lineRule="exact"/>
              <w:rPr>
                <w:sz w:val="20"/>
                <w:szCs w:val="20"/>
                <w:color w:val="auto"/>
              </w:rPr>
            </w:pPr>
            <w:r>
              <w:rPr>
                <w:rFonts w:ascii="Times New Roman" w:cs="Times New Roman" w:eastAsia="Times New Roman" w:hAnsi="Times New Roman"/>
                <w:sz w:val="20"/>
                <w:szCs w:val="20"/>
                <w:color w:val="0000FF"/>
                <w:w w:val="89"/>
              </w:rPr>
              <w:t>64</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92"/>
        </w:trPr>
        <w:tc>
          <w:tcPr>
            <w:tcW w:w="18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3.6</w:t>
            </w:r>
          </w:p>
        </w:tc>
        <w:tc>
          <w:tcPr>
            <w:tcW w:w="19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Obligations Absolute</w:t>
            </w:r>
          </w:p>
        </w:tc>
        <w:tc>
          <w:tcPr>
            <w:tcW w:w="780" w:type="dxa"/>
            <w:vAlign w:val="bottom"/>
          </w:tcPr>
          <w:p>
            <w:pPr>
              <w:jc w:val="right"/>
              <w:ind w:right="482"/>
              <w:spacing w:after="0"/>
              <w:rPr>
                <w:sz w:val="20"/>
                <w:szCs w:val="20"/>
                <w:color w:val="auto"/>
              </w:rPr>
            </w:pPr>
            <w:r>
              <w:rPr>
                <w:rFonts w:ascii="Times New Roman" w:cs="Times New Roman" w:eastAsia="Times New Roman" w:hAnsi="Times New Roman"/>
                <w:sz w:val="20"/>
                <w:szCs w:val="20"/>
                <w:color w:val="auto"/>
                <w:w w:val="89"/>
              </w:rPr>
              <w:t>64</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3"/>
        </w:trPr>
        <w:tc>
          <w:tcPr>
            <w:tcW w:w="4940" w:type="dxa"/>
            <w:vAlign w:val="bottom"/>
            <w:gridSpan w:val="5"/>
          </w:tcPr>
          <w:p>
            <w:pPr>
              <w:ind w:left="640"/>
              <w:spacing w:after="0" w:line="223" w:lineRule="exact"/>
              <w:rPr>
                <w:sz w:val="20"/>
                <w:szCs w:val="20"/>
                <w:color w:val="auto"/>
              </w:rPr>
            </w:pPr>
            <w:r>
              <w:rPr>
                <w:rFonts w:ascii="Times New Roman" w:cs="Times New Roman" w:eastAsia="Times New Roman" w:hAnsi="Times New Roman"/>
                <w:sz w:val="20"/>
                <w:szCs w:val="20"/>
                <w:color w:val="auto"/>
              </w:rPr>
              <w:t>SECTION 3.7  Effect of Letter of Credit Application</w:t>
            </w:r>
          </w:p>
        </w:tc>
        <w:tc>
          <w:tcPr>
            <w:tcW w:w="2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89"/>
              </w:rPr>
              <w:t>64</w:t>
            </w:r>
          </w:p>
        </w:tc>
        <w:tc>
          <w:tcPr>
            <w:tcW w:w="200" w:type="dxa"/>
            <w:vAlign w:val="bottom"/>
            <w:tcBorders>
              <w:bottom w:val="single" w:sz="8" w:color="0000FF"/>
            </w:tcBorders>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0000FF"/>
                <w:w w:val="89"/>
              </w:rPr>
              <w:t>65</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51"/>
        </w:trPr>
        <w:tc>
          <w:tcPr>
            <w:tcW w:w="18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3.8</w:t>
            </w:r>
          </w:p>
        </w:tc>
        <w:tc>
          <w:tcPr>
            <w:tcW w:w="5720" w:type="dxa"/>
            <w:vAlign w:val="bottom"/>
            <w:gridSpan w:val="18"/>
          </w:tcPr>
          <w:p>
            <w:pPr>
              <w:ind w:left="100"/>
              <w:spacing w:after="0"/>
              <w:rPr>
                <w:sz w:val="20"/>
                <w:szCs w:val="20"/>
                <w:color w:val="auto"/>
              </w:rPr>
            </w:pPr>
            <w:r>
              <w:rPr>
                <w:rFonts w:ascii="Times New Roman" w:cs="Times New Roman" w:eastAsia="Times New Roman" w:hAnsi="Times New Roman"/>
                <w:sz w:val="20"/>
                <w:szCs w:val="20"/>
                <w:color w:val="auto"/>
              </w:rPr>
              <w:t>Removal and Resignation of Issuing Lenders  65</w:t>
            </w:r>
          </w:p>
        </w:tc>
      </w:tr>
      <w:tr>
        <w:trPr>
          <w:trHeight w:val="210"/>
        </w:trPr>
        <w:tc>
          <w:tcPr>
            <w:tcW w:w="1860" w:type="dxa"/>
            <w:vAlign w:val="bottom"/>
          </w:tcPr>
          <w:p>
            <w:pPr>
              <w:ind w:left="640"/>
              <w:spacing w:after="0" w:line="210" w:lineRule="exact"/>
              <w:rPr>
                <w:sz w:val="20"/>
                <w:szCs w:val="20"/>
                <w:color w:val="auto"/>
              </w:rPr>
            </w:pPr>
            <w:r>
              <w:rPr>
                <w:rFonts w:ascii="Times New Roman" w:cs="Times New Roman" w:eastAsia="Times New Roman" w:hAnsi="Times New Roman"/>
                <w:sz w:val="20"/>
                <w:szCs w:val="20"/>
                <w:color w:val="auto"/>
              </w:rPr>
              <w:t>SECTION 3.9</w:t>
            </w:r>
          </w:p>
        </w:tc>
        <w:tc>
          <w:tcPr>
            <w:tcW w:w="5320" w:type="dxa"/>
            <w:vAlign w:val="bottom"/>
            <w:gridSpan w:val="16"/>
          </w:tcPr>
          <w:p>
            <w:pPr>
              <w:ind w:left="100"/>
              <w:spacing w:after="0" w:line="210" w:lineRule="exact"/>
              <w:rPr>
                <w:sz w:val="20"/>
                <w:szCs w:val="20"/>
                <w:color w:val="auto"/>
              </w:rPr>
            </w:pPr>
            <w:r>
              <w:rPr>
                <w:rFonts w:ascii="Times New Roman" w:cs="Times New Roman" w:eastAsia="Times New Roman" w:hAnsi="Times New Roman"/>
                <w:sz w:val="20"/>
                <w:szCs w:val="20"/>
                <w:color w:val="auto"/>
              </w:rPr>
              <w:t>Reporting of Letter of Credit Information and L/C Commitment</w:t>
            </w:r>
          </w:p>
        </w:tc>
        <w:tc>
          <w:tcPr>
            <w:tcW w:w="20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FF0000"/>
                <w:strike w:val="1"/>
                <w:w w:val="89"/>
              </w:rPr>
              <w:t>65</w:t>
            </w:r>
          </w:p>
        </w:tc>
        <w:tc>
          <w:tcPr>
            <w:tcW w:w="20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0000FF"/>
                <w:w w:val="89"/>
              </w:rPr>
              <w:t>66</w:t>
            </w:r>
          </w:p>
        </w:tc>
      </w:tr>
      <w:tr>
        <w:trPr>
          <w:trHeight w:val="20"/>
        </w:trPr>
        <w:tc>
          <w:tcPr>
            <w:tcW w:w="18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3318510</wp:posOffset>
            </wp:positionH>
            <wp:positionV relativeFrom="paragraph">
              <wp:posOffset>-984250</wp:posOffset>
            </wp:positionV>
            <wp:extent cx="3111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50">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-653415</wp:posOffset>
            </wp:positionV>
            <wp:extent cx="3111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51">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3539490</wp:posOffset>
            </wp:positionH>
            <wp:positionV relativeFrom="paragraph">
              <wp:posOffset>-313690</wp:posOffset>
            </wp:positionV>
            <wp:extent cx="3111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52">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300" w:val="left"/>
        </w:tabs>
        <w:rPr>
          <w:sz w:val="20"/>
          <w:szCs w:val="20"/>
          <w:color w:val="auto"/>
        </w:rPr>
      </w:pPr>
      <w:r>
        <w:rPr>
          <w:sz w:val="1"/>
          <w:szCs w:val="1"/>
          <w:color w:val="auto"/>
        </w:rPr>
        <w:drawing>
          <wp:inline distT="0" distB="0" distL="0" distR="0">
            <wp:extent cx="8255" cy="101600"/>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53">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ectPr>
          <w:pgSz w:w="11900" w:h="16838" w:orient="portrait"/>
          <w:cols w:equalWidth="0" w:num="1">
            <w:col w:w="11020"/>
          </w:cols>
          <w:pgMar w:left="320" w:top="1075" w:right="55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Page</w:t>
      </w:r>
    </w:p>
    <w:p>
      <w:pPr>
        <w:spacing w:after="0" w:line="397" w:lineRule="exact"/>
        <w:rPr>
          <w:sz w:val="20"/>
          <w:szCs w:val="20"/>
          <w:color w:val="auto"/>
        </w:rPr>
      </w:pPr>
    </w:p>
    <w:tbl>
      <w:tblPr>
        <w:tblLayout w:type="fixed"/>
        <w:tblInd w:w="680" w:type="dxa"/>
        <w:tblCellMar>
          <w:top w:w="0" w:type="dxa"/>
          <w:left w:w="0" w:type="dxa"/>
          <w:bottom w:w="0" w:type="dxa"/>
          <w:right w:w="0" w:type="dxa"/>
        </w:tblCellMar>
      </w:tblPr>
      <w:tr>
        <w:trPr>
          <w:trHeight w:val="42"/>
        </w:trPr>
        <w:tc>
          <w:tcPr>
            <w:tcW w:w="5100" w:type="dxa"/>
            <w:vAlign w:val="bottom"/>
            <w:gridSpan w:val="30"/>
            <w:vMerge w:val="restart"/>
          </w:tcPr>
          <w:p>
            <w:pPr>
              <w:ind w:left="640"/>
              <w:spacing w:after="0"/>
              <w:rPr>
                <w:sz w:val="20"/>
                <w:szCs w:val="20"/>
                <w:color w:val="auto"/>
              </w:rPr>
            </w:pPr>
            <w:r>
              <w:rPr>
                <w:rFonts w:ascii="Times New Roman" w:cs="Times New Roman" w:eastAsia="Times New Roman" w:hAnsi="Times New Roman"/>
                <w:sz w:val="20"/>
                <w:szCs w:val="20"/>
                <w:color w:val="auto"/>
                <w:w w:val="98"/>
              </w:rPr>
              <w:t>SECTION 3.10 Letters of Credit Issued for Subsidiaries</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79"/>
              </w:rPr>
              <w:t>65</w:t>
            </w:r>
          </w:p>
        </w:tc>
        <w:tc>
          <w:tcPr>
            <w:tcW w:w="200" w:type="dxa"/>
            <w:vAlign w:val="bottom"/>
            <w:gridSpan w:val="4"/>
            <w:vMerge w:val="restart"/>
          </w:tcPr>
          <w:p>
            <w:pPr>
              <w:jc w:val="right"/>
              <w:spacing w:after="0"/>
              <w:rPr>
                <w:sz w:val="20"/>
                <w:szCs w:val="20"/>
                <w:color w:val="auto"/>
              </w:rPr>
            </w:pPr>
            <w:r>
              <w:rPr>
                <w:rFonts w:ascii="Times New Roman" w:cs="Times New Roman" w:eastAsia="Times New Roman" w:hAnsi="Times New Roman"/>
                <w:sz w:val="20"/>
                <w:szCs w:val="20"/>
                <w:color w:val="0000FF"/>
                <w:w w:val="89"/>
              </w:rPr>
              <w:t>66</w:t>
            </w:r>
          </w:p>
        </w:tc>
        <w:tc>
          <w:tcPr>
            <w:tcW w:w="300" w:type="dxa"/>
            <w:vAlign w:val="bottom"/>
            <w:vMerge w:val="restart"/>
          </w:tcPr>
          <w:p>
            <w:pPr>
              <w:spacing w:after="0"/>
              <w:rPr>
                <w:sz w:val="3"/>
                <w:szCs w:val="3"/>
                <w:color w:val="auto"/>
              </w:rPr>
            </w:pPr>
          </w:p>
        </w:tc>
        <w:tc>
          <w:tcPr>
            <w:tcW w:w="160" w:type="dxa"/>
            <w:vAlign w:val="bottom"/>
            <w:vMerge w:val="restart"/>
          </w:tcPr>
          <w:p>
            <w:pPr>
              <w:spacing w:after="0"/>
              <w:rPr>
                <w:sz w:val="3"/>
                <w:szCs w:val="3"/>
                <w:color w:val="auto"/>
              </w:rPr>
            </w:pPr>
          </w:p>
        </w:tc>
        <w:tc>
          <w:tcPr>
            <w:tcW w:w="40" w:type="dxa"/>
            <w:vAlign w:val="bottom"/>
            <w:vMerge w:val="restart"/>
          </w:tcPr>
          <w:p>
            <w:pPr>
              <w:spacing w:after="0"/>
              <w:rPr>
                <w:sz w:val="3"/>
                <w:szCs w:val="3"/>
                <w:color w:val="auto"/>
              </w:rPr>
            </w:pPr>
          </w:p>
        </w:tc>
        <w:tc>
          <w:tcPr>
            <w:tcW w:w="180" w:type="dxa"/>
            <w:vAlign w:val="bottom"/>
            <w:vMerge w:val="restart"/>
          </w:tcPr>
          <w:p>
            <w:pPr>
              <w:spacing w:after="0"/>
              <w:rPr>
                <w:sz w:val="3"/>
                <w:szCs w:val="3"/>
                <w:color w:val="auto"/>
              </w:rPr>
            </w:pPr>
          </w:p>
        </w:tc>
        <w:tc>
          <w:tcPr>
            <w:tcW w:w="80" w:type="dxa"/>
            <w:vAlign w:val="bottom"/>
            <w:vMerge w:val="restart"/>
          </w:tcPr>
          <w:p>
            <w:pPr>
              <w:spacing w:after="0"/>
              <w:rPr>
                <w:sz w:val="3"/>
                <w:szCs w:val="3"/>
                <w:color w:val="auto"/>
              </w:rPr>
            </w:pPr>
          </w:p>
        </w:tc>
        <w:tc>
          <w:tcPr>
            <w:tcW w:w="30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18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18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48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5100" w:type="dxa"/>
            <w:vAlign w:val="bottom"/>
            <w:gridSpan w:val="30"/>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200" w:type="dxa"/>
            <w:vAlign w:val="bottom"/>
            <w:tcBorders>
              <w:bottom w:val="single" w:sz="8" w:color="0000FF"/>
            </w:tcBorders>
            <w:gridSpan w:val="4"/>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3280" w:type="dxa"/>
            <w:vAlign w:val="bottom"/>
            <w:gridSpan w:val="8"/>
          </w:tcPr>
          <w:p>
            <w:pPr>
              <w:spacing w:after="0"/>
              <w:rPr>
                <w:sz w:val="20"/>
                <w:szCs w:val="20"/>
                <w:color w:val="auto"/>
              </w:rPr>
            </w:pPr>
            <w:r>
              <w:rPr>
                <w:rFonts w:ascii="Times New Roman" w:cs="Times New Roman" w:eastAsia="Times New Roman" w:hAnsi="Times New Roman"/>
                <w:sz w:val="20"/>
                <w:szCs w:val="20"/>
                <w:color w:val="auto"/>
                <w:w w:val="99"/>
              </w:rPr>
              <w:t>ARTICLE IV TERM LOAN FACILITY</w:t>
            </w:r>
          </w:p>
        </w:tc>
        <w:tc>
          <w:tcPr>
            <w:tcW w:w="3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w w:val="99"/>
              </w:rPr>
              <w:t>66</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280" w:type="dxa"/>
            <w:vAlign w:val="bottom"/>
            <w:gridSpan w:val="8"/>
          </w:tcPr>
          <w:p>
            <w:pPr>
              <w:ind w:left="640"/>
              <w:spacing w:after="0"/>
              <w:rPr>
                <w:sz w:val="20"/>
                <w:szCs w:val="20"/>
                <w:color w:val="auto"/>
              </w:rPr>
            </w:pPr>
            <w:r>
              <w:rPr>
                <w:rFonts w:ascii="Times New Roman" w:cs="Times New Roman" w:eastAsia="Times New Roman" w:hAnsi="Times New Roman"/>
                <w:sz w:val="20"/>
                <w:szCs w:val="20"/>
                <w:color w:val="auto"/>
              </w:rPr>
              <w:t>SECTION 4.1 Initial Term Loan</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7"/>
        </w:trPr>
        <w:tc>
          <w:tcPr>
            <w:tcW w:w="5440" w:type="dxa"/>
            <w:vAlign w:val="bottom"/>
            <w:gridSpan w:val="34"/>
          </w:tcPr>
          <w:p>
            <w:pPr>
              <w:ind w:left="640"/>
              <w:spacing w:after="0"/>
              <w:rPr>
                <w:sz w:val="20"/>
                <w:szCs w:val="20"/>
                <w:color w:val="auto"/>
              </w:rPr>
            </w:pPr>
            <w:r>
              <w:rPr>
                <w:rFonts w:ascii="Times New Roman" w:cs="Times New Roman" w:eastAsia="Times New Roman" w:hAnsi="Times New Roman"/>
                <w:sz w:val="20"/>
                <w:szCs w:val="20"/>
                <w:color w:val="auto"/>
              </w:rPr>
              <w:t>SECTION 4.2 Procedure for Advance of Initial Term Loan</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9"/>
              </w:rPr>
              <w:t>66</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620" w:type="dxa"/>
            <w:vAlign w:val="bottom"/>
            <w:gridSpan w:val="11"/>
          </w:tcPr>
          <w:p>
            <w:pPr>
              <w:jc w:val="right"/>
              <w:spacing w:after="0" w:line="210" w:lineRule="exact"/>
              <w:rPr>
                <w:sz w:val="20"/>
                <w:szCs w:val="20"/>
                <w:color w:val="auto"/>
              </w:rPr>
            </w:pPr>
            <w:r>
              <w:rPr>
                <w:rFonts w:ascii="Times New Roman" w:cs="Times New Roman" w:eastAsia="Times New Roman" w:hAnsi="Times New Roman"/>
                <w:sz w:val="20"/>
                <w:szCs w:val="20"/>
                <w:color w:val="auto"/>
              </w:rPr>
              <w:t>SECTION 4.3  Repayment of Term Loans</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gridSpan w:val="3"/>
          </w:tcPr>
          <w:p>
            <w:pPr>
              <w:jc w:val="right"/>
              <w:ind w:right="20"/>
              <w:spacing w:after="0" w:line="210" w:lineRule="exact"/>
              <w:rPr>
                <w:sz w:val="20"/>
                <w:szCs w:val="20"/>
                <w:color w:val="auto"/>
              </w:rPr>
            </w:pPr>
            <w:r>
              <w:rPr>
                <w:rFonts w:ascii="Times New Roman" w:cs="Times New Roman" w:eastAsia="Times New Roman" w:hAnsi="Times New Roman"/>
                <w:sz w:val="20"/>
                <w:szCs w:val="20"/>
                <w:color w:val="FF0000"/>
                <w:strike w:val="1"/>
                <w:w w:val="89"/>
              </w:rPr>
              <w:t>66</w:t>
            </w:r>
          </w:p>
        </w:tc>
        <w:tc>
          <w:tcPr>
            <w:tcW w:w="3780" w:type="dxa"/>
            <w:vAlign w:val="bottom"/>
            <w:gridSpan w:val="30"/>
          </w:tcPr>
          <w:p>
            <w:pPr>
              <w:jc w:val="center"/>
              <w:spacing w:after="0" w:line="210" w:lineRule="exact"/>
              <w:rPr>
                <w:sz w:val="20"/>
                <w:szCs w:val="20"/>
                <w:color w:val="auto"/>
              </w:rPr>
            </w:pPr>
            <w:r>
              <w:rPr>
                <w:rFonts w:ascii="Times New Roman" w:cs="Times New Roman" w:eastAsia="Times New Roman" w:hAnsi="Times New Roman"/>
                <w:sz w:val="20"/>
                <w:szCs w:val="20"/>
                <w:color w:val="0000FF"/>
                <w:w w:val="99"/>
              </w:rPr>
              <w:t xml:space="preserve">67 </w:t>
            </w:r>
            <w:r>
              <w:rPr>
                <w:rFonts w:ascii="Times New Roman" w:cs="Times New Roman" w:eastAsia="Times New Roman" w:hAnsi="Times New Roman"/>
                <w:sz w:val="20"/>
                <w:szCs w:val="20"/>
                <w:color w:val="000000"/>
                <w:w w:val="99"/>
              </w:rPr>
              <w:t>SECTION 4.4  Prepayments of Term Loans</w:t>
            </w:r>
          </w:p>
        </w:tc>
        <w:tc>
          <w:tcPr>
            <w:tcW w:w="180" w:type="dxa"/>
            <w:vAlign w:val="bottom"/>
          </w:tcPr>
          <w:p>
            <w:pPr>
              <w:spacing w:after="0"/>
              <w:rPr>
                <w:sz w:val="18"/>
                <w:szCs w:val="18"/>
                <w:color w:val="auto"/>
              </w:rPr>
            </w:pPr>
          </w:p>
        </w:tc>
        <w:tc>
          <w:tcPr>
            <w:tcW w:w="180" w:type="dxa"/>
            <w:vAlign w:val="bottom"/>
          </w:tcPr>
          <w:p>
            <w:pPr>
              <w:spacing w:after="0" w:line="210" w:lineRule="exact"/>
              <w:rPr>
                <w:sz w:val="20"/>
                <w:szCs w:val="20"/>
                <w:color w:val="auto"/>
              </w:rPr>
            </w:pPr>
            <w:r>
              <w:rPr>
                <w:rFonts w:ascii="Times New Roman" w:cs="Times New Roman" w:eastAsia="Times New Roman" w:hAnsi="Times New Roman"/>
                <w:sz w:val="20"/>
                <w:szCs w:val="20"/>
                <w:color w:val="FF0000"/>
                <w:strike w:val="1"/>
                <w:w w:val="79"/>
              </w:rPr>
              <w:t>66</w:t>
            </w:r>
          </w:p>
        </w:tc>
        <w:tc>
          <w:tcPr>
            <w:tcW w:w="2220" w:type="dxa"/>
            <w:vAlign w:val="bottom"/>
            <w:gridSpan w:val="6"/>
          </w:tcPr>
          <w:p>
            <w:pPr>
              <w:jc w:val="right"/>
              <w:spacing w:after="0" w:line="210" w:lineRule="exact"/>
              <w:rPr>
                <w:sz w:val="20"/>
                <w:szCs w:val="20"/>
                <w:color w:val="auto"/>
              </w:rPr>
            </w:pPr>
            <w:r>
              <w:rPr>
                <w:rFonts w:ascii="Times New Roman" w:cs="Times New Roman" w:eastAsia="Times New Roman" w:hAnsi="Times New Roman"/>
                <w:sz w:val="20"/>
                <w:szCs w:val="20"/>
                <w:color w:val="0000FF"/>
                <w:w w:val="96"/>
              </w:rPr>
              <w:t xml:space="preserve">67 </w:t>
            </w:r>
            <w:r>
              <w:rPr>
                <w:rFonts w:ascii="Times New Roman" w:cs="Times New Roman" w:eastAsia="Times New Roman" w:hAnsi="Times New Roman"/>
                <w:sz w:val="20"/>
                <w:szCs w:val="20"/>
                <w:color w:val="000000"/>
                <w:w w:val="96"/>
              </w:rPr>
              <w:t>ARTICLE V GENERAL</w:t>
            </w:r>
          </w:p>
        </w:tc>
        <w:tc>
          <w:tcPr>
            <w:tcW w:w="0" w:type="dxa"/>
            <w:vAlign w:val="bottom"/>
          </w:tcPr>
          <w:p>
            <w:pPr>
              <w:spacing w:after="0"/>
              <w:rPr>
                <w:sz w:val="1"/>
                <w:szCs w:val="1"/>
                <w:color w:val="auto"/>
              </w:rPr>
            </w:pPr>
          </w:p>
        </w:tc>
      </w:tr>
      <w:tr>
        <w:trPr>
          <w:trHeight w:val="20"/>
        </w:trPr>
        <w:tc>
          <w:tcPr>
            <w:tcW w:w="3620" w:type="dxa"/>
            <w:vAlign w:val="bottom"/>
            <w:tcBorders>
              <w:right w:val="single" w:sz="8" w:color="auto"/>
            </w:tcBorders>
            <w:gridSpan w:val="11"/>
          </w:tcPr>
          <w:p>
            <w:pPr>
              <w:spacing w:after="0" w:line="20" w:lineRule="exact"/>
              <w:rPr>
                <w:sz w:val="1"/>
                <w:szCs w:val="1"/>
                <w:color w:val="auto"/>
              </w:rPr>
            </w:pPr>
          </w:p>
        </w:tc>
        <w:tc>
          <w:tcPr>
            <w:tcW w:w="360" w:type="dxa"/>
            <w:vAlign w:val="bottom"/>
            <w:tcBorders>
              <w:left w:val="single" w:sz="8" w:color="auto"/>
              <w:right w:val="single" w:sz="8" w:color="auto"/>
            </w:tcBorders>
            <w:gridSpan w:val="6"/>
            <w:shd w:val="clear" w:color="auto" w:fill="000000"/>
          </w:tcPr>
          <w:p>
            <w:pPr>
              <w:spacing w:after="0" w:line="20" w:lineRule="exact"/>
              <w:rPr>
                <w:sz w:val="1"/>
                <w:szCs w:val="1"/>
                <w:color w:val="auto"/>
              </w:rPr>
            </w:pPr>
          </w:p>
        </w:tc>
        <w:tc>
          <w:tcPr>
            <w:tcW w:w="220" w:type="dxa"/>
            <w:vAlign w:val="bottom"/>
            <w:tcBorders>
              <w:right w:val="single" w:sz="8" w:color="0000FF"/>
            </w:tcBorders>
            <w:gridSpan w:val="3"/>
          </w:tcPr>
          <w:p>
            <w:pPr>
              <w:spacing w:after="0" w:line="20" w:lineRule="exact"/>
              <w:rPr>
                <w:sz w:val="1"/>
                <w:szCs w:val="1"/>
                <w:color w:val="auto"/>
              </w:rPr>
            </w:pPr>
          </w:p>
        </w:tc>
        <w:tc>
          <w:tcPr>
            <w:tcW w:w="3780" w:type="dxa"/>
            <w:vAlign w:val="bottom"/>
            <w:tcBorders>
              <w:right w:val="single" w:sz="8" w:color="FF0000"/>
            </w:tcBorders>
            <w:gridSpan w:val="30"/>
            <w:shd w:val="clear" w:color="auto" w:fill="0000FF"/>
          </w:tcPr>
          <w:p>
            <w:pPr>
              <w:spacing w:after="0" w:line="20" w:lineRule="exact"/>
              <w:rPr>
                <w:sz w:val="1"/>
                <w:szCs w:val="1"/>
                <w:color w:val="auto"/>
              </w:rPr>
            </w:pPr>
          </w:p>
        </w:tc>
        <w:tc>
          <w:tcPr>
            <w:tcW w:w="2580" w:type="dxa"/>
            <w:vAlign w:val="bottom"/>
            <w:gridSpan w:val="8"/>
            <w:shd w:val="clear" w:color="auto" w:fill="FF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460" w:type="dxa"/>
            <w:vAlign w:val="bottom"/>
            <w:gridSpan w:val="2"/>
            <w:vMerge w:val="restart"/>
          </w:tcPr>
          <w:p>
            <w:pPr>
              <w:ind w:left="640"/>
              <w:spacing w:after="0"/>
              <w:rPr>
                <w:sz w:val="20"/>
                <w:szCs w:val="20"/>
                <w:color w:val="auto"/>
              </w:rPr>
            </w:pPr>
            <w:r>
              <w:rPr>
                <w:rFonts w:ascii="Times New Roman" w:cs="Times New Roman" w:eastAsia="Times New Roman" w:hAnsi="Times New Roman"/>
                <w:sz w:val="20"/>
                <w:szCs w:val="20"/>
                <w:color w:val="auto"/>
              </w:rPr>
              <w:t>SECTION 5.1 Interest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79"/>
              </w:rPr>
              <w:t>69</w:t>
            </w:r>
          </w:p>
        </w:tc>
        <w:tc>
          <w:tcPr>
            <w:tcW w:w="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9"/>
                <w:szCs w:val="19"/>
                <w:color w:val="0000FF"/>
                <w:w w:val="73"/>
              </w:rPr>
              <w:t>70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auto"/>
                <w:w w:val="76"/>
              </w:rPr>
              <w:t>LOAN</w:t>
            </w:r>
          </w:p>
        </w:tc>
        <w:tc>
          <w:tcPr>
            <w:tcW w:w="1340" w:type="dxa"/>
            <w:vAlign w:val="bottom"/>
            <w:gridSpan w:val="2"/>
          </w:tcPr>
          <w:p>
            <w:pPr>
              <w:ind w:left="80"/>
              <w:spacing w:after="0" w:line="181" w:lineRule="exact"/>
              <w:rPr>
                <w:sz w:val="20"/>
                <w:szCs w:val="20"/>
                <w:color w:val="auto"/>
              </w:rPr>
            </w:pPr>
            <w:r>
              <w:rPr>
                <w:rFonts w:ascii="Times New Roman" w:cs="Times New Roman" w:eastAsia="Times New Roman" w:hAnsi="Times New Roman"/>
                <w:sz w:val="20"/>
                <w:szCs w:val="20"/>
                <w:color w:val="auto"/>
              </w:rPr>
              <w:t>PROVISIONS</w:t>
            </w:r>
          </w:p>
        </w:tc>
        <w:tc>
          <w:tcPr>
            <w:tcW w:w="280" w:type="dxa"/>
            <w:vAlign w:val="bottom"/>
          </w:tcPr>
          <w:p>
            <w:pPr>
              <w:spacing w:after="0"/>
              <w:rPr>
                <w:sz w:val="15"/>
                <w:szCs w:val="15"/>
                <w:color w:val="auto"/>
              </w:rPr>
            </w:pPr>
          </w:p>
        </w:tc>
        <w:tc>
          <w:tcPr>
            <w:tcW w:w="200" w:type="dxa"/>
            <w:vAlign w:val="bottom"/>
          </w:tcPr>
          <w:p>
            <w:pPr>
              <w:jc w:val="right"/>
              <w:spacing w:after="0" w:line="181" w:lineRule="exact"/>
              <w:rPr>
                <w:sz w:val="20"/>
                <w:szCs w:val="20"/>
                <w:color w:val="auto"/>
              </w:rPr>
            </w:pPr>
            <w:r>
              <w:rPr>
                <w:rFonts w:ascii="Times New Roman" w:cs="Times New Roman" w:eastAsia="Times New Roman" w:hAnsi="Times New Roman"/>
                <w:sz w:val="20"/>
                <w:szCs w:val="20"/>
                <w:color w:val="FF0000"/>
                <w:strike w:val="1"/>
                <w:w w:val="89"/>
              </w:rPr>
              <w:t>69</w:t>
            </w:r>
          </w:p>
        </w:tc>
        <w:tc>
          <w:tcPr>
            <w:tcW w:w="200" w:type="dxa"/>
            <w:vAlign w:val="bottom"/>
          </w:tcPr>
          <w:p>
            <w:pPr>
              <w:jc w:val="right"/>
              <w:spacing w:after="0" w:line="181" w:lineRule="exact"/>
              <w:rPr>
                <w:sz w:val="20"/>
                <w:szCs w:val="20"/>
                <w:color w:val="auto"/>
              </w:rPr>
            </w:pPr>
            <w:r>
              <w:rPr>
                <w:rFonts w:ascii="Times New Roman" w:cs="Times New Roman" w:eastAsia="Times New Roman" w:hAnsi="Times New Roman"/>
                <w:sz w:val="20"/>
                <w:szCs w:val="20"/>
                <w:color w:val="0000FF"/>
                <w:w w:val="89"/>
              </w:rPr>
              <w:t>70</w:t>
            </w:r>
          </w:p>
        </w:tc>
        <w:tc>
          <w:tcPr>
            <w:tcW w:w="0" w:type="dxa"/>
            <w:vAlign w:val="bottom"/>
          </w:tcPr>
          <w:p>
            <w:pPr>
              <w:spacing w:after="0"/>
              <w:rPr>
                <w:sz w:val="1"/>
                <w:szCs w:val="1"/>
                <w:color w:val="auto"/>
              </w:rPr>
            </w:pPr>
          </w:p>
        </w:tc>
      </w:tr>
      <w:tr>
        <w:trPr>
          <w:trHeight w:val="261"/>
        </w:trPr>
        <w:tc>
          <w:tcPr>
            <w:tcW w:w="2460" w:type="dxa"/>
            <w:vAlign w:val="bottom"/>
            <w:gridSpan w:val="2"/>
            <w:vMerge w:val="continue"/>
          </w:tcPr>
          <w:p>
            <w:pPr>
              <w:spacing w:after="0"/>
              <w:rPr>
                <w:sz w:val="22"/>
                <w:szCs w:val="22"/>
                <w:color w:val="auto"/>
              </w:rPr>
            </w:pPr>
          </w:p>
        </w:tc>
        <w:tc>
          <w:tcPr>
            <w:tcW w:w="220" w:type="dxa"/>
            <w:vAlign w:val="bottom"/>
            <w:vMerge w:val="continue"/>
          </w:tcPr>
          <w:p>
            <w:pPr>
              <w:spacing w:after="0"/>
              <w:rPr>
                <w:sz w:val="22"/>
                <w:szCs w:val="22"/>
                <w:color w:val="auto"/>
              </w:rPr>
            </w:pPr>
          </w:p>
        </w:tc>
        <w:tc>
          <w:tcPr>
            <w:tcW w:w="180" w:type="dxa"/>
            <w:vAlign w:val="bottom"/>
            <w:gridSpan w:val="2"/>
            <w:vMerge w:val="continue"/>
          </w:tcPr>
          <w:p>
            <w:pPr>
              <w:spacing w:after="0"/>
              <w:rPr>
                <w:sz w:val="22"/>
                <w:szCs w:val="22"/>
                <w:color w:val="auto"/>
              </w:rPr>
            </w:pPr>
          </w:p>
        </w:tc>
        <w:tc>
          <w:tcPr>
            <w:tcW w:w="6920" w:type="dxa"/>
            <w:vAlign w:val="bottom"/>
            <w:gridSpan w:val="49"/>
          </w:tcPr>
          <w:p>
            <w:pPr>
              <w:spacing w:after="0"/>
              <w:rPr>
                <w:sz w:val="22"/>
                <w:szCs w:val="22"/>
                <w:color w:val="auto"/>
              </w:rPr>
            </w:pPr>
          </w:p>
        </w:tc>
        <w:tc>
          <w:tcPr>
            <w:tcW w:w="380" w:type="dxa"/>
            <w:vAlign w:val="bottom"/>
            <w:tcBorders>
              <w:top w:val="single" w:sz="8" w:color="FF0000"/>
            </w:tcBorders>
            <w:gridSpan w:val="2"/>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80" w:type="dxa"/>
            <w:vAlign w:val="bottom"/>
            <w:tcBorders>
              <w:right w:val="single" w:sz="8" w:color="0000FF"/>
            </w:tcBorders>
            <w:gridSpan w:val="3"/>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560" w:type="dxa"/>
            <w:vAlign w:val="bottom"/>
            <w:gridSpan w:val="42"/>
          </w:tcPr>
          <w:p>
            <w:pPr>
              <w:ind w:left="640"/>
              <w:spacing w:after="0"/>
              <w:rPr>
                <w:sz w:val="20"/>
                <w:szCs w:val="20"/>
                <w:color w:val="auto"/>
              </w:rPr>
            </w:pPr>
            <w:r>
              <w:rPr>
                <w:rFonts w:ascii="Times New Roman" w:cs="Times New Roman" w:eastAsia="Times New Roman" w:hAnsi="Times New Roman"/>
                <w:sz w:val="20"/>
                <w:szCs w:val="20"/>
                <w:color w:val="auto"/>
                <w:w w:val="98"/>
              </w:rPr>
              <w:t>SECTION 5.2 Notice and Manner of Conversion or Continuation of Loans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FF0000"/>
                <w:strike w:val="1"/>
                <w:w w:val="89"/>
              </w:rPr>
              <w:t>72</w:t>
            </w:r>
          </w:p>
        </w:tc>
        <w:tc>
          <w:tcPr>
            <w:tcW w:w="680" w:type="dxa"/>
            <w:vAlign w:val="bottom"/>
            <w:gridSpan w:val="3"/>
          </w:tcPr>
          <w:p>
            <w:pPr>
              <w:jc w:val="center"/>
              <w:ind w:right="480"/>
              <w:spacing w:after="0"/>
              <w:rPr>
                <w:sz w:val="20"/>
                <w:szCs w:val="20"/>
                <w:color w:val="auto"/>
              </w:rPr>
            </w:pPr>
            <w:r>
              <w:rPr>
                <w:rFonts w:ascii="Times New Roman" w:cs="Times New Roman" w:eastAsia="Times New Roman" w:hAnsi="Times New Roman"/>
                <w:sz w:val="20"/>
                <w:szCs w:val="20"/>
                <w:color w:val="0000FF"/>
                <w:w w:val="99"/>
              </w:rPr>
              <w:t>73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360" w:type="dxa"/>
            <w:vAlign w:val="bottom"/>
          </w:tcPr>
          <w:p>
            <w:pPr>
              <w:ind w:left="640"/>
              <w:spacing w:after="0" w:line="228" w:lineRule="exact"/>
              <w:rPr>
                <w:sz w:val="20"/>
                <w:szCs w:val="20"/>
                <w:color w:val="auto"/>
              </w:rPr>
            </w:pPr>
            <w:r>
              <w:rPr>
                <w:rFonts w:ascii="Times New Roman" w:cs="Times New Roman" w:eastAsia="Times New Roman" w:hAnsi="Times New Roman"/>
                <w:sz w:val="20"/>
                <w:szCs w:val="20"/>
                <w:color w:val="auto"/>
              </w:rPr>
              <w:t>SECTION 5.3 Fees</w:t>
            </w:r>
          </w:p>
        </w:tc>
        <w:tc>
          <w:tcPr>
            <w:tcW w:w="4400" w:type="dxa"/>
            <w:vAlign w:val="bottom"/>
            <w:gridSpan w:val="43"/>
          </w:tcPr>
          <w:p>
            <w:pPr>
              <w:jc w:val="right"/>
              <w:ind w:right="4102"/>
              <w:spacing w:after="0" w:line="228" w:lineRule="exact"/>
              <w:rPr>
                <w:sz w:val="20"/>
                <w:szCs w:val="20"/>
                <w:color w:val="auto"/>
              </w:rPr>
            </w:pPr>
            <w:r>
              <w:rPr>
                <w:rFonts w:ascii="Times New Roman" w:cs="Times New Roman" w:eastAsia="Times New Roman" w:hAnsi="Times New Roman"/>
                <w:sz w:val="20"/>
                <w:szCs w:val="20"/>
                <w:color w:val="auto"/>
                <w:w w:val="89"/>
              </w:rPr>
              <w:t>73</w:t>
            </w:r>
          </w:p>
        </w:tc>
        <w:tc>
          <w:tcPr>
            <w:tcW w:w="200" w:type="dxa"/>
            <w:vAlign w:val="bottom"/>
            <w:tcBorders>
              <w:top w:val="single" w:sz="8" w:color="0000FF"/>
            </w:tcBorders>
            <w:gridSpan w:val="2"/>
          </w:tcPr>
          <w:p>
            <w:pPr>
              <w:spacing w:after="0"/>
              <w:rPr>
                <w:sz w:val="19"/>
                <w:szCs w:val="19"/>
                <w:color w:val="auto"/>
              </w:rPr>
            </w:pPr>
          </w:p>
        </w:tc>
        <w:tc>
          <w:tcPr>
            <w:tcW w:w="3600" w:type="dxa"/>
            <w:vAlign w:val="bottom"/>
            <w:gridSpan w:val="12"/>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20" w:type="dxa"/>
            <w:vAlign w:val="bottom"/>
            <w:gridSpan w:val="10"/>
          </w:tcPr>
          <w:p>
            <w:pPr>
              <w:ind w:left="640"/>
              <w:spacing w:after="0" w:line="213" w:lineRule="exact"/>
              <w:rPr>
                <w:sz w:val="20"/>
                <w:szCs w:val="20"/>
                <w:color w:val="auto"/>
              </w:rPr>
            </w:pPr>
            <w:r>
              <w:rPr>
                <w:rFonts w:ascii="Times New Roman" w:cs="Times New Roman" w:eastAsia="Times New Roman" w:hAnsi="Times New Roman"/>
                <w:sz w:val="20"/>
                <w:szCs w:val="20"/>
                <w:color w:val="auto"/>
                <w:w w:val="99"/>
              </w:rPr>
              <w:t>SECTION 5.4 Manner of Payment</w:t>
            </w:r>
          </w:p>
        </w:tc>
        <w:tc>
          <w:tcPr>
            <w:tcW w:w="200" w:type="dxa"/>
            <w:vAlign w:val="bottom"/>
          </w:tcPr>
          <w:p>
            <w:pPr>
              <w:jc w:val="right"/>
              <w:spacing w:after="0" w:line="213" w:lineRule="exact"/>
              <w:rPr>
                <w:sz w:val="20"/>
                <w:szCs w:val="20"/>
                <w:color w:val="auto"/>
              </w:rPr>
            </w:pPr>
            <w:r>
              <w:rPr>
                <w:rFonts w:ascii="Times New Roman" w:cs="Times New Roman" w:eastAsia="Times New Roman" w:hAnsi="Times New Roman"/>
                <w:sz w:val="20"/>
                <w:szCs w:val="20"/>
                <w:color w:val="FF0000"/>
                <w:strike w:val="1"/>
                <w:w w:val="89"/>
              </w:rPr>
              <w:t>73</w:t>
            </w:r>
          </w:p>
        </w:tc>
        <w:tc>
          <w:tcPr>
            <w:tcW w:w="200" w:type="dxa"/>
            <w:vAlign w:val="bottom"/>
            <w:tcBorders>
              <w:bottom w:val="single" w:sz="8" w:color="0000FF"/>
            </w:tcBorders>
            <w:gridSpan w:val="2"/>
          </w:tcPr>
          <w:p>
            <w:pPr>
              <w:spacing w:after="0" w:line="213" w:lineRule="exact"/>
              <w:rPr>
                <w:sz w:val="20"/>
                <w:szCs w:val="20"/>
                <w:color w:val="auto"/>
              </w:rPr>
            </w:pPr>
            <w:r>
              <w:rPr>
                <w:rFonts w:ascii="Times New Roman" w:cs="Times New Roman" w:eastAsia="Times New Roman" w:hAnsi="Times New Roman"/>
                <w:sz w:val="20"/>
                <w:szCs w:val="20"/>
                <w:color w:val="0000FF"/>
                <w:w w:val="89"/>
              </w:rPr>
              <w:t>74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3840" w:type="dxa"/>
            <w:vAlign w:val="bottom"/>
            <w:gridSpan w:val="14"/>
          </w:tcPr>
          <w:p>
            <w:pPr>
              <w:ind w:left="640"/>
              <w:spacing w:after="0"/>
              <w:rPr>
                <w:sz w:val="20"/>
                <w:szCs w:val="20"/>
                <w:color w:val="auto"/>
              </w:rPr>
            </w:pPr>
            <w:r>
              <w:rPr>
                <w:rFonts w:ascii="Times New Roman" w:cs="Times New Roman" w:eastAsia="Times New Roman" w:hAnsi="Times New Roman"/>
                <w:sz w:val="20"/>
                <w:szCs w:val="20"/>
                <w:color w:val="auto"/>
                <w:w w:val="97"/>
              </w:rPr>
              <w:t>SECTION 5.5 Evidence of Indebtedness</w:t>
            </w:r>
          </w:p>
        </w:tc>
        <w:tc>
          <w:tcPr>
            <w:tcW w:w="540" w:type="dxa"/>
            <w:vAlign w:val="bottom"/>
            <w:gridSpan w:val="7"/>
          </w:tcPr>
          <w:p>
            <w:pPr>
              <w:jc w:val="right"/>
              <w:ind w:right="62"/>
              <w:spacing w:after="0"/>
              <w:rPr>
                <w:sz w:val="20"/>
                <w:szCs w:val="20"/>
                <w:color w:val="auto"/>
              </w:rPr>
            </w:pPr>
            <w:r>
              <w:rPr>
                <w:rFonts w:ascii="Times New Roman" w:cs="Times New Roman" w:eastAsia="Times New Roman" w:hAnsi="Times New Roman"/>
                <w:sz w:val="20"/>
                <w:szCs w:val="20"/>
                <w:color w:val="auto"/>
              </w:rPr>
              <w:t>74</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420" w:type="dxa"/>
            <w:vAlign w:val="bottom"/>
            <w:gridSpan w:val="22"/>
          </w:tcPr>
          <w:p>
            <w:pPr>
              <w:ind w:left="640"/>
              <w:spacing w:after="0" w:line="223" w:lineRule="exact"/>
              <w:rPr>
                <w:sz w:val="20"/>
                <w:szCs w:val="20"/>
                <w:color w:val="auto"/>
              </w:rPr>
            </w:pPr>
            <w:r>
              <w:rPr>
                <w:rFonts w:ascii="Times New Roman" w:cs="Times New Roman" w:eastAsia="Times New Roman" w:hAnsi="Times New Roman"/>
                <w:sz w:val="20"/>
                <w:szCs w:val="20"/>
                <w:color w:val="auto"/>
                <w:w w:val="98"/>
              </w:rPr>
              <w:t>SECTION 5.6 Sharing of Payments by Lenders</w:t>
            </w:r>
          </w:p>
        </w:tc>
        <w:tc>
          <w:tcPr>
            <w:tcW w:w="20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89"/>
              </w:rPr>
              <w:t>74</w:t>
            </w:r>
          </w:p>
        </w:tc>
        <w:tc>
          <w:tcPr>
            <w:tcW w:w="200" w:type="dxa"/>
            <w:vAlign w:val="bottom"/>
            <w:tcBorders>
              <w:bottom w:val="single" w:sz="8" w:color="0000FF"/>
            </w:tcBorders>
            <w:gridSpan w:val="2"/>
          </w:tcPr>
          <w:p>
            <w:pPr>
              <w:spacing w:after="0" w:line="223" w:lineRule="exact"/>
              <w:rPr>
                <w:sz w:val="20"/>
                <w:szCs w:val="20"/>
                <w:color w:val="auto"/>
              </w:rPr>
            </w:pPr>
            <w:r>
              <w:rPr>
                <w:rFonts w:ascii="Times New Roman" w:cs="Times New Roman" w:eastAsia="Times New Roman" w:hAnsi="Times New Roman"/>
                <w:sz w:val="20"/>
                <w:szCs w:val="20"/>
                <w:color w:val="0000FF"/>
                <w:w w:val="89"/>
              </w:rPr>
              <w:t>75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540" w:type="dxa"/>
            <w:vAlign w:val="bottom"/>
            <w:gridSpan w:val="24"/>
          </w:tcPr>
          <w:p>
            <w:pPr>
              <w:ind w:left="640"/>
              <w:spacing w:after="0"/>
              <w:rPr>
                <w:sz w:val="20"/>
                <w:szCs w:val="20"/>
                <w:color w:val="auto"/>
              </w:rPr>
            </w:pPr>
            <w:r>
              <w:rPr>
                <w:rFonts w:ascii="Times New Roman" w:cs="Times New Roman" w:eastAsia="Times New Roman" w:hAnsi="Times New Roman"/>
                <w:sz w:val="20"/>
                <w:szCs w:val="20"/>
                <w:color w:val="auto"/>
                <w:w w:val="98"/>
              </w:rPr>
              <w:t>SECTION 5.7 Administrative Agent’s Clawback</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FF0000"/>
                <w:strike w:val="1"/>
                <w:w w:val="79"/>
              </w:rPr>
              <w:t>75</w:t>
            </w:r>
          </w:p>
        </w:tc>
        <w:tc>
          <w:tcPr>
            <w:tcW w:w="320" w:type="dxa"/>
            <w:vAlign w:val="bottom"/>
            <w:gridSpan w:val="4"/>
          </w:tcPr>
          <w:p>
            <w:pPr>
              <w:jc w:val="right"/>
              <w:ind w:right="180"/>
              <w:spacing w:after="0"/>
              <w:rPr>
                <w:sz w:val="20"/>
                <w:szCs w:val="20"/>
                <w:color w:val="auto"/>
              </w:rPr>
            </w:pPr>
            <w:r>
              <w:rPr>
                <w:rFonts w:ascii="Times New Roman" w:cs="Times New Roman" w:eastAsia="Times New Roman" w:hAnsi="Times New Roman"/>
                <w:sz w:val="17"/>
                <w:szCs w:val="17"/>
                <w:color w:val="0000FF"/>
                <w:w w:val="70"/>
              </w:rPr>
              <w:t>76</w:t>
            </w:r>
          </w:p>
        </w:tc>
        <w:tc>
          <w:tcPr>
            <w:tcW w:w="26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760" w:type="dxa"/>
            <w:vAlign w:val="bottom"/>
            <w:gridSpan w:val="12"/>
          </w:tcPr>
          <w:p>
            <w:pPr>
              <w:ind w:left="640"/>
              <w:spacing w:after="0" w:line="174" w:lineRule="exact"/>
              <w:rPr>
                <w:sz w:val="20"/>
                <w:szCs w:val="20"/>
                <w:color w:val="auto"/>
              </w:rPr>
            </w:pPr>
            <w:r>
              <w:rPr>
                <w:rFonts w:ascii="Times New Roman" w:cs="Times New Roman" w:eastAsia="Times New Roman" w:hAnsi="Times New Roman"/>
                <w:sz w:val="20"/>
                <w:szCs w:val="20"/>
                <w:color w:val="auto"/>
                <w:w w:val="98"/>
              </w:rPr>
              <w:t>SECTION 5.8 Changed Circumstances</w:t>
            </w:r>
          </w:p>
        </w:tc>
        <w:tc>
          <w:tcPr>
            <w:tcW w:w="220" w:type="dxa"/>
            <w:vAlign w:val="bottom"/>
            <w:gridSpan w:val="5"/>
          </w:tcPr>
          <w:p>
            <w:pPr>
              <w:jc w:val="right"/>
              <w:spacing w:after="0" w:line="174" w:lineRule="exact"/>
              <w:rPr>
                <w:sz w:val="20"/>
                <w:szCs w:val="20"/>
                <w:color w:val="auto"/>
              </w:rPr>
            </w:pPr>
            <w:r>
              <w:rPr>
                <w:rFonts w:ascii="Times New Roman" w:cs="Times New Roman" w:eastAsia="Times New Roman" w:hAnsi="Times New Roman"/>
                <w:sz w:val="20"/>
                <w:szCs w:val="20"/>
                <w:color w:val="FF0000"/>
                <w:strike w:val="1"/>
                <w:w w:val="89"/>
              </w:rPr>
              <w:t>76</w:t>
            </w:r>
          </w:p>
        </w:tc>
        <w:tc>
          <w:tcPr>
            <w:tcW w:w="180" w:type="dxa"/>
            <w:vAlign w:val="bottom"/>
            <w:tcBorders>
              <w:bottom w:val="single" w:sz="8" w:color="0000FF"/>
            </w:tcBorders>
            <w:gridSpan w:val="2"/>
          </w:tcPr>
          <w:p>
            <w:pPr>
              <w:jc w:val="right"/>
              <w:spacing w:after="0" w:line="174" w:lineRule="exact"/>
              <w:rPr>
                <w:sz w:val="20"/>
                <w:szCs w:val="20"/>
                <w:color w:val="auto"/>
              </w:rPr>
            </w:pPr>
            <w:r>
              <w:rPr>
                <w:rFonts w:ascii="Times New Roman" w:cs="Times New Roman" w:eastAsia="Times New Roman" w:hAnsi="Times New Roman"/>
                <w:sz w:val="20"/>
                <w:szCs w:val="20"/>
                <w:color w:val="0000FF"/>
                <w:w w:val="79"/>
              </w:rPr>
              <w:t>77</w:t>
            </w:r>
          </w:p>
        </w:tc>
        <w:tc>
          <w:tcPr>
            <w:tcW w:w="40" w:type="dxa"/>
            <w:vAlign w:val="bottom"/>
          </w:tcPr>
          <w:p>
            <w:pPr>
              <w:spacing w:after="0"/>
              <w:rPr>
                <w:sz w:val="15"/>
                <w:szCs w:val="15"/>
                <w:color w:val="auto"/>
              </w:rPr>
            </w:pPr>
          </w:p>
        </w:tc>
        <w:tc>
          <w:tcPr>
            <w:tcW w:w="22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80" w:type="dxa"/>
            <w:vAlign w:val="bottom"/>
            <w:gridSpan w:val="3"/>
          </w:tcPr>
          <w:p>
            <w:pPr>
              <w:ind w:left="640"/>
              <w:spacing w:after="0" w:line="181" w:lineRule="exact"/>
              <w:rPr>
                <w:sz w:val="20"/>
                <w:szCs w:val="20"/>
                <w:color w:val="auto"/>
              </w:rPr>
            </w:pPr>
            <w:r>
              <w:rPr>
                <w:rFonts w:ascii="Times New Roman" w:cs="Times New Roman" w:eastAsia="Times New Roman" w:hAnsi="Times New Roman"/>
                <w:sz w:val="20"/>
                <w:szCs w:val="20"/>
                <w:color w:val="auto"/>
                <w:w w:val="99"/>
              </w:rPr>
              <w:t>SECTION 5.9 Indemnity</w:t>
            </w:r>
          </w:p>
        </w:tc>
        <w:tc>
          <w:tcPr>
            <w:tcW w:w="18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20"/>
                <w:szCs w:val="20"/>
                <w:color w:val="FF0000"/>
                <w:strike w:val="1"/>
                <w:w w:val="79"/>
              </w:rPr>
              <w:t>80</w:t>
            </w:r>
          </w:p>
        </w:tc>
        <w:tc>
          <w:tcPr>
            <w:tcW w:w="32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20"/>
                <w:szCs w:val="20"/>
                <w:color w:val="0000FF"/>
                <w:w w:val="89"/>
              </w:rPr>
              <w:t>81</w:t>
            </w:r>
          </w:p>
        </w:tc>
        <w:tc>
          <w:tcPr>
            <w:tcW w:w="100" w:type="dxa"/>
            <w:vAlign w:val="bottom"/>
          </w:tcPr>
          <w:p>
            <w:pPr>
              <w:spacing w:after="0"/>
              <w:rPr>
                <w:sz w:val="15"/>
                <w:szCs w:val="15"/>
                <w:color w:val="auto"/>
              </w:rPr>
            </w:pPr>
          </w:p>
        </w:tc>
        <w:tc>
          <w:tcPr>
            <w:tcW w:w="34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81</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60" w:type="dxa"/>
            <w:vAlign w:val="bottom"/>
            <w:gridSpan w:val="5"/>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060" w:type="dxa"/>
            <w:vAlign w:val="bottom"/>
            <w:gridSpan w:val="6"/>
          </w:tcPr>
          <w:p>
            <w:pPr>
              <w:ind w:left="640"/>
              <w:spacing w:after="0" w:line="172" w:lineRule="exact"/>
              <w:rPr>
                <w:sz w:val="20"/>
                <w:szCs w:val="20"/>
                <w:color w:val="auto"/>
              </w:rPr>
            </w:pPr>
            <w:r>
              <w:rPr>
                <w:rFonts w:ascii="Times New Roman" w:cs="Times New Roman" w:eastAsia="Times New Roman" w:hAnsi="Times New Roman"/>
                <w:sz w:val="19"/>
                <w:szCs w:val="19"/>
                <w:color w:val="auto"/>
                <w:w w:val="98"/>
              </w:rPr>
              <w:t>SECTION 5.10 Increased Costs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2360" w:type="dxa"/>
            <w:vAlign w:val="bottom"/>
          </w:tcPr>
          <w:p>
            <w:pPr>
              <w:ind w:left="640"/>
              <w:spacing w:after="0"/>
              <w:rPr>
                <w:sz w:val="20"/>
                <w:szCs w:val="20"/>
                <w:color w:val="auto"/>
              </w:rPr>
            </w:pPr>
            <w:r>
              <w:rPr>
                <w:rFonts w:ascii="Times New Roman" w:cs="Times New Roman" w:eastAsia="Times New Roman" w:hAnsi="Times New Roman"/>
                <w:sz w:val="20"/>
                <w:szCs w:val="20"/>
                <w:color w:val="auto"/>
                <w:w w:val="95"/>
              </w:rPr>
              <w:t>SECTION 5.11 Taxes</w:t>
            </w:r>
          </w:p>
        </w:tc>
        <w:tc>
          <w:tcPr>
            <w:tcW w:w="8200" w:type="dxa"/>
            <w:vAlign w:val="bottom"/>
            <w:gridSpan w:val="57"/>
          </w:tcPr>
          <w:p>
            <w:pPr>
              <w:jc w:val="right"/>
              <w:ind w:right="7702"/>
              <w:spacing w:after="0"/>
              <w:rPr>
                <w:sz w:val="20"/>
                <w:szCs w:val="20"/>
                <w:color w:val="auto"/>
              </w:rPr>
            </w:pPr>
            <w:r>
              <w:rPr>
                <w:rFonts w:ascii="Times New Roman" w:cs="Times New Roman" w:eastAsia="Times New Roman" w:hAnsi="Times New Roman"/>
                <w:sz w:val="20"/>
                <w:szCs w:val="20"/>
                <w:color w:val="auto"/>
              </w:rPr>
              <w:t>82</w:t>
            </w:r>
          </w:p>
        </w:tc>
        <w:tc>
          <w:tcPr>
            <w:tcW w:w="0" w:type="dxa"/>
            <w:vAlign w:val="bottom"/>
          </w:tcPr>
          <w:p>
            <w:pPr>
              <w:spacing w:after="0"/>
              <w:rPr>
                <w:sz w:val="1"/>
                <w:szCs w:val="1"/>
                <w:color w:val="auto"/>
              </w:rPr>
            </w:pPr>
          </w:p>
        </w:tc>
      </w:tr>
      <w:tr>
        <w:trPr>
          <w:trHeight w:val="357"/>
        </w:trPr>
        <w:tc>
          <w:tcPr>
            <w:tcW w:w="5780" w:type="dxa"/>
            <w:vAlign w:val="bottom"/>
            <w:gridSpan w:val="36"/>
          </w:tcPr>
          <w:p>
            <w:pPr>
              <w:ind w:left="640"/>
              <w:spacing w:after="0"/>
              <w:rPr>
                <w:sz w:val="20"/>
                <w:szCs w:val="20"/>
                <w:color w:val="auto"/>
              </w:rPr>
            </w:pPr>
            <w:r>
              <w:rPr>
                <w:rFonts w:ascii="Times New Roman" w:cs="Times New Roman" w:eastAsia="Times New Roman" w:hAnsi="Times New Roman"/>
                <w:sz w:val="20"/>
                <w:szCs w:val="20"/>
                <w:color w:val="auto"/>
                <w:w w:val="98"/>
              </w:rPr>
              <w:t>SECTION 5.12 Mitigation Obligations; Replacement of Lenders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FF0000"/>
                <w:strike w:val="1"/>
                <w:w w:val="89"/>
              </w:rPr>
              <w:t>85</w:t>
            </w: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20"/>
                <w:szCs w:val="20"/>
                <w:color w:val="0000FF"/>
                <w:w w:val="89"/>
              </w:rPr>
              <w:t>86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200" w:type="dxa"/>
            <w:vAlign w:val="bottom"/>
            <w:gridSpan w:val="2"/>
          </w:tcPr>
          <w:p>
            <w:pPr>
              <w:spacing w:after="0"/>
              <w:rPr>
                <w:sz w:val="24"/>
                <w:szCs w:val="24"/>
                <w:color w:val="auto"/>
              </w:rPr>
            </w:pPr>
          </w:p>
        </w:tc>
        <w:tc>
          <w:tcPr>
            <w:tcW w:w="50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3620" w:type="dxa"/>
            <w:vAlign w:val="bottom"/>
            <w:gridSpan w:val="11"/>
          </w:tcPr>
          <w:p>
            <w:pPr>
              <w:ind w:left="640"/>
              <w:spacing w:after="0"/>
              <w:rPr>
                <w:sz w:val="20"/>
                <w:szCs w:val="20"/>
                <w:color w:val="auto"/>
              </w:rPr>
            </w:pPr>
            <w:r>
              <w:rPr>
                <w:rFonts w:ascii="Times New Roman" w:cs="Times New Roman" w:eastAsia="Times New Roman" w:hAnsi="Times New Roman"/>
                <w:sz w:val="20"/>
                <w:szCs w:val="20"/>
                <w:color w:val="auto"/>
              </w:rPr>
              <w:t>SECTION 5.13 Incremental Loans</w:t>
            </w:r>
          </w:p>
        </w:tc>
        <w:tc>
          <w:tcPr>
            <w:tcW w:w="20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89"/>
              </w:rPr>
              <w:t>87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180" w:type="dxa"/>
            <w:vAlign w:val="bottom"/>
            <w:gridSpan w:val="7"/>
          </w:tcPr>
          <w:p>
            <w:pPr>
              <w:ind w:left="640"/>
              <w:spacing w:after="0" w:line="210" w:lineRule="exact"/>
              <w:rPr>
                <w:sz w:val="20"/>
                <w:szCs w:val="20"/>
                <w:color w:val="auto"/>
              </w:rPr>
            </w:pPr>
            <w:r>
              <w:rPr>
                <w:rFonts w:ascii="Times New Roman" w:cs="Times New Roman" w:eastAsia="Times New Roman" w:hAnsi="Times New Roman"/>
                <w:sz w:val="20"/>
                <w:szCs w:val="20"/>
                <w:color w:val="auto"/>
                <w:w w:val="99"/>
              </w:rPr>
              <w:t>SECTION 5.14 Cash Collateral</w:t>
            </w:r>
          </w:p>
        </w:tc>
        <w:tc>
          <w:tcPr>
            <w:tcW w:w="200" w:type="dxa"/>
            <w:vAlign w:val="bottom"/>
            <w:gridSpan w:val="2"/>
          </w:tcPr>
          <w:p>
            <w:pPr>
              <w:jc w:val="right"/>
              <w:spacing w:after="0" w:line="210" w:lineRule="exact"/>
              <w:rPr>
                <w:sz w:val="20"/>
                <w:szCs w:val="20"/>
                <w:color w:val="auto"/>
              </w:rPr>
            </w:pPr>
            <w:r>
              <w:rPr>
                <w:rFonts w:ascii="Times New Roman" w:cs="Times New Roman" w:eastAsia="Times New Roman" w:hAnsi="Times New Roman"/>
                <w:sz w:val="20"/>
                <w:szCs w:val="20"/>
                <w:color w:val="FF0000"/>
                <w:strike w:val="1"/>
                <w:w w:val="89"/>
              </w:rPr>
              <w:t>90</w:t>
            </w:r>
          </w:p>
        </w:tc>
        <w:tc>
          <w:tcPr>
            <w:tcW w:w="240" w:type="dxa"/>
            <w:vAlign w:val="bottom"/>
            <w:tcBorders>
              <w:bottom w:val="single" w:sz="8" w:color="0000FF"/>
            </w:tcBorders>
            <w:gridSpan w:val="2"/>
          </w:tcPr>
          <w:p>
            <w:pPr>
              <w:spacing w:after="0" w:line="210" w:lineRule="exact"/>
              <w:rPr>
                <w:sz w:val="20"/>
                <w:szCs w:val="20"/>
                <w:color w:val="auto"/>
              </w:rPr>
            </w:pPr>
            <w:r>
              <w:rPr>
                <w:rFonts w:ascii="Times New Roman" w:cs="Times New Roman" w:eastAsia="Times New Roman" w:hAnsi="Times New Roman"/>
                <w:sz w:val="20"/>
                <w:szCs w:val="20"/>
                <w:color w:val="0000FF"/>
                <w:w w:val="99"/>
              </w:rPr>
              <w:t>91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3620" w:type="dxa"/>
            <w:vAlign w:val="bottom"/>
            <w:gridSpan w:val="11"/>
          </w:tcPr>
          <w:p>
            <w:pPr>
              <w:ind w:left="640"/>
              <w:spacing w:after="0"/>
              <w:rPr>
                <w:sz w:val="20"/>
                <w:szCs w:val="20"/>
                <w:color w:val="auto"/>
              </w:rPr>
            </w:pPr>
            <w:r>
              <w:rPr>
                <w:rFonts w:ascii="Times New Roman" w:cs="Times New Roman" w:eastAsia="Times New Roman" w:hAnsi="Times New Roman"/>
                <w:sz w:val="20"/>
                <w:szCs w:val="20"/>
                <w:color w:val="auto"/>
              </w:rPr>
              <w:t>SECTION 5.15 Defaulting Lenders</w:t>
            </w:r>
          </w:p>
        </w:tc>
        <w:tc>
          <w:tcPr>
            <w:tcW w:w="22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9"/>
              </w:rPr>
              <w:t>91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540" w:type="dxa"/>
            <w:vAlign w:val="bottom"/>
            <w:gridSpan w:val="41"/>
          </w:tcPr>
          <w:p>
            <w:pPr>
              <w:ind w:left="640"/>
              <w:spacing w:after="0" w:line="223" w:lineRule="exact"/>
              <w:rPr>
                <w:sz w:val="20"/>
                <w:szCs w:val="20"/>
                <w:color w:val="auto"/>
              </w:rPr>
            </w:pPr>
            <w:r>
              <w:rPr>
                <w:rFonts w:ascii="Times New Roman" w:cs="Times New Roman" w:eastAsia="Times New Roman" w:hAnsi="Times New Roman"/>
                <w:sz w:val="20"/>
                <w:szCs w:val="20"/>
                <w:color w:val="auto"/>
                <w:w w:val="98"/>
              </w:rPr>
              <w:t>SECTION 5.16 Centuri as Agent for the Borrowers; Nature of Obligations</w:t>
            </w:r>
          </w:p>
        </w:tc>
        <w:tc>
          <w:tcPr>
            <w:tcW w:w="2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89"/>
              </w:rPr>
              <w:t>93</w:t>
            </w:r>
          </w:p>
        </w:tc>
        <w:tc>
          <w:tcPr>
            <w:tcW w:w="700" w:type="dxa"/>
            <w:vAlign w:val="bottom"/>
            <w:gridSpan w:val="4"/>
          </w:tcPr>
          <w:p>
            <w:pPr>
              <w:jc w:val="center"/>
              <w:ind w:right="500"/>
              <w:spacing w:after="0" w:line="223" w:lineRule="exact"/>
              <w:rPr>
                <w:sz w:val="20"/>
                <w:szCs w:val="20"/>
                <w:color w:val="auto"/>
              </w:rPr>
            </w:pPr>
            <w:r>
              <w:rPr>
                <w:rFonts w:ascii="Times New Roman" w:cs="Times New Roman" w:eastAsia="Times New Roman" w:hAnsi="Times New Roman"/>
                <w:sz w:val="20"/>
                <w:szCs w:val="20"/>
                <w:color w:val="0000FF"/>
                <w:w w:val="99"/>
              </w:rPr>
              <w:t>94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620" w:type="dxa"/>
            <w:vAlign w:val="bottom"/>
            <w:gridSpan w:val="11"/>
          </w:tcPr>
          <w:p>
            <w:pPr>
              <w:ind w:left="640"/>
              <w:spacing w:after="0"/>
              <w:rPr>
                <w:sz w:val="20"/>
                <w:szCs w:val="20"/>
                <w:color w:val="auto"/>
              </w:rPr>
            </w:pPr>
            <w:r>
              <w:rPr>
                <w:rFonts w:ascii="Times New Roman" w:cs="Times New Roman" w:eastAsia="Times New Roman" w:hAnsi="Times New Roman"/>
                <w:sz w:val="20"/>
                <w:szCs w:val="20"/>
                <w:color w:val="auto"/>
                <w:w w:val="96"/>
              </w:rPr>
              <w:t>SECTION 5.17 Additional Borrowers</w:t>
            </w:r>
          </w:p>
        </w:tc>
        <w:tc>
          <w:tcPr>
            <w:tcW w:w="26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FF0000"/>
                <w:strike w:val="1"/>
                <w:w w:val="89"/>
              </w:rPr>
              <w:t>93</w:t>
            </w:r>
          </w:p>
        </w:tc>
        <w:tc>
          <w:tcPr>
            <w:tcW w:w="32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94</w:t>
            </w:r>
          </w:p>
        </w:tc>
        <w:tc>
          <w:tcPr>
            <w:tcW w:w="22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840" w:type="dxa"/>
            <w:vAlign w:val="bottom"/>
            <w:gridSpan w:val="14"/>
          </w:tcPr>
          <w:p>
            <w:pPr>
              <w:ind w:left="640"/>
              <w:spacing w:after="0" w:line="218" w:lineRule="exact"/>
              <w:rPr>
                <w:sz w:val="20"/>
                <w:szCs w:val="20"/>
                <w:color w:val="auto"/>
              </w:rPr>
            </w:pPr>
            <w:r>
              <w:rPr>
                <w:rFonts w:ascii="Times New Roman" w:cs="Times New Roman" w:eastAsia="Times New Roman" w:hAnsi="Times New Roman"/>
                <w:sz w:val="20"/>
                <w:szCs w:val="20"/>
                <w:color w:val="auto"/>
              </w:rPr>
              <w:t>SECTION 5.18 Refinancing Facilities</w:t>
            </w:r>
          </w:p>
        </w:tc>
        <w:tc>
          <w:tcPr>
            <w:tcW w:w="40" w:type="dxa"/>
            <w:vAlign w:val="bottom"/>
          </w:tcPr>
          <w:p>
            <w:pPr>
              <w:spacing w:after="0"/>
              <w:rPr>
                <w:sz w:val="18"/>
                <w:szCs w:val="18"/>
                <w:color w:val="auto"/>
              </w:rPr>
            </w:pPr>
          </w:p>
        </w:tc>
        <w:tc>
          <w:tcPr>
            <w:tcW w:w="200" w:type="dxa"/>
            <w:vAlign w:val="bottom"/>
            <w:tcBorders>
              <w:top w:val="single" w:sz="8" w:color="0000FF"/>
            </w:tcBorders>
            <w:gridSpan w:val="3"/>
          </w:tcPr>
          <w:p>
            <w:pPr>
              <w:spacing w:after="0" w:line="218" w:lineRule="exact"/>
              <w:rPr>
                <w:sz w:val="20"/>
                <w:szCs w:val="20"/>
                <w:color w:val="auto"/>
              </w:rPr>
            </w:pPr>
            <w:r>
              <w:rPr>
                <w:rFonts w:ascii="Times New Roman" w:cs="Times New Roman" w:eastAsia="Times New Roman" w:hAnsi="Times New Roman"/>
                <w:sz w:val="20"/>
                <w:szCs w:val="20"/>
                <w:color w:val="auto"/>
                <w:w w:val="89"/>
              </w:rPr>
              <w:t>94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gridSpan w:val="23"/>
          </w:tcPr>
          <w:p>
            <w:pPr>
              <w:ind w:left="640"/>
              <w:spacing w:after="0" w:line="210" w:lineRule="exact"/>
              <w:rPr>
                <w:sz w:val="20"/>
                <w:szCs w:val="20"/>
                <w:color w:val="auto"/>
              </w:rPr>
            </w:pPr>
            <w:r>
              <w:rPr>
                <w:rFonts w:ascii="Times New Roman" w:cs="Times New Roman" w:eastAsia="Times New Roman" w:hAnsi="Times New Roman"/>
                <w:sz w:val="20"/>
                <w:szCs w:val="20"/>
                <w:color w:val="auto"/>
                <w:w w:val="98"/>
              </w:rPr>
              <w:t>SECTION 5.19 Amend and Extend Transactions</w:t>
            </w:r>
          </w:p>
        </w:tc>
        <w:tc>
          <w:tcPr>
            <w:tcW w:w="260" w:type="dxa"/>
            <w:vAlign w:val="bottom"/>
            <w:gridSpan w:val="3"/>
          </w:tcPr>
          <w:p>
            <w:pPr>
              <w:jc w:val="right"/>
              <w:spacing w:after="0" w:line="210" w:lineRule="exact"/>
              <w:rPr>
                <w:sz w:val="20"/>
                <w:szCs w:val="20"/>
                <w:color w:val="auto"/>
              </w:rPr>
            </w:pPr>
            <w:r>
              <w:rPr>
                <w:rFonts w:ascii="Times New Roman" w:cs="Times New Roman" w:eastAsia="Times New Roman" w:hAnsi="Times New Roman"/>
                <w:sz w:val="20"/>
                <w:szCs w:val="20"/>
                <w:color w:val="FF0000"/>
                <w:strike w:val="1"/>
                <w:w w:val="89"/>
              </w:rPr>
              <w:t>97</w:t>
            </w:r>
          </w:p>
        </w:tc>
        <w:tc>
          <w:tcPr>
            <w:tcW w:w="1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70"/>
              </w:rPr>
              <w:t>98</w:t>
            </w:r>
          </w:p>
        </w:tc>
        <w:tc>
          <w:tcPr>
            <w:tcW w:w="18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5440" w:type="dxa"/>
            <w:vAlign w:val="bottom"/>
            <w:gridSpan w:val="34"/>
          </w:tcPr>
          <w:p>
            <w:pPr>
              <w:spacing w:after="0"/>
              <w:rPr>
                <w:sz w:val="20"/>
                <w:szCs w:val="20"/>
                <w:color w:val="auto"/>
              </w:rPr>
            </w:pPr>
            <w:r>
              <w:rPr>
                <w:rFonts w:ascii="Times New Roman" w:cs="Times New Roman" w:eastAsia="Times New Roman" w:hAnsi="Times New Roman"/>
                <w:sz w:val="20"/>
                <w:szCs w:val="20"/>
                <w:color w:val="auto"/>
              </w:rPr>
              <w:t>ARTICLE VI CONDITIONS OF CLOSING AND BORROWING</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89"/>
              </w:rPr>
              <w:t>99</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7540" w:type="dxa"/>
            <w:vAlign w:val="bottom"/>
            <w:gridSpan w:val="48"/>
          </w:tcPr>
          <w:p>
            <w:pPr>
              <w:ind w:left="640"/>
              <w:spacing w:after="0"/>
              <w:rPr>
                <w:sz w:val="20"/>
                <w:szCs w:val="20"/>
                <w:color w:val="auto"/>
              </w:rPr>
            </w:pPr>
            <w:r>
              <w:rPr>
                <w:rFonts w:ascii="Times New Roman" w:cs="Times New Roman" w:eastAsia="Times New Roman" w:hAnsi="Times New Roman"/>
                <w:sz w:val="20"/>
                <w:szCs w:val="20"/>
                <w:color w:val="auto"/>
              </w:rPr>
              <w:t>SECTION 6.1 Conditions to Closing and Initial Extensions of Credit  99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0"/>
        </w:trPr>
        <w:tc>
          <w:tcPr>
            <w:tcW w:w="3620" w:type="dxa"/>
            <w:vAlign w:val="bottom"/>
            <w:gridSpan w:val="11"/>
          </w:tcPr>
          <w:p>
            <w:pPr>
              <w:ind w:left="640"/>
              <w:spacing w:after="0"/>
              <w:rPr>
                <w:sz w:val="20"/>
                <w:szCs w:val="20"/>
                <w:color w:val="auto"/>
              </w:rPr>
            </w:pPr>
            <w:r>
              <w:rPr>
                <w:rFonts w:ascii="Times New Roman" w:cs="Times New Roman" w:eastAsia="Times New Roman" w:hAnsi="Times New Roman"/>
                <w:sz w:val="20"/>
                <w:szCs w:val="20"/>
                <w:color w:val="auto"/>
              </w:rPr>
              <w:t>SECTION  6.2  Conditions  to  All</w:t>
            </w:r>
          </w:p>
        </w:tc>
        <w:tc>
          <w:tcPr>
            <w:tcW w:w="1000" w:type="dxa"/>
            <w:vAlign w:val="bottom"/>
            <w:gridSpan w:val="14"/>
          </w:tcPr>
          <w:p>
            <w:pPr>
              <w:ind w:left="20"/>
              <w:spacing w:after="0"/>
              <w:rPr>
                <w:sz w:val="20"/>
                <w:szCs w:val="20"/>
                <w:color w:val="auto"/>
              </w:rPr>
            </w:pPr>
            <w:r>
              <w:rPr>
                <w:rFonts w:ascii="Times New Roman" w:cs="Times New Roman" w:eastAsia="Times New Roman" w:hAnsi="Times New Roman"/>
                <w:sz w:val="20"/>
                <w:szCs w:val="20"/>
                <w:color w:val="auto"/>
              </w:rPr>
              <w:t>Extensions</w:t>
            </w:r>
          </w:p>
        </w:tc>
        <w:tc>
          <w:tcPr>
            <w:tcW w:w="82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of  Credit</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FF0000"/>
                <w:strike w:val="1"/>
                <w:w w:val="99"/>
              </w:rPr>
              <w:t>102</w:t>
            </w:r>
          </w:p>
        </w:tc>
        <w:tc>
          <w:tcPr>
            <w:tcW w:w="1300" w:type="dxa"/>
            <w:vAlign w:val="bottom"/>
            <w:gridSpan w:val="8"/>
          </w:tcPr>
          <w:p>
            <w:pPr>
              <w:jc w:val="center"/>
              <w:ind w:right="60"/>
              <w:spacing w:after="0"/>
              <w:rPr>
                <w:sz w:val="20"/>
                <w:szCs w:val="20"/>
                <w:color w:val="auto"/>
              </w:rPr>
            </w:pPr>
            <w:r>
              <w:rPr>
                <w:rFonts w:ascii="Times New Roman" w:cs="Times New Roman" w:eastAsia="Times New Roman" w:hAnsi="Times New Roman"/>
                <w:sz w:val="20"/>
                <w:szCs w:val="20"/>
                <w:color w:val="0000FF"/>
                <w:w w:val="99"/>
              </w:rPr>
              <w:t xml:space="preserve">103  </w:t>
            </w:r>
            <w:r>
              <w:rPr>
                <w:rFonts w:ascii="Times New Roman" w:cs="Times New Roman" w:eastAsia="Times New Roman" w:hAnsi="Times New Roman"/>
                <w:sz w:val="20"/>
                <w:szCs w:val="20"/>
                <w:color w:val="000000"/>
                <w:w w:val="99"/>
              </w:rPr>
              <w:t>ARTICLE</w:t>
            </w: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VII</w:t>
            </w:r>
          </w:p>
        </w:tc>
        <w:tc>
          <w:tcPr>
            <w:tcW w:w="1900" w:type="dxa"/>
            <w:vAlign w:val="bottom"/>
            <w:gridSpan w:val="5"/>
          </w:tcPr>
          <w:p>
            <w:pPr>
              <w:ind w:left="40"/>
              <w:spacing w:after="0"/>
              <w:rPr>
                <w:sz w:val="20"/>
                <w:szCs w:val="20"/>
                <w:color w:val="auto"/>
              </w:rPr>
            </w:pPr>
            <w:r>
              <w:rPr>
                <w:rFonts w:ascii="Times New Roman" w:cs="Times New Roman" w:eastAsia="Times New Roman" w:hAnsi="Times New Roman"/>
                <w:sz w:val="20"/>
                <w:szCs w:val="20"/>
                <w:color w:val="auto"/>
                <w:w w:val="99"/>
              </w:rPr>
              <w:t>REPRESENTATIONS</w:t>
            </w:r>
          </w:p>
        </w:tc>
        <w:tc>
          <w:tcPr>
            <w:tcW w:w="680" w:type="dxa"/>
            <w:vAlign w:val="bottom"/>
            <w:gridSpan w:val="3"/>
          </w:tcPr>
          <w:p>
            <w:pPr>
              <w:jc w:val="right"/>
              <w:ind w:right="102"/>
              <w:spacing w:after="0"/>
              <w:rPr>
                <w:sz w:val="20"/>
                <w:szCs w:val="20"/>
                <w:color w:val="auto"/>
              </w:rPr>
            </w:pPr>
            <w:r>
              <w:rPr>
                <w:rFonts w:ascii="Times New Roman" w:cs="Times New Roman" w:eastAsia="Times New Roman" w:hAnsi="Times New Roman"/>
                <w:sz w:val="20"/>
                <w:szCs w:val="20"/>
                <w:color w:val="auto"/>
              </w:rPr>
              <w:t>AND</w:t>
            </w:r>
          </w:p>
        </w:tc>
        <w:tc>
          <w:tcPr>
            <w:tcW w:w="0" w:type="dxa"/>
            <w:vAlign w:val="bottom"/>
          </w:tcPr>
          <w:p>
            <w:pPr>
              <w:spacing w:after="0"/>
              <w:rPr>
                <w:sz w:val="1"/>
                <w:szCs w:val="1"/>
                <w:color w:val="auto"/>
              </w:rPr>
            </w:pPr>
          </w:p>
        </w:tc>
      </w:tr>
      <w:tr>
        <w:trPr>
          <w:trHeight w:val="301"/>
        </w:trPr>
        <w:tc>
          <w:tcPr>
            <w:tcW w:w="3620" w:type="dxa"/>
            <w:vAlign w:val="bottom"/>
            <w:gridSpan w:val="11"/>
          </w:tcPr>
          <w:p>
            <w:pPr>
              <w:spacing w:after="0"/>
              <w:rPr>
                <w:sz w:val="20"/>
                <w:szCs w:val="20"/>
                <w:color w:val="auto"/>
              </w:rPr>
            </w:pPr>
            <w:r>
              <w:rPr>
                <w:rFonts w:ascii="Times New Roman" w:cs="Times New Roman" w:eastAsia="Times New Roman" w:hAnsi="Times New Roman"/>
                <w:sz w:val="20"/>
                <w:szCs w:val="20"/>
                <w:color w:val="auto"/>
                <w:w w:val="97"/>
              </w:rPr>
              <w:t>WARRANTIES OF THE CREDIT PARTIES</w:t>
            </w:r>
          </w:p>
        </w:tc>
        <w:tc>
          <w:tcPr>
            <w:tcW w:w="300" w:type="dxa"/>
            <w:vAlign w:val="bottom"/>
            <w:gridSpan w:val="5"/>
          </w:tcPr>
          <w:p>
            <w:pPr>
              <w:spacing w:after="0"/>
              <w:rPr>
                <w:sz w:val="20"/>
                <w:szCs w:val="20"/>
                <w:color w:val="auto"/>
              </w:rPr>
            </w:pPr>
            <w:r>
              <w:rPr>
                <w:rFonts w:ascii="Times New Roman" w:cs="Times New Roman" w:eastAsia="Times New Roman" w:hAnsi="Times New Roman"/>
                <w:sz w:val="20"/>
                <w:szCs w:val="20"/>
                <w:color w:val="FF0000"/>
                <w:strike w:val="1"/>
                <w:w w:val="93"/>
              </w:rPr>
              <w:t>103</w:t>
            </w:r>
          </w:p>
        </w:tc>
        <w:tc>
          <w:tcPr>
            <w:tcW w:w="500" w:type="dxa"/>
            <w:vAlign w:val="bottom"/>
            <w:gridSpan w:val="6"/>
          </w:tcPr>
          <w:p>
            <w:pPr>
              <w:jc w:val="right"/>
              <w:ind w:right="220"/>
              <w:spacing w:after="0"/>
              <w:rPr>
                <w:sz w:val="20"/>
                <w:szCs w:val="20"/>
                <w:color w:val="auto"/>
              </w:rPr>
            </w:pPr>
            <w:r>
              <w:rPr>
                <w:rFonts w:ascii="Times New Roman" w:cs="Times New Roman" w:eastAsia="Times New Roman" w:hAnsi="Times New Roman"/>
                <w:sz w:val="20"/>
                <w:szCs w:val="20"/>
                <w:color w:val="0000FF"/>
                <w:w w:val="86"/>
              </w:rPr>
              <w:t>104</w:t>
            </w:r>
          </w:p>
        </w:tc>
        <w:tc>
          <w:tcPr>
            <w:tcW w:w="10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20" w:type="dxa"/>
            <w:vAlign w:val="bottom"/>
            <w:gridSpan w:val="11"/>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8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80" w:type="dxa"/>
            <w:vAlign w:val="bottom"/>
            <w:gridSpan w:val="1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4620" w:type="dxa"/>
            <w:vAlign w:val="bottom"/>
            <w:gridSpan w:val="25"/>
          </w:tcPr>
          <w:p>
            <w:pPr>
              <w:ind w:left="640"/>
              <w:spacing w:after="0"/>
              <w:rPr>
                <w:sz w:val="20"/>
                <w:szCs w:val="20"/>
                <w:color w:val="auto"/>
              </w:rPr>
            </w:pPr>
            <w:r>
              <w:rPr>
                <w:rFonts w:ascii="Times New Roman" w:cs="Times New Roman" w:eastAsia="Times New Roman" w:hAnsi="Times New Roman"/>
                <w:sz w:val="20"/>
                <w:szCs w:val="20"/>
                <w:color w:val="auto"/>
                <w:w w:val="98"/>
              </w:rPr>
              <w:t>SECTION 7.1 Organization; Power; Qualification</w:t>
            </w:r>
          </w:p>
        </w:tc>
        <w:tc>
          <w:tcPr>
            <w:tcW w:w="160" w:type="dxa"/>
            <w:vAlign w:val="bottom"/>
          </w:tcPr>
          <w:p>
            <w:pPr>
              <w:spacing w:after="0"/>
              <w:rPr>
                <w:sz w:val="24"/>
                <w:szCs w:val="24"/>
                <w:color w:val="auto"/>
              </w:rPr>
            </w:pPr>
          </w:p>
        </w:tc>
        <w:tc>
          <w:tcPr>
            <w:tcW w:w="32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FF0000"/>
                <w:strike w:val="1"/>
                <w:w w:val="86"/>
              </w:rPr>
              <w:t>103</w:t>
            </w:r>
          </w:p>
        </w:tc>
        <w:tc>
          <w:tcPr>
            <w:tcW w:w="244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w w:val="99"/>
              </w:rPr>
              <w:t xml:space="preserve">104 </w:t>
            </w:r>
            <w:r>
              <w:rPr>
                <w:rFonts w:ascii="Times New Roman" w:cs="Times New Roman" w:eastAsia="Times New Roman" w:hAnsi="Times New Roman"/>
                <w:sz w:val="20"/>
                <w:szCs w:val="20"/>
                <w:color w:val="000000"/>
                <w:w w:val="99"/>
              </w:rPr>
              <w:t>SECTION 7.2 Ownership</w:t>
            </w:r>
          </w:p>
        </w:tc>
        <w:tc>
          <w:tcPr>
            <w:tcW w:w="1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FF0000"/>
                <w:strike w:val="1"/>
                <w:w w:val="99"/>
              </w:rPr>
              <w:t>103</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0000FF"/>
                <w:w w:val="73"/>
              </w:rPr>
              <w:t>104</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20" w:type="dxa"/>
            <w:vAlign w:val="bottom"/>
            <w:tcBorders>
              <w:right w:val="single" w:sz="8" w:color="auto"/>
            </w:tcBorders>
            <w:gridSpan w:val="25"/>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Borders>
              <w:right w:val="single" w:sz="8" w:color="0000FF"/>
            </w:tcBorders>
            <w:gridSpan w:val="4"/>
          </w:tcPr>
          <w:p>
            <w:pPr>
              <w:spacing w:after="0" w:line="20" w:lineRule="exact"/>
              <w:rPr>
                <w:sz w:val="1"/>
                <w:szCs w:val="1"/>
                <w:color w:val="auto"/>
              </w:rPr>
            </w:pPr>
          </w:p>
        </w:tc>
        <w:tc>
          <w:tcPr>
            <w:tcW w:w="2880" w:type="dxa"/>
            <w:vAlign w:val="bottom"/>
            <w:tcBorders>
              <w:right w:val="single" w:sz="8" w:color="0000FF"/>
            </w:tcBorders>
            <w:gridSpan w:val="20"/>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0" w:type="dxa"/>
            <w:vAlign w:val="bottom"/>
            <w:tcBorders>
              <w:left w:val="single" w:sz="8" w:color="0000FF"/>
            </w:tcBorders>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-4831715</wp:posOffset>
            </wp:positionV>
            <wp:extent cx="3111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54">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1958340</wp:posOffset>
            </wp:positionH>
            <wp:positionV relativeFrom="paragraph">
              <wp:posOffset>-3846195</wp:posOffset>
            </wp:positionV>
            <wp:extent cx="3111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55">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-3676650</wp:posOffset>
            </wp:positionV>
            <wp:extent cx="3111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56">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-3387725</wp:posOffset>
            </wp:positionV>
            <wp:extent cx="3111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57">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3209925</wp:posOffset>
            </wp:positionH>
            <wp:positionV relativeFrom="paragraph">
              <wp:posOffset>-3048000</wp:posOffset>
            </wp:positionV>
            <wp:extent cx="3111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58">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-2878455</wp:posOffset>
            </wp:positionV>
            <wp:extent cx="3111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59">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-2759075</wp:posOffset>
            </wp:positionV>
            <wp:extent cx="3111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60">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-2632075</wp:posOffset>
            </wp:positionV>
            <wp:extent cx="3111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61">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4067175</wp:posOffset>
            </wp:positionH>
            <wp:positionV relativeFrom="paragraph">
              <wp:posOffset>-2122170</wp:posOffset>
            </wp:positionV>
            <wp:extent cx="3111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62">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2418715</wp:posOffset>
            </wp:positionH>
            <wp:positionV relativeFrom="paragraph">
              <wp:posOffset>-1791335</wp:posOffset>
            </wp:positionV>
            <wp:extent cx="3111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63">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4558030</wp:posOffset>
            </wp:positionH>
            <wp:positionV relativeFrom="paragraph">
              <wp:posOffset>-1451610</wp:posOffset>
            </wp:positionV>
            <wp:extent cx="3111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64">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2736850</wp:posOffset>
            </wp:positionH>
            <wp:positionV relativeFrom="paragraph">
              <wp:posOffset>-1281430</wp:posOffset>
            </wp:positionV>
            <wp:extent cx="3111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65">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-1001395</wp:posOffset>
            </wp:positionV>
            <wp:extent cx="3111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66">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2697480</wp:posOffset>
            </wp:positionH>
            <wp:positionV relativeFrom="paragraph">
              <wp:posOffset>-236855</wp:posOffset>
            </wp:positionV>
            <wp:extent cx="3111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67">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tabs>
          <w:tab w:leader="none" w:pos="300" w:val="left"/>
        </w:tabs>
        <w:rPr>
          <w:sz w:val="20"/>
          <w:szCs w:val="20"/>
          <w:color w:val="auto"/>
        </w:rPr>
      </w:pPr>
      <w:r>
        <w:rPr>
          <w:sz w:val="1"/>
          <w:szCs w:val="1"/>
          <w:color w:val="auto"/>
        </w:rPr>
        <w:drawing>
          <wp:inline distT="0" distB="0" distL="0" distR="0">
            <wp:extent cx="8255" cy="10160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68">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ectPr>
          <w:pgSz w:w="11900" w:h="16838" w:orient="portrait"/>
          <w:cols w:equalWidth="0" w:num="1">
            <w:col w:w="11240"/>
          </w:cols>
          <w:pgMar w:left="320" w:top="1316" w:right="339" w:bottom="1440" w:gutter="0" w:footer="0" w:header="0"/>
        </w:sectPr>
      </w:pPr>
    </w:p>
    <w:bookmarkStart w:id="142" w:name="page143"/>
    <w:bookmarkEnd w:id="142"/>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(continued)</w:t>
      </w: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Page</w:t>
      </w:r>
    </w:p>
    <w:p>
      <w:pPr>
        <w:spacing w:after="0" w:line="377" w:lineRule="exact"/>
        <w:rPr>
          <w:sz w:val="20"/>
          <w:szCs w:val="20"/>
          <w:color w:val="auto"/>
        </w:rPr>
      </w:pPr>
    </w:p>
    <w:tbl>
      <w:tblPr>
        <w:tblLayout w:type="fixed"/>
        <w:tblInd w:w="680" w:type="dxa"/>
        <w:tblCellMar>
          <w:top w:w="0" w:type="dxa"/>
          <w:left w:w="0" w:type="dxa"/>
          <w:bottom w:w="0" w:type="dxa"/>
          <w:right w:w="0" w:type="dxa"/>
        </w:tblCellMar>
      </w:tblPr>
      <w:tr>
        <w:trPr>
          <w:trHeight w:val="255"/>
        </w:trPr>
        <w:tc>
          <w:tcPr>
            <w:tcW w:w="4300" w:type="dxa"/>
            <w:vAlign w:val="bottom"/>
            <w:gridSpan w:val="26"/>
          </w:tcPr>
          <w:p>
            <w:pPr>
              <w:ind w:left="640"/>
              <w:spacing w:after="0"/>
              <w:rPr>
                <w:sz w:val="20"/>
                <w:szCs w:val="20"/>
                <w:color w:val="auto"/>
              </w:rPr>
            </w:pPr>
            <w:r>
              <w:rPr>
                <w:rFonts w:ascii="Times New Roman" w:cs="Times New Roman" w:eastAsia="Times New Roman" w:hAnsi="Times New Roman"/>
                <w:sz w:val="20"/>
                <w:szCs w:val="20"/>
                <w:color w:val="auto"/>
              </w:rPr>
              <w:t>SECTION 7.3 Authorization; Enforceability</w:t>
            </w:r>
          </w:p>
        </w:tc>
        <w:tc>
          <w:tcPr>
            <w:tcW w:w="520" w:type="dxa"/>
            <w:vAlign w:val="bottom"/>
            <w:gridSpan w:val="7"/>
          </w:tcPr>
          <w:p>
            <w:pPr>
              <w:ind w:left="20"/>
              <w:spacing w:after="0"/>
              <w:rPr>
                <w:sz w:val="20"/>
                <w:szCs w:val="20"/>
                <w:color w:val="auto"/>
              </w:rPr>
            </w:pPr>
            <w:r>
              <w:rPr>
                <w:rFonts w:ascii="Times New Roman" w:cs="Times New Roman" w:eastAsia="Times New Roman" w:hAnsi="Times New Roman"/>
                <w:sz w:val="20"/>
                <w:szCs w:val="20"/>
                <w:color w:val="auto"/>
              </w:rPr>
              <w:t>104</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7"/>
        </w:trPr>
        <w:tc>
          <w:tcPr>
            <w:tcW w:w="8440" w:type="dxa"/>
            <w:vAlign w:val="bottom"/>
            <w:gridSpan w:val="42"/>
          </w:tcPr>
          <w:p>
            <w:pPr>
              <w:ind w:left="640"/>
              <w:spacing w:after="0"/>
              <w:rPr>
                <w:sz w:val="20"/>
                <w:szCs w:val="20"/>
                <w:color w:val="auto"/>
              </w:rPr>
            </w:pPr>
            <w:r>
              <w:rPr>
                <w:rFonts w:ascii="Times New Roman" w:cs="Times New Roman" w:eastAsia="Times New Roman" w:hAnsi="Times New Roman"/>
                <w:sz w:val="20"/>
                <w:szCs w:val="20"/>
                <w:color w:val="auto"/>
              </w:rPr>
              <w:t>SECTION 7.4 Compliance of Agreement, Loan Documents and Borrowing with</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1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0" w:type="dxa"/>
            <w:vAlign w:val="bottom"/>
            <w:gridSpan w:val="17"/>
          </w:tcPr>
          <w:p>
            <w:pPr>
              <w:jc w:val="center"/>
              <w:ind w:right="82"/>
              <w:spacing w:after="0"/>
              <w:rPr>
                <w:sz w:val="20"/>
                <w:szCs w:val="20"/>
                <w:color w:val="auto"/>
              </w:rPr>
            </w:pPr>
            <w:r>
              <w:rPr>
                <w:rFonts w:ascii="Times New Roman" w:cs="Times New Roman" w:eastAsia="Times New Roman" w:hAnsi="Times New Roman"/>
                <w:sz w:val="20"/>
                <w:szCs w:val="20"/>
                <w:color w:val="auto"/>
              </w:rPr>
              <w:t>Laws, Etc  104</w:t>
            </w: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3"/>
        </w:trPr>
        <w:tc>
          <w:tcPr>
            <w:tcW w:w="5700" w:type="dxa"/>
            <w:vAlign w:val="bottom"/>
            <w:gridSpan w:val="37"/>
          </w:tcPr>
          <w:p>
            <w:pPr>
              <w:ind w:left="640"/>
              <w:spacing w:after="0"/>
              <w:rPr>
                <w:sz w:val="20"/>
                <w:szCs w:val="20"/>
                <w:color w:val="auto"/>
              </w:rPr>
            </w:pPr>
            <w:r>
              <w:rPr>
                <w:rFonts w:ascii="Times New Roman" w:cs="Times New Roman" w:eastAsia="Times New Roman" w:hAnsi="Times New Roman"/>
                <w:sz w:val="20"/>
                <w:szCs w:val="20"/>
                <w:color w:val="auto"/>
                <w:w w:val="98"/>
              </w:rPr>
              <w:t>SECTION 7.5 Compliance with Law; Governmental Approvals</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FF0000"/>
                <w:strike w:val="1"/>
                <w:w w:val="93"/>
              </w:rPr>
              <w:t>104</w:t>
            </w:r>
          </w:p>
        </w:tc>
        <w:tc>
          <w:tcPr>
            <w:tcW w:w="2100" w:type="dxa"/>
            <w:vAlign w:val="bottom"/>
            <w:gridSpan w:val="2"/>
          </w:tcPr>
          <w:p>
            <w:pPr>
              <w:jc w:val="right"/>
              <w:ind w:right="1820"/>
              <w:spacing w:after="0"/>
              <w:rPr>
                <w:sz w:val="20"/>
                <w:szCs w:val="20"/>
                <w:color w:val="auto"/>
              </w:rPr>
            </w:pPr>
            <w:r>
              <w:rPr>
                <w:rFonts w:ascii="Times New Roman" w:cs="Times New Roman" w:eastAsia="Times New Roman" w:hAnsi="Times New Roman"/>
                <w:sz w:val="20"/>
                <w:szCs w:val="20"/>
                <w:color w:val="0000FF"/>
                <w:w w:val="86"/>
              </w:rPr>
              <w:t>105</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3980" w:type="dxa"/>
            <w:vAlign w:val="bottom"/>
            <w:gridSpan w:val="20"/>
          </w:tcPr>
          <w:p>
            <w:pPr>
              <w:ind w:left="640"/>
              <w:spacing w:after="0"/>
              <w:rPr>
                <w:sz w:val="20"/>
                <w:szCs w:val="20"/>
                <w:color w:val="auto"/>
              </w:rPr>
            </w:pPr>
            <w:r>
              <w:rPr>
                <w:rFonts w:ascii="Times New Roman" w:cs="Times New Roman" w:eastAsia="Times New Roman" w:hAnsi="Times New Roman"/>
                <w:sz w:val="20"/>
                <w:szCs w:val="20"/>
                <w:color w:val="auto"/>
                <w:w w:val="98"/>
              </w:rPr>
              <w:t>SECTION 7.6 Tax Returns and Payments</w:t>
            </w:r>
          </w:p>
        </w:tc>
        <w:tc>
          <w:tcPr>
            <w:tcW w:w="28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FF0000"/>
                <w:strike w:val="1"/>
                <w:w w:val="86"/>
              </w:rPr>
              <w:t>104</w:t>
            </w:r>
          </w:p>
        </w:tc>
        <w:tc>
          <w:tcPr>
            <w:tcW w:w="320" w:type="dxa"/>
            <w:vAlign w:val="bottom"/>
            <w:gridSpan w:val="7"/>
          </w:tcPr>
          <w:p>
            <w:pPr>
              <w:spacing w:after="0"/>
              <w:rPr>
                <w:sz w:val="20"/>
                <w:szCs w:val="20"/>
                <w:color w:val="auto"/>
              </w:rPr>
            </w:pPr>
            <w:r>
              <w:rPr>
                <w:rFonts w:ascii="Times New Roman" w:cs="Times New Roman" w:eastAsia="Times New Roman" w:hAnsi="Times New Roman"/>
                <w:sz w:val="20"/>
                <w:szCs w:val="20"/>
                <w:color w:val="0000FF"/>
                <w:w w:val="93"/>
              </w:rPr>
              <w:t>105</w:t>
            </w: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1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260" w:type="dxa"/>
            <w:vAlign w:val="bottom"/>
            <w:gridSpan w:val="25"/>
          </w:tcPr>
          <w:p>
            <w:pPr>
              <w:ind w:left="640"/>
              <w:spacing w:after="0" w:line="225" w:lineRule="exact"/>
              <w:rPr>
                <w:sz w:val="20"/>
                <w:szCs w:val="20"/>
                <w:color w:val="auto"/>
              </w:rPr>
            </w:pPr>
            <w:r>
              <w:rPr>
                <w:rFonts w:ascii="Times New Roman" w:cs="Times New Roman" w:eastAsia="Times New Roman" w:hAnsi="Times New Roman"/>
                <w:sz w:val="20"/>
                <w:szCs w:val="20"/>
                <w:color w:val="auto"/>
              </w:rPr>
              <w:t>SECTION 7.7 Intellectual Property Matters</w:t>
            </w:r>
          </w:p>
        </w:tc>
        <w:tc>
          <w:tcPr>
            <w:tcW w:w="4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gridSpan w:val="5"/>
          </w:tcPr>
          <w:p>
            <w:pPr>
              <w:spacing w:after="0" w:line="225" w:lineRule="exact"/>
              <w:rPr>
                <w:sz w:val="20"/>
                <w:szCs w:val="20"/>
                <w:color w:val="auto"/>
              </w:rPr>
            </w:pPr>
            <w:r>
              <w:rPr>
                <w:rFonts w:ascii="Times New Roman" w:cs="Times New Roman" w:eastAsia="Times New Roman" w:hAnsi="Times New Roman"/>
                <w:sz w:val="20"/>
                <w:szCs w:val="20"/>
                <w:color w:val="auto"/>
                <w:w w:val="79"/>
              </w:rPr>
              <w:t>105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680" w:type="dxa"/>
            <w:vAlign w:val="bottom"/>
            <w:gridSpan w:val="19"/>
          </w:tcPr>
          <w:p>
            <w:pPr>
              <w:ind w:left="640"/>
              <w:spacing w:after="0" w:line="210" w:lineRule="exact"/>
              <w:rPr>
                <w:sz w:val="20"/>
                <w:szCs w:val="20"/>
                <w:color w:val="auto"/>
              </w:rPr>
            </w:pPr>
            <w:r>
              <w:rPr>
                <w:rFonts w:ascii="Times New Roman" w:cs="Times New Roman" w:eastAsia="Times New Roman" w:hAnsi="Times New Roman"/>
                <w:sz w:val="20"/>
                <w:szCs w:val="20"/>
                <w:color w:val="auto"/>
                <w:w w:val="99"/>
              </w:rPr>
              <w:t>SECTION 7.8 Environmental Matters</w:t>
            </w:r>
          </w:p>
        </w:tc>
        <w:tc>
          <w:tcPr>
            <w:tcW w:w="30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FF0000"/>
                <w:strike w:val="1"/>
                <w:w w:val="93"/>
              </w:rPr>
              <w:t>105</w:t>
            </w:r>
          </w:p>
        </w:tc>
        <w:tc>
          <w:tcPr>
            <w:tcW w:w="320" w:type="dxa"/>
            <w:vAlign w:val="bottom"/>
            <w:gridSpan w:val="6"/>
          </w:tcPr>
          <w:p>
            <w:pPr>
              <w:spacing w:after="0" w:line="210" w:lineRule="exact"/>
              <w:rPr>
                <w:sz w:val="20"/>
                <w:szCs w:val="20"/>
                <w:color w:val="auto"/>
              </w:rPr>
            </w:pPr>
            <w:r>
              <w:rPr>
                <w:rFonts w:ascii="Times New Roman" w:cs="Times New Roman" w:eastAsia="Times New Roman" w:hAnsi="Times New Roman"/>
                <w:sz w:val="20"/>
                <w:szCs w:val="20"/>
                <w:color w:val="0000FF"/>
                <w:w w:val="93"/>
              </w:rPr>
              <w:t>106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3980" w:type="dxa"/>
            <w:vAlign w:val="bottom"/>
            <w:gridSpan w:val="20"/>
          </w:tcPr>
          <w:p>
            <w:pPr>
              <w:ind w:left="640"/>
              <w:spacing w:after="0"/>
              <w:rPr>
                <w:sz w:val="20"/>
                <w:szCs w:val="20"/>
                <w:color w:val="auto"/>
              </w:rPr>
            </w:pPr>
            <w:r>
              <w:rPr>
                <w:rFonts w:ascii="Times New Roman" w:cs="Times New Roman" w:eastAsia="Times New Roman" w:hAnsi="Times New Roman"/>
                <w:sz w:val="20"/>
                <w:szCs w:val="20"/>
                <w:color w:val="auto"/>
                <w:w w:val="99"/>
              </w:rPr>
              <w:t>SECTION 7.9 Employee Benefit Matters</w:t>
            </w:r>
          </w:p>
        </w:tc>
        <w:tc>
          <w:tcPr>
            <w:tcW w:w="240" w:type="dxa"/>
            <w:vAlign w:val="bottom"/>
            <w:gridSpan w:val="3"/>
          </w:tcPr>
          <w:p>
            <w:pPr>
              <w:spacing w:after="0"/>
              <w:rPr>
                <w:sz w:val="20"/>
                <w:szCs w:val="20"/>
                <w:color w:val="auto"/>
              </w:rPr>
            </w:pPr>
            <w:r>
              <w:rPr>
                <w:rFonts w:ascii="Times New Roman" w:cs="Times New Roman" w:eastAsia="Times New Roman" w:hAnsi="Times New Roman"/>
                <w:sz w:val="20"/>
                <w:szCs w:val="20"/>
                <w:color w:val="FF0000"/>
                <w:strike w:val="1"/>
                <w:w w:val="73"/>
              </w:rPr>
              <w:t>106</w:t>
            </w:r>
          </w:p>
        </w:tc>
        <w:tc>
          <w:tcPr>
            <w:tcW w:w="3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w w:val="93"/>
              </w:rPr>
              <w:t>107</w:t>
            </w:r>
          </w:p>
        </w:tc>
        <w:tc>
          <w:tcPr>
            <w:tcW w:w="20" w:type="dxa"/>
            <w:vAlign w:val="bottom"/>
          </w:tcPr>
          <w:p>
            <w:pPr>
              <w:spacing w:after="0"/>
              <w:rPr>
                <w:sz w:val="21"/>
                <w:szCs w:val="21"/>
                <w:color w:val="auto"/>
              </w:rPr>
            </w:pPr>
          </w:p>
        </w:tc>
        <w:tc>
          <w:tcPr>
            <w:tcW w:w="4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3040" w:type="dxa"/>
            <w:vAlign w:val="bottom"/>
            <w:gridSpan w:val="10"/>
          </w:tcPr>
          <w:p>
            <w:pPr>
              <w:ind w:left="640"/>
              <w:spacing w:after="0" w:line="181" w:lineRule="exact"/>
              <w:rPr>
                <w:sz w:val="20"/>
                <w:szCs w:val="20"/>
                <w:color w:val="auto"/>
              </w:rPr>
            </w:pPr>
            <w:r>
              <w:rPr>
                <w:rFonts w:ascii="Times New Roman" w:cs="Times New Roman" w:eastAsia="Times New Roman" w:hAnsi="Times New Roman"/>
                <w:sz w:val="20"/>
                <w:szCs w:val="20"/>
                <w:color w:val="auto"/>
                <w:w w:val="99"/>
              </w:rPr>
              <w:t>SECTION 7.10 Margin Stock</w:t>
            </w:r>
          </w:p>
        </w:tc>
        <w:tc>
          <w:tcPr>
            <w:tcW w:w="28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20"/>
                <w:szCs w:val="20"/>
                <w:color w:val="FF0000"/>
                <w:strike w:val="1"/>
                <w:w w:val="86"/>
              </w:rPr>
              <w:t>107</w:t>
            </w:r>
          </w:p>
        </w:tc>
        <w:tc>
          <w:tcPr>
            <w:tcW w:w="300" w:type="dxa"/>
            <w:vAlign w:val="bottom"/>
            <w:tcBorders>
              <w:bottom w:val="single" w:sz="8" w:color="0000FF"/>
            </w:tcBorders>
            <w:gridSpan w:val="4"/>
          </w:tcPr>
          <w:p>
            <w:pPr>
              <w:spacing w:after="0" w:line="181" w:lineRule="exact"/>
              <w:rPr>
                <w:sz w:val="20"/>
                <w:szCs w:val="20"/>
                <w:color w:val="auto"/>
              </w:rPr>
            </w:pPr>
            <w:r>
              <w:rPr>
                <w:rFonts w:ascii="Times New Roman" w:cs="Times New Roman" w:eastAsia="Times New Roman" w:hAnsi="Times New Roman"/>
                <w:sz w:val="20"/>
                <w:szCs w:val="20"/>
                <w:color w:val="0000FF"/>
                <w:w w:val="93"/>
              </w:rPr>
              <w:t>108</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620" w:type="dxa"/>
            <w:vAlign w:val="bottom"/>
            <w:gridSpan w:val="17"/>
          </w:tcPr>
          <w:p>
            <w:pPr>
              <w:ind w:left="640"/>
              <w:spacing w:after="0" w:line="167" w:lineRule="exact"/>
              <w:rPr>
                <w:sz w:val="20"/>
                <w:szCs w:val="20"/>
                <w:color w:val="auto"/>
              </w:rPr>
            </w:pPr>
            <w:r>
              <w:rPr>
                <w:rFonts w:ascii="Times New Roman" w:cs="Times New Roman" w:eastAsia="Times New Roman" w:hAnsi="Times New Roman"/>
                <w:sz w:val="19"/>
                <w:szCs w:val="19"/>
                <w:color w:val="auto"/>
                <w:w w:val="96"/>
              </w:rPr>
              <w:t>SECTION 7.11 Government Regulation</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FF0000"/>
                <w:strike w:val="1"/>
                <w:w w:val="71"/>
              </w:rPr>
              <w:t>107</w:t>
            </w:r>
          </w:p>
        </w:tc>
        <w:tc>
          <w:tcPr>
            <w:tcW w:w="300" w:type="dxa"/>
            <w:vAlign w:val="bottom"/>
            <w:tcBorders>
              <w:bottom w:val="single" w:sz="8" w:color="0000FF"/>
            </w:tcBorders>
            <w:gridSpan w:val="7"/>
          </w:tcPr>
          <w:p>
            <w:pPr>
              <w:jc w:val="right"/>
              <w:spacing w:after="0" w:line="167" w:lineRule="exact"/>
              <w:rPr>
                <w:sz w:val="20"/>
                <w:szCs w:val="20"/>
                <w:color w:val="auto"/>
              </w:rPr>
            </w:pPr>
            <w:r>
              <w:rPr>
                <w:rFonts w:ascii="Times New Roman" w:cs="Times New Roman" w:eastAsia="Times New Roman" w:hAnsi="Times New Roman"/>
                <w:sz w:val="19"/>
                <w:szCs w:val="19"/>
                <w:color w:val="0000FF"/>
                <w:w w:val="98"/>
              </w:rPr>
              <w:t>108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980" w:type="dxa"/>
            <w:vAlign w:val="bottom"/>
            <w:gridSpan w:val="20"/>
          </w:tcPr>
          <w:p>
            <w:pPr>
              <w:ind w:left="640"/>
              <w:spacing w:after="0" w:line="178" w:lineRule="exact"/>
              <w:rPr>
                <w:sz w:val="20"/>
                <w:szCs w:val="20"/>
                <w:color w:val="auto"/>
              </w:rPr>
            </w:pPr>
            <w:r>
              <w:rPr>
                <w:rFonts w:ascii="Times New Roman" w:cs="Times New Roman" w:eastAsia="Times New Roman" w:hAnsi="Times New Roman"/>
                <w:sz w:val="20"/>
                <w:szCs w:val="20"/>
                <w:color w:val="auto"/>
              </w:rPr>
              <w:t>SECTION 7.12 [Intentionally Omitted]</w:t>
            </w:r>
          </w:p>
        </w:tc>
        <w:tc>
          <w:tcPr>
            <w:tcW w:w="260" w:type="dxa"/>
            <w:vAlign w:val="bottom"/>
            <w:gridSpan w:val="4"/>
          </w:tcPr>
          <w:p>
            <w:pPr>
              <w:spacing w:after="0" w:line="178" w:lineRule="exact"/>
              <w:rPr>
                <w:sz w:val="20"/>
                <w:szCs w:val="20"/>
                <w:color w:val="auto"/>
              </w:rPr>
            </w:pPr>
            <w:r>
              <w:rPr>
                <w:rFonts w:ascii="Times New Roman" w:cs="Times New Roman" w:eastAsia="Times New Roman" w:hAnsi="Times New Roman"/>
                <w:sz w:val="20"/>
                <w:szCs w:val="20"/>
                <w:color w:val="auto"/>
                <w:w w:val="79"/>
              </w:rPr>
              <w:t>108</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4300" w:type="dxa"/>
            <w:vAlign w:val="bottom"/>
            <w:gridSpan w:val="26"/>
          </w:tcPr>
          <w:p>
            <w:pPr>
              <w:ind w:left="640"/>
              <w:spacing w:after="0"/>
              <w:rPr>
                <w:sz w:val="20"/>
                <w:szCs w:val="20"/>
                <w:color w:val="auto"/>
              </w:rPr>
            </w:pPr>
            <w:r>
              <w:rPr>
                <w:rFonts w:ascii="Times New Roman" w:cs="Times New Roman" w:eastAsia="Times New Roman" w:hAnsi="Times New Roman"/>
                <w:sz w:val="20"/>
                <w:szCs w:val="20"/>
                <w:color w:val="auto"/>
              </w:rPr>
              <w:t>SECTION 7.13 Employee Relations  108</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8"/>
        </w:trPr>
        <w:tc>
          <w:tcPr>
            <w:tcW w:w="3980" w:type="dxa"/>
            <w:vAlign w:val="bottom"/>
            <w:gridSpan w:val="20"/>
          </w:tcPr>
          <w:p>
            <w:pPr>
              <w:ind w:left="640"/>
              <w:spacing w:after="0"/>
              <w:rPr>
                <w:sz w:val="20"/>
                <w:szCs w:val="20"/>
                <w:color w:val="auto"/>
              </w:rPr>
            </w:pPr>
            <w:r>
              <w:rPr>
                <w:rFonts w:ascii="Times New Roman" w:cs="Times New Roman" w:eastAsia="Times New Roman" w:hAnsi="Times New Roman"/>
                <w:sz w:val="20"/>
                <w:szCs w:val="20"/>
                <w:color w:val="auto"/>
              </w:rPr>
              <w:t>SECTION 7.14 Burdensome Provisions</w:t>
            </w:r>
          </w:p>
        </w:tc>
        <w:tc>
          <w:tcPr>
            <w:tcW w:w="34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108</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3600" w:type="dxa"/>
            <w:vAlign w:val="bottom"/>
            <w:gridSpan w:val="16"/>
          </w:tcPr>
          <w:p>
            <w:pPr>
              <w:ind w:left="640"/>
              <w:spacing w:after="0"/>
              <w:rPr>
                <w:sz w:val="20"/>
                <w:szCs w:val="20"/>
                <w:color w:val="auto"/>
              </w:rPr>
            </w:pPr>
            <w:r>
              <w:rPr>
                <w:rFonts w:ascii="Times New Roman" w:cs="Times New Roman" w:eastAsia="Times New Roman" w:hAnsi="Times New Roman"/>
                <w:sz w:val="20"/>
                <w:szCs w:val="20"/>
                <w:color w:val="auto"/>
                <w:w w:val="99"/>
              </w:rPr>
              <w:t>SECTION 7.15 Financial Statements</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FF0000"/>
                <w:strike w:val="1"/>
                <w:w w:val="93"/>
              </w:rPr>
              <w:t>108</w:t>
            </w:r>
          </w:p>
        </w:tc>
        <w:tc>
          <w:tcPr>
            <w:tcW w:w="2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9"/>
                <w:szCs w:val="19"/>
                <w:color w:val="0000FF"/>
                <w:w w:val="70"/>
              </w:rPr>
              <w:t>109</w:t>
            </w:r>
          </w:p>
        </w:tc>
        <w:tc>
          <w:tcPr>
            <w:tcW w:w="40" w:type="dxa"/>
            <w:vAlign w:val="bottom"/>
            <w:gridSpan w:val="2"/>
          </w:tcPr>
          <w:p>
            <w:pPr>
              <w:spacing w:after="0"/>
              <w:rPr>
                <w:sz w:val="24"/>
                <w:szCs w:val="24"/>
                <w:color w:val="auto"/>
              </w:rPr>
            </w:pPr>
          </w:p>
        </w:tc>
        <w:tc>
          <w:tcPr>
            <w:tcW w:w="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4300" w:type="dxa"/>
            <w:vAlign w:val="bottom"/>
            <w:gridSpan w:val="26"/>
          </w:tcPr>
          <w:p>
            <w:pPr>
              <w:ind w:left="640"/>
              <w:spacing w:after="0"/>
              <w:rPr>
                <w:sz w:val="20"/>
                <w:szCs w:val="20"/>
                <w:color w:val="auto"/>
              </w:rPr>
            </w:pPr>
            <w:r>
              <w:rPr>
                <w:rFonts w:ascii="Times New Roman" w:cs="Times New Roman" w:eastAsia="Times New Roman" w:hAnsi="Times New Roman"/>
                <w:sz w:val="20"/>
                <w:szCs w:val="20"/>
                <w:color w:val="auto"/>
                <w:w w:val="99"/>
              </w:rPr>
              <w:t>SECTION 7.16 No Material Adverse Change</w:t>
            </w:r>
          </w:p>
        </w:tc>
        <w:tc>
          <w:tcPr>
            <w:tcW w:w="280" w:type="dxa"/>
            <w:vAlign w:val="bottom"/>
            <w:gridSpan w:val="6"/>
          </w:tcPr>
          <w:p>
            <w:pPr>
              <w:spacing w:after="0"/>
              <w:rPr>
                <w:sz w:val="20"/>
                <w:szCs w:val="20"/>
                <w:color w:val="auto"/>
              </w:rPr>
            </w:pPr>
            <w:r>
              <w:rPr>
                <w:rFonts w:ascii="Times New Roman" w:cs="Times New Roman" w:eastAsia="Times New Roman" w:hAnsi="Times New Roman"/>
                <w:sz w:val="20"/>
                <w:szCs w:val="20"/>
                <w:color w:val="FF0000"/>
                <w:strike w:val="1"/>
                <w:w w:val="79"/>
              </w:rPr>
              <w:t>108</w:t>
            </w: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0000FF"/>
                <w:w w:val="86"/>
              </w:rPr>
              <w:t>109</w:t>
            </w: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2700" w:type="dxa"/>
            <w:vAlign w:val="bottom"/>
            <w:gridSpan w:val="6"/>
          </w:tcPr>
          <w:p>
            <w:pPr>
              <w:ind w:left="640"/>
              <w:spacing w:after="0" w:line="181" w:lineRule="exact"/>
              <w:rPr>
                <w:sz w:val="20"/>
                <w:szCs w:val="20"/>
                <w:color w:val="auto"/>
              </w:rPr>
            </w:pPr>
            <w:r>
              <w:rPr>
                <w:rFonts w:ascii="Times New Roman" w:cs="Times New Roman" w:eastAsia="Times New Roman" w:hAnsi="Times New Roman"/>
                <w:sz w:val="20"/>
                <w:szCs w:val="20"/>
                <w:color w:val="auto"/>
              </w:rPr>
              <w:t>SECTION 7.17 Solvency</w:t>
            </w:r>
          </w:p>
        </w:tc>
        <w:tc>
          <w:tcPr>
            <w:tcW w:w="28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20"/>
                <w:szCs w:val="20"/>
                <w:color w:val="FF0000"/>
                <w:strike w:val="1"/>
                <w:w w:val="86"/>
              </w:rPr>
              <w:t>108</w:t>
            </w:r>
          </w:p>
        </w:tc>
        <w:tc>
          <w:tcPr>
            <w:tcW w:w="300" w:type="dxa"/>
            <w:vAlign w:val="bottom"/>
            <w:tcBorders>
              <w:bottom w:val="single" w:sz="8" w:color="0000FF"/>
            </w:tcBorders>
            <w:gridSpan w:val="3"/>
          </w:tcPr>
          <w:p>
            <w:pPr>
              <w:jc w:val="right"/>
              <w:spacing w:after="0" w:line="181" w:lineRule="exact"/>
              <w:rPr>
                <w:sz w:val="20"/>
                <w:szCs w:val="20"/>
                <w:color w:val="auto"/>
              </w:rPr>
            </w:pPr>
            <w:r>
              <w:rPr>
                <w:rFonts w:ascii="Times New Roman" w:cs="Times New Roman" w:eastAsia="Times New Roman" w:hAnsi="Times New Roman"/>
                <w:sz w:val="20"/>
                <w:szCs w:val="20"/>
                <w:color w:val="0000FF"/>
                <w:w w:val="93"/>
              </w:rPr>
              <w:t>109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gridSpan w:val="4"/>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86"/>
              </w:rPr>
              <w:t>108</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FF"/>
                <w:w w:val="93"/>
              </w:rPr>
              <w:t>109</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280" w:type="dxa"/>
            <w:vAlign w:val="bottom"/>
            <w:gridSpan w:val="12"/>
          </w:tcPr>
          <w:p>
            <w:pPr>
              <w:ind w:left="640"/>
              <w:spacing w:after="0" w:line="167" w:lineRule="exact"/>
              <w:rPr>
                <w:sz w:val="20"/>
                <w:szCs w:val="20"/>
                <w:color w:val="auto"/>
              </w:rPr>
            </w:pPr>
            <w:r>
              <w:rPr>
                <w:rFonts w:ascii="Times New Roman" w:cs="Times New Roman" w:eastAsia="Times New Roman" w:hAnsi="Times New Roman"/>
                <w:sz w:val="19"/>
                <w:szCs w:val="19"/>
                <w:color w:val="auto"/>
              </w:rPr>
              <w:t>SECTION 7.18 Title to Properties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gridSpan w:val="4"/>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260" w:type="dxa"/>
            <w:vAlign w:val="bottom"/>
            <w:gridSpan w:val="4"/>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740" w:type="dxa"/>
            <w:vAlign w:val="bottom"/>
            <w:gridSpan w:val="7"/>
          </w:tcPr>
          <w:p>
            <w:pPr>
              <w:ind w:left="640"/>
              <w:spacing w:after="0" w:line="181" w:lineRule="exact"/>
              <w:rPr>
                <w:sz w:val="20"/>
                <w:szCs w:val="20"/>
                <w:color w:val="auto"/>
              </w:rPr>
            </w:pPr>
            <w:r>
              <w:rPr>
                <w:rFonts w:ascii="Times New Roman" w:cs="Times New Roman" w:eastAsia="Times New Roman" w:hAnsi="Times New Roman"/>
                <w:sz w:val="20"/>
                <w:szCs w:val="20"/>
                <w:color w:val="auto"/>
                <w:w w:val="99"/>
              </w:rPr>
              <w:t>SECTION 7.19 Litigation</w:t>
            </w:r>
          </w:p>
        </w:tc>
        <w:tc>
          <w:tcPr>
            <w:tcW w:w="30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20"/>
                <w:szCs w:val="20"/>
                <w:color w:val="FF0000"/>
                <w:strike w:val="1"/>
                <w:w w:val="93"/>
              </w:rPr>
              <w:t>108</w:t>
            </w:r>
          </w:p>
        </w:tc>
        <w:tc>
          <w:tcPr>
            <w:tcW w:w="420" w:type="dxa"/>
            <w:vAlign w:val="bottom"/>
            <w:gridSpan w:val="5"/>
          </w:tcPr>
          <w:p>
            <w:pPr>
              <w:jc w:val="right"/>
              <w:ind w:right="42"/>
              <w:spacing w:after="0" w:line="181" w:lineRule="exact"/>
              <w:rPr>
                <w:sz w:val="20"/>
                <w:szCs w:val="20"/>
                <w:color w:val="auto"/>
              </w:rPr>
            </w:pPr>
            <w:r>
              <w:rPr>
                <w:rFonts w:ascii="Times New Roman" w:cs="Times New Roman" w:eastAsia="Times New Roman" w:hAnsi="Times New Roman"/>
                <w:sz w:val="20"/>
                <w:szCs w:val="20"/>
                <w:color w:val="0000FF"/>
                <w:w w:val="86"/>
              </w:rPr>
              <w:t>109</w:t>
            </w:r>
          </w:p>
        </w:tc>
        <w:tc>
          <w:tcPr>
            <w:tcW w:w="1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040" w:type="dxa"/>
            <w:vAlign w:val="bottom"/>
            <w:gridSpan w:val="10"/>
          </w:tcPr>
          <w:p>
            <w:pPr>
              <w:ind w:left="640"/>
              <w:spacing w:after="0" w:line="225" w:lineRule="exact"/>
              <w:rPr>
                <w:sz w:val="20"/>
                <w:szCs w:val="20"/>
                <w:color w:val="auto"/>
              </w:rPr>
            </w:pPr>
            <w:r>
              <w:rPr>
                <w:rFonts w:ascii="Times New Roman" w:cs="Times New Roman" w:eastAsia="Times New Roman" w:hAnsi="Times New Roman"/>
                <w:sz w:val="20"/>
                <w:szCs w:val="20"/>
                <w:color w:val="auto"/>
                <w:w w:val="91"/>
              </w:rPr>
              <w:t>SECTION 7.20 Anti-Corruption</w:t>
            </w:r>
          </w:p>
        </w:tc>
        <w:tc>
          <w:tcPr>
            <w:tcW w:w="14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gridSpan w:val="2"/>
          </w:tcPr>
          <w:p>
            <w:pPr>
              <w:spacing w:after="0"/>
              <w:rPr>
                <w:sz w:val="19"/>
                <w:szCs w:val="19"/>
                <w:color w:val="auto"/>
              </w:rPr>
            </w:pPr>
          </w:p>
        </w:tc>
        <w:tc>
          <w:tcPr>
            <w:tcW w:w="1600" w:type="dxa"/>
            <w:vAlign w:val="bottom"/>
            <w:gridSpan w:val="22"/>
          </w:tcPr>
          <w:p>
            <w:pPr>
              <w:spacing w:after="0" w:line="225" w:lineRule="exact"/>
              <w:rPr>
                <w:sz w:val="20"/>
                <w:szCs w:val="20"/>
                <w:color w:val="auto"/>
              </w:rPr>
            </w:pPr>
            <w:r>
              <w:rPr>
                <w:rFonts w:ascii="Times New Roman" w:cs="Times New Roman" w:eastAsia="Times New Roman" w:hAnsi="Times New Roman"/>
                <w:sz w:val="20"/>
                <w:szCs w:val="20"/>
                <w:color w:val="auto"/>
                <w:w w:val="98"/>
              </w:rPr>
              <w:t>Laws and Sanctions</w:t>
            </w:r>
          </w:p>
        </w:tc>
        <w:tc>
          <w:tcPr>
            <w:tcW w:w="780" w:type="dxa"/>
            <w:vAlign w:val="bottom"/>
            <w:gridSpan w:val="2"/>
          </w:tcPr>
          <w:p>
            <w:pPr>
              <w:jc w:val="right"/>
              <w:ind w:right="400"/>
              <w:spacing w:after="0" w:line="225" w:lineRule="exact"/>
              <w:rPr>
                <w:sz w:val="20"/>
                <w:szCs w:val="20"/>
                <w:color w:val="auto"/>
              </w:rPr>
            </w:pPr>
            <w:r>
              <w:rPr>
                <w:rFonts w:ascii="Times New Roman" w:cs="Times New Roman" w:eastAsia="Times New Roman" w:hAnsi="Times New Roman"/>
                <w:sz w:val="20"/>
                <w:szCs w:val="20"/>
                <w:color w:val="auto"/>
              </w:rPr>
              <w:t>109</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80" w:type="dxa"/>
            <w:vAlign w:val="bottom"/>
            <w:gridSpan w:val="20"/>
          </w:tcPr>
          <w:p>
            <w:pPr>
              <w:ind w:left="640"/>
              <w:spacing w:after="0" w:line="210" w:lineRule="exact"/>
              <w:rPr>
                <w:sz w:val="20"/>
                <w:szCs w:val="20"/>
                <w:color w:val="auto"/>
              </w:rPr>
            </w:pPr>
            <w:r>
              <w:rPr>
                <w:rFonts w:ascii="Times New Roman" w:cs="Times New Roman" w:eastAsia="Times New Roman" w:hAnsi="Times New Roman"/>
                <w:sz w:val="20"/>
                <w:szCs w:val="20"/>
                <w:color w:val="auto"/>
              </w:rPr>
              <w:t>SECTION 7.21 Absence of Defaults</w:t>
            </w:r>
          </w:p>
        </w:tc>
        <w:tc>
          <w:tcPr>
            <w:tcW w:w="260" w:type="dxa"/>
            <w:vAlign w:val="bottom"/>
            <w:gridSpan w:val="4"/>
          </w:tcPr>
          <w:p>
            <w:pPr>
              <w:spacing w:after="0" w:line="210" w:lineRule="exact"/>
              <w:rPr>
                <w:sz w:val="20"/>
                <w:szCs w:val="20"/>
                <w:color w:val="auto"/>
              </w:rPr>
            </w:pPr>
            <w:r>
              <w:rPr>
                <w:rFonts w:ascii="Times New Roman" w:cs="Times New Roman" w:eastAsia="Times New Roman" w:hAnsi="Times New Roman"/>
                <w:sz w:val="20"/>
                <w:szCs w:val="20"/>
                <w:color w:val="FF0000"/>
                <w:strike w:val="1"/>
                <w:w w:val="79"/>
              </w:rPr>
              <w:t>109</w:t>
            </w:r>
          </w:p>
        </w:tc>
        <w:tc>
          <w:tcPr>
            <w:tcW w:w="4200" w:type="dxa"/>
            <w:vAlign w:val="bottom"/>
            <w:gridSpan w:val="18"/>
          </w:tcPr>
          <w:p>
            <w:pPr>
              <w:spacing w:after="0" w:line="210" w:lineRule="exact"/>
              <w:rPr>
                <w:sz w:val="20"/>
                <w:szCs w:val="20"/>
                <w:color w:val="auto"/>
              </w:rPr>
            </w:pPr>
            <w:r>
              <w:rPr>
                <w:rFonts w:ascii="Times New Roman" w:cs="Times New Roman" w:eastAsia="Times New Roman" w:hAnsi="Times New Roman"/>
                <w:sz w:val="20"/>
                <w:szCs w:val="20"/>
                <w:color w:val="0000FF"/>
              </w:rPr>
              <w:t xml:space="preserve">110 </w:t>
            </w:r>
            <w:r>
              <w:rPr>
                <w:rFonts w:ascii="Times New Roman" w:cs="Times New Roman" w:eastAsia="Times New Roman" w:hAnsi="Times New Roman"/>
                <w:sz w:val="20"/>
                <w:szCs w:val="20"/>
                <w:color w:val="000000"/>
              </w:rPr>
              <w:t>SECTION 7.22 Senior Indebtedness Status</w:t>
            </w:r>
          </w:p>
        </w:tc>
        <w:tc>
          <w:tcPr>
            <w:tcW w:w="300" w:type="dxa"/>
            <w:vAlign w:val="bottom"/>
            <w:gridSpan w:val="2"/>
          </w:tcPr>
          <w:p>
            <w:pPr>
              <w:jc w:val="right"/>
              <w:spacing w:after="0" w:line="210" w:lineRule="exact"/>
              <w:rPr>
                <w:sz w:val="20"/>
                <w:szCs w:val="20"/>
                <w:color w:val="auto"/>
              </w:rPr>
            </w:pPr>
            <w:r>
              <w:rPr>
                <w:rFonts w:ascii="Times New Roman" w:cs="Times New Roman" w:eastAsia="Times New Roman" w:hAnsi="Times New Roman"/>
                <w:sz w:val="20"/>
                <w:szCs w:val="20"/>
                <w:color w:val="FF0000"/>
                <w:strike w:val="1"/>
                <w:w w:val="93"/>
              </w:rPr>
              <w:t>109</w:t>
            </w:r>
          </w:p>
        </w:tc>
        <w:tc>
          <w:tcPr>
            <w:tcW w:w="1640" w:type="dxa"/>
            <w:vAlign w:val="bottom"/>
            <w:gridSpan w:val="4"/>
          </w:tcPr>
          <w:p>
            <w:pPr>
              <w:jc w:val="right"/>
              <w:ind w:right="20"/>
              <w:spacing w:after="0" w:line="210" w:lineRule="exact"/>
              <w:rPr>
                <w:sz w:val="20"/>
                <w:szCs w:val="20"/>
                <w:color w:val="auto"/>
              </w:rPr>
            </w:pPr>
            <w:r>
              <w:rPr>
                <w:rFonts w:ascii="Times New Roman" w:cs="Times New Roman" w:eastAsia="Times New Roman" w:hAnsi="Times New Roman"/>
                <w:sz w:val="20"/>
                <w:szCs w:val="20"/>
                <w:color w:val="0000FF"/>
              </w:rPr>
              <w:t xml:space="preserve">110 </w:t>
            </w:r>
            <w:r>
              <w:rPr>
                <w:rFonts w:ascii="Times New Roman" w:cs="Times New Roman" w:eastAsia="Times New Roman" w:hAnsi="Times New Roman"/>
                <w:sz w:val="20"/>
                <w:szCs w:val="20"/>
                <w:color w:val="000000"/>
              </w:rPr>
              <w:t>SECTION 7.23</w:t>
            </w:r>
          </w:p>
        </w:tc>
        <w:tc>
          <w:tcPr>
            <w:tcW w:w="0" w:type="dxa"/>
            <w:vAlign w:val="bottom"/>
          </w:tcPr>
          <w:p>
            <w:pPr>
              <w:spacing w:after="0"/>
              <w:rPr>
                <w:sz w:val="1"/>
                <w:szCs w:val="1"/>
                <w:color w:val="auto"/>
              </w:rPr>
            </w:pPr>
          </w:p>
        </w:tc>
      </w:tr>
      <w:tr>
        <w:trPr>
          <w:trHeight w:val="314"/>
        </w:trPr>
        <w:tc>
          <w:tcPr>
            <w:tcW w:w="168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Disclosure</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FF0000"/>
                <w:strike w:val="1"/>
                <w:w w:val="93"/>
              </w:rPr>
              <w:t>109</w:t>
            </w:r>
          </w:p>
        </w:tc>
        <w:tc>
          <w:tcPr>
            <w:tcW w:w="64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0000FF"/>
                <w:w w:val="86"/>
              </w:rPr>
              <w:t>110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top w:val="single" w:sz="8" w:color="FF0000"/>
            </w:tcBorders>
          </w:tcPr>
          <w:p>
            <w:pPr>
              <w:spacing w:after="0"/>
              <w:rPr>
                <w:sz w:val="24"/>
                <w:szCs w:val="24"/>
                <w:color w:val="auto"/>
              </w:rPr>
            </w:pPr>
          </w:p>
        </w:tc>
        <w:tc>
          <w:tcPr>
            <w:tcW w:w="20" w:type="dxa"/>
            <w:vAlign w:val="bottom"/>
            <w:tcBorders>
              <w:top w:val="single" w:sz="8" w:color="FF0000"/>
            </w:tcBorders>
          </w:tcPr>
          <w:p>
            <w:pPr>
              <w:spacing w:after="0"/>
              <w:rPr>
                <w:sz w:val="24"/>
                <w:szCs w:val="24"/>
                <w:color w:val="auto"/>
              </w:rPr>
            </w:pPr>
          </w:p>
        </w:tc>
        <w:tc>
          <w:tcPr>
            <w:tcW w:w="300" w:type="dxa"/>
            <w:vAlign w:val="bottom"/>
            <w:tcBorders>
              <w:top w:val="single" w:sz="8" w:color="FF0000"/>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0" w:type="dxa"/>
            <w:vAlign w:val="bottom"/>
            <w:tcBorders>
              <w:top w:val="single" w:sz="8" w:color="FF0000"/>
            </w:tcBorders>
          </w:tcPr>
          <w:p>
            <w:pPr>
              <w:spacing w:after="0"/>
              <w:rPr>
                <w:sz w:val="24"/>
                <w:szCs w:val="24"/>
                <w:color w:val="auto"/>
              </w:rPr>
            </w:pPr>
          </w:p>
        </w:tc>
        <w:tc>
          <w:tcPr>
            <w:tcW w:w="160" w:type="dxa"/>
            <w:vAlign w:val="bottom"/>
            <w:tcBorders>
              <w:top w:val="single" w:sz="8" w:color="FF0000"/>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200" w:type="dxa"/>
            <w:vAlign w:val="bottom"/>
            <w:shd w:val="clear" w:color="auto" w:fill="FF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700" w:type="dxa"/>
            <w:vAlign w:val="bottom"/>
            <w:gridSpan w:val="6"/>
          </w:tcPr>
          <w:p>
            <w:pPr>
              <w:ind w:left="640"/>
              <w:spacing w:after="0"/>
              <w:rPr>
                <w:sz w:val="20"/>
                <w:szCs w:val="20"/>
                <w:color w:val="auto"/>
              </w:rPr>
            </w:pPr>
            <w:r>
              <w:rPr>
                <w:rFonts w:ascii="Times New Roman" w:cs="Times New Roman" w:eastAsia="Times New Roman" w:hAnsi="Times New Roman"/>
                <w:sz w:val="20"/>
                <w:szCs w:val="20"/>
                <w:color w:val="auto"/>
                <w:w w:val="98"/>
              </w:rPr>
              <w:t>SECTION 7.24 Insurance</w:t>
            </w:r>
          </w:p>
        </w:tc>
        <w:tc>
          <w:tcPr>
            <w:tcW w:w="48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110</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3980" w:type="dxa"/>
            <w:vAlign w:val="bottom"/>
            <w:gridSpan w:val="20"/>
          </w:tcPr>
          <w:p>
            <w:pPr>
              <w:spacing w:after="0"/>
              <w:rPr>
                <w:sz w:val="20"/>
                <w:szCs w:val="20"/>
                <w:color w:val="auto"/>
              </w:rPr>
            </w:pPr>
            <w:r>
              <w:rPr>
                <w:rFonts w:ascii="Times New Roman" w:cs="Times New Roman" w:eastAsia="Times New Roman" w:hAnsi="Times New Roman"/>
                <w:sz w:val="20"/>
                <w:szCs w:val="20"/>
                <w:color w:val="auto"/>
              </w:rPr>
              <w:t>ARTICLE VIII AFFIRMATIVE COVENANTS</w:t>
            </w:r>
          </w:p>
        </w:tc>
        <w:tc>
          <w:tcPr>
            <w:tcW w:w="320" w:type="dxa"/>
            <w:vAlign w:val="bottom"/>
            <w:gridSpan w:val="6"/>
          </w:tcPr>
          <w:p>
            <w:pPr>
              <w:spacing w:after="0"/>
              <w:rPr>
                <w:sz w:val="20"/>
                <w:szCs w:val="20"/>
                <w:color w:val="auto"/>
              </w:rPr>
            </w:pPr>
            <w:r>
              <w:rPr>
                <w:rFonts w:ascii="Times New Roman" w:cs="Times New Roman" w:eastAsia="Times New Roman" w:hAnsi="Times New Roman"/>
                <w:sz w:val="20"/>
                <w:szCs w:val="20"/>
                <w:color w:val="FF0000"/>
                <w:strike w:val="1"/>
                <w:w w:val="93"/>
              </w:rPr>
              <w:t>110</w:t>
            </w:r>
          </w:p>
        </w:tc>
        <w:tc>
          <w:tcPr>
            <w:tcW w:w="280" w:type="dxa"/>
            <w:vAlign w:val="bottom"/>
            <w:gridSpan w:val="6"/>
          </w:tcPr>
          <w:p>
            <w:pPr>
              <w:jc w:val="right"/>
              <w:ind w:right="40"/>
              <w:spacing w:after="0"/>
              <w:rPr>
                <w:sz w:val="20"/>
                <w:szCs w:val="20"/>
                <w:color w:val="auto"/>
              </w:rPr>
            </w:pPr>
            <w:r>
              <w:rPr>
                <w:rFonts w:ascii="Times New Roman" w:cs="Times New Roman" w:eastAsia="Times New Roman" w:hAnsi="Times New Roman"/>
                <w:sz w:val="20"/>
                <w:szCs w:val="20"/>
                <w:color w:val="0000FF"/>
                <w:w w:val="73"/>
              </w:rPr>
              <w:t>111</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20" w:type="dxa"/>
            <w:vAlign w:val="bottom"/>
            <w:gridSpan w:val="5"/>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4520" w:type="dxa"/>
            <w:vAlign w:val="bottom"/>
            <w:gridSpan w:val="29"/>
          </w:tcPr>
          <w:p>
            <w:pPr>
              <w:ind w:left="640"/>
              <w:spacing w:after="0"/>
              <w:rPr>
                <w:sz w:val="20"/>
                <w:szCs w:val="20"/>
                <w:color w:val="auto"/>
              </w:rPr>
            </w:pPr>
            <w:r>
              <w:rPr>
                <w:rFonts w:ascii="Times New Roman" w:cs="Times New Roman" w:eastAsia="Times New Roman" w:hAnsi="Times New Roman"/>
                <w:sz w:val="20"/>
                <w:szCs w:val="20"/>
                <w:color w:val="auto"/>
                <w:w w:val="98"/>
              </w:rPr>
              <w:t>SECTION 8.1 Financial Statements and Budgets</w:t>
            </w: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FF0000"/>
                <w:strike w:val="1"/>
                <w:w w:val="93"/>
              </w:rPr>
              <w:t>110</w:t>
            </w:r>
          </w:p>
        </w:tc>
        <w:tc>
          <w:tcPr>
            <w:tcW w:w="28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0"/>
                <w:szCs w:val="20"/>
                <w:color w:val="0000FF"/>
                <w:w w:val="86"/>
              </w:rPr>
              <w:t>111</w:t>
            </w:r>
          </w:p>
        </w:tc>
        <w:tc>
          <w:tcPr>
            <w:tcW w:w="3180" w:type="dxa"/>
            <w:vAlign w:val="bottom"/>
            <w:gridSpan w:val="5"/>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3980" w:type="dxa"/>
            <w:vAlign w:val="bottom"/>
            <w:gridSpan w:val="20"/>
          </w:tcPr>
          <w:p>
            <w:pPr>
              <w:ind w:left="640"/>
              <w:spacing w:after="0"/>
              <w:rPr>
                <w:sz w:val="20"/>
                <w:szCs w:val="20"/>
                <w:color w:val="auto"/>
              </w:rPr>
            </w:pPr>
            <w:r>
              <w:rPr>
                <w:rFonts w:ascii="Times New Roman" w:cs="Times New Roman" w:eastAsia="Times New Roman" w:hAnsi="Times New Roman"/>
                <w:sz w:val="20"/>
                <w:szCs w:val="20"/>
                <w:color w:val="auto"/>
                <w:w w:val="98"/>
              </w:rPr>
              <w:t>SECTION 8.2 Certificates; Other Reports</w:t>
            </w:r>
          </w:p>
        </w:tc>
        <w:tc>
          <w:tcPr>
            <w:tcW w:w="320" w:type="dxa"/>
            <w:vAlign w:val="bottom"/>
            <w:gridSpan w:val="6"/>
          </w:tcPr>
          <w:p>
            <w:pPr>
              <w:spacing w:after="0"/>
              <w:rPr>
                <w:sz w:val="20"/>
                <w:szCs w:val="20"/>
                <w:color w:val="auto"/>
              </w:rPr>
            </w:pPr>
            <w:r>
              <w:rPr>
                <w:rFonts w:ascii="Times New Roman" w:cs="Times New Roman" w:eastAsia="Times New Roman" w:hAnsi="Times New Roman"/>
                <w:sz w:val="20"/>
                <w:szCs w:val="20"/>
                <w:color w:val="FF0000"/>
                <w:strike w:val="1"/>
                <w:w w:val="93"/>
              </w:rPr>
              <w:t>111</w:t>
            </w:r>
          </w:p>
        </w:tc>
        <w:tc>
          <w:tcPr>
            <w:tcW w:w="2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73"/>
              </w:rPr>
              <w:t>112</w:t>
            </w:r>
          </w:p>
        </w:tc>
        <w:tc>
          <w:tcPr>
            <w:tcW w:w="40" w:type="dxa"/>
            <w:vAlign w:val="bottom"/>
            <w:gridSpan w:val="2"/>
          </w:tcPr>
          <w:p>
            <w:pPr>
              <w:spacing w:after="0"/>
              <w:rPr>
                <w:sz w:val="21"/>
                <w:szCs w:val="21"/>
                <w:color w:val="auto"/>
              </w:rPr>
            </w:pPr>
          </w:p>
        </w:tc>
        <w:tc>
          <w:tcPr>
            <w:tcW w:w="340" w:type="dxa"/>
            <w:vAlign w:val="bottom"/>
            <w:gridSpan w:val="3"/>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4300" w:type="dxa"/>
            <w:vAlign w:val="bottom"/>
            <w:gridSpan w:val="26"/>
          </w:tcPr>
          <w:p>
            <w:pPr>
              <w:ind w:left="640"/>
              <w:spacing w:after="0" w:line="184" w:lineRule="exact"/>
              <w:rPr>
                <w:sz w:val="20"/>
                <w:szCs w:val="20"/>
                <w:color w:val="auto"/>
              </w:rPr>
            </w:pPr>
            <w:r>
              <w:rPr>
                <w:rFonts w:ascii="Times New Roman" w:cs="Times New Roman" w:eastAsia="Times New Roman" w:hAnsi="Times New Roman"/>
                <w:sz w:val="20"/>
                <w:szCs w:val="20"/>
                <w:color w:val="auto"/>
                <w:w w:val="99"/>
              </w:rPr>
              <w:t>SECTION 8.3 Notice of Litigation and Other</w:t>
            </w:r>
          </w:p>
        </w:tc>
        <w:tc>
          <w:tcPr>
            <w:tcW w:w="620" w:type="dxa"/>
            <w:vAlign w:val="bottom"/>
            <w:gridSpan w:val="9"/>
          </w:tcPr>
          <w:p>
            <w:pPr>
              <w:spacing w:after="0" w:line="184" w:lineRule="exact"/>
              <w:rPr>
                <w:sz w:val="20"/>
                <w:szCs w:val="20"/>
                <w:color w:val="auto"/>
              </w:rPr>
            </w:pPr>
            <w:r>
              <w:rPr>
                <w:rFonts w:ascii="Times New Roman" w:cs="Times New Roman" w:eastAsia="Times New Roman" w:hAnsi="Times New Roman"/>
                <w:sz w:val="20"/>
                <w:szCs w:val="20"/>
                <w:color w:val="auto"/>
                <w:w w:val="98"/>
              </w:rPr>
              <w:t>Matters</w:t>
            </w:r>
          </w:p>
        </w:tc>
        <w:tc>
          <w:tcPr>
            <w:tcW w:w="780" w:type="dxa"/>
            <w:vAlign w:val="bottom"/>
            <w:gridSpan w:val="2"/>
          </w:tcPr>
          <w:p>
            <w:pPr>
              <w:jc w:val="right"/>
              <w:ind w:right="360"/>
              <w:spacing w:after="0" w:line="184" w:lineRule="exact"/>
              <w:rPr>
                <w:sz w:val="20"/>
                <w:szCs w:val="20"/>
                <w:color w:val="auto"/>
              </w:rPr>
            </w:pPr>
            <w:r>
              <w:rPr>
                <w:rFonts w:ascii="Times New Roman" w:cs="Times New Roman" w:eastAsia="Times New Roman" w:hAnsi="Times New Roman"/>
                <w:sz w:val="20"/>
                <w:szCs w:val="20"/>
                <w:color w:val="auto"/>
              </w:rPr>
              <w:t>113</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8440" w:type="dxa"/>
            <w:vAlign w:val="bottom"/>
            <w:gridSpan w:val="42"/>
          </w:tcPr>
          <w:p>
            <w:pPr>
              <w:ind w:left="640"/>
              <w:spacing w:after="0"/>
              <w:rPr>
                <w:sz w:val="20"/>
                <w:szCs w:val="20"/>
                <w:color w:val="auto"/>
              </w:rPr>
            </w:pPr>
            <w:r>
              <w:rPr>
                <w:rFonts w:ascii="Times New Roman" w:cs="Times New Roman" w:eastAsia="Times New Roman" w:hAnsi="Times New Roman"/>
                <w:sz w:val="20"/>
                <w:szCs w:val="20"/>
                <w:color w:val="auto"/>
              </w:rPr>
              <w:t>SECTION 8.4 Preservation of Corporate Existence and Related Matters  114</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4"/>
        </w:trPr>
        <w:tc>
          <w:tcPr>
            <w:tcW w:w="4920" w:type="dxa"/>
            <w:vAlign w:val="bottom"/>
            <w:gridSpan w:val="35"/>
          </w:tcPr>
          <w:p>
            <w:pPr>
              <w:ind w:left="640"/>
              <w:spacing w:after="0"/>
              <w:rPr>
                <w:sz w:val="20"/>
                <w:szCs w:val="20"/>
                <w:color w:val="auto"/>
              </w:rPr>
            </w:pPr>
            <w:r>
              <w:rPr>
                <w:rFonts w:ascii="Times New Roman" w:cs="Times New Roman" w:eastAsia="Times New Roman" w:hAnsi="Times New Roman"/>
                <w:sz w:val="20"/>
                <w:szCs w:val="20"/>
                <w:color w:val="auto"/>
                <w:w w:val="99"/>
              </w:rPr>
              <w:t>SECTION 8.5 Maintenance of Property and Licenses</w:t>
            </w: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rPr>
              <w:t>114</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2620" w:type="dxa"/>
            <w:vAlign w:val="bottom"/>
            <w:gridSpan w:val="5"/>
          </w:tcPr>
          <w:p>
            <w:pPr>
              <w:ind w:left="640"/>
              <w:spacing w:after="0"/>
              <w:rPr>
                <w:sz w:val="20"/>
                <w:szCs w:val="20"/>
                <w:color w:val="auto"/>
              </w:rPr>
            </w:pPr>
            <w:r>
              <w:rPr>
                <w:rFonts w:ascii="Times New Roman" w:cs="Times New Roman" w:eastAsia="Times New Roman" w:hAnsi="Times New Roman"/>
                <w:sz w:val="20"/>
                <w:szCs w:val="20"/>
                <w:color w:val="auto"/>
                <w:w w:val="99"/>
              </w:rPr>
              <w:t>SECTION 8.6 Insurance</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FF0000"/>
                <w:strike w:val="1"/>
                <w:w w:val="86"/>
              </w:rPr>
              <w:t>114</w:t>
            </w:r>
          </w:p>
        </w:tc>
        <w:tc>
          <w:tcPr>
            <w:tcW w:w="5260" w:type="dxa"/>
            <w:vAlign w:val="bottom"/>
            <w:gridSpan w:val="31"/>
          </w:tcPr>
          <w:p>
            <w:pPr>
              <w:spacing w:after="0"/>
              <w:rPr>
                <w:sz w:val="20"/>
                <w:szCs w:val="20"/>
                <w:color w:val="auto"/>
              </w:rPr>
            </w:pPr>
            <w:r>
              <w:rPr>
                <w:rFonts w:ascii="Times New Roman" w:cs="Times New Roman" w:eastAsia="Times New Roman" w:hAnsi="Times New Roman"/>
                <w:sz w:val="20"/>
                <w:szCs w:val="20"/>
                <w:color w:val="0000FF"/>
              </w:rPr>
              <w:t xml:space="preserve">115 </w:t>
            </w:r>
            <w:r>
              <w:rPr>
                <w:rFonts w:ascii="Times New Roman" w:cs="Times New Roman" w:eastAsia="Times New Roman" w:hAnsi="Times New Roman"/>
                <w:sz w:val="20"/>
                <w:szCs w:val="20"/>
                <w:color w:val="000000"/>
              </w:rPr>
              <w:t>SECTION 8.7 Accounting Methods and Financial Records</w:t>
            </w:r>
          </w:p>
        </w:tc>
        <w:tc>
          <w:tcPr>
            <w:tcW w:w="14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FF0000"/>
                <w:strike w:val="1"/>
                <w:w w:val="86"/>
              </w:rPr>
              <w:t>114</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 xml:space="preserve">115 </w:t>
            </w:r>
            <w:r>
              <w:rPr>
                <w:rFonts w:ascii="Times New Roman" w:cs="Times New Roman" w:eastAsia="Times New Roman" w:hAnsi="Times New Roman"/>
                <w:sz w:val="20"/>
                <w:szCs w:val="20"/>
                <w:color w:val="000000"/>
              </w:rPr>
              <w:t>SECTION 8.8</w:t>
            </w:r>
          </w:p>
        </w:tc>
        <w:tc>
          <w:tcPr>
            <w:tcW w:w="0" w:type="dxa"/>
            <w:vAlign w:val="bottom"/>
          </w:tcPr>
          <w:p>
            <w:pPr>
              <w:spacing w:after="0"/>
              <w:rPr>
                <w:sz w:val="1"/>
                <w:szCs w:val="1"/>
                <w:color w:val="auto"/>
              </w:rPr>
            </w:pPr>
          </w:p>
        </w:tc>
      </w:tr>
      <w:tr>
        <w:trPr>
          <w:trHeight w:val="20"/>
        </w:trPr>
        <w:tc>
          <w:tcPr>
            <w:tcW w:w="2620" w:type="dxa"/>
            <w:vAlign w:val="bottom"/>
            <w:gridSpan w:val="5"/>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FF0000"/>
          </w:tcPr>
          <w:p>
            <w:pPr>
              <w:spacing w:after="0" w:line="20" w:lineRule="exact"/>
              <w:rPr>
                <w:sz w:val="1"/>
                <w:szCs w:val="1"/>
                <w:color w:val="auto"/>
              </w:rPr>
            </w:pPr>
          </w:p>
        </w:tc>
        <w:tc>
          <w:tcPr>
            <w:tcW w:w="140" w:type="dxa"/>
            <w:vAlign w:val="bottom"/>
            <w:shd w:val="clear" w:color="auto" w:fill="FF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3980" w:type="dxa"/>
            <w:vAlign w:val="bottom"/>
            <w:gridSpan w:val="20"/>
          </w:tcPr>
          <w:p>
            <w:pPr>
              <w:ind w:left="640"/>
              <w:spacing w:after="0"/>
              <w:rPr>
                <w:sz w:val="20"/>
                <w:szCs w:val="20"/>
                <w:color w:val="auto"/>
              </w:rPr>
            </w:pPr>
            <w:r>
              <w:rPr>
                <w:rFonts w:ascii="Times New Roman" w:cs="Times New Roman" w:eastAsia="Times New Roman" w:hAnsi="Times New Roman"/>
                <w:sz w:val="20"/>
                <w:szCs w:val="20"/>
                <w:color w:val="auto"/>
              </w:rPr>
              <w:t>Payment of Taxes and Other Obligations</w:t>
            </w:r>
          </w:p>
        </w:tc>
        <w:tc>
          <w:tcPr>
            <w:tcW w:w="340" w:type="dxa"/>
            <w:vAlign w:val="bottom"/>
            <w:gridSpan w:val="7"/>
          </w:tcPr>
          <w:p>
            <w:pPr>
              <w:jc w:val="right"/>
              <w:spacing w:after="0"/>
              <w:rPr>
                <w:sz w:val="20"/>
                <w:szCs w:val="20"/>
                <w:color w:val="auto"/>
              </w:rPr>
            </w:pPr>
            <w:r>
              <w:rPr>
                <w:rFonts w:ascii="Times New Roman" w:cs="Times New Roman" w:eastAsia="Times New Roman" w:hAnsi="Times New Roman"/>
                <w:sz w:val="20"/>
                <w:szCs w:val="20"/>
                <w:color w:val="FF0000"/>
                <w:strike w:val="1"/>
              </w:rPr>
              <w:t>114</w:t>
            </w:r>
          </w:p>
        </w:tc>
        <w:tc>
          <w:tcPr>
            <w:tcW w:w="50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115</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right w:val="single" w:sz="8" w:color="FF0000"/>
            </w:tcBorders>
          </w:tcPr>
          <w:p>
            <w:pPr>
              <w:spacing w:after="0" w:line="20" w:lineRule="exact"/>
              <w:rPr>
                <w:sz w:val="1"/>
                <w:szCs w:val="1"/>
                <w:color w:val="auto"/>
              </w:rPr>
            </w:pPr>
          </w:p>
        </w:tc>
        <w:tc>
          <w:tcPr>
            <w:tcW w:w="160" w:type="dxa"/>
            <w:vAlign w:val="bottom"/>
            <w:tcBorders>
              <w:left w:val="single" w:sz="8" w:color="FF000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4018915</wp:posOffset>
            </wp:positionH>
            <wp:positionV relativeFrom="paragraph">
              <wp:posOffset>-4406900</wp:posOffset>
            </wp:positionV>
            <wp:extent cx="3111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69">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2914650</wp:posOffset>
            </wp:positionH>
            <wp:positionV relativeFrom="paragraph">
              <wp:posOffset>-4237355</wp:posOffset>
            </wp:positionV>
            <wp:extent cx="3111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70">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2736215</wp:posOffset>
            </wp:positionH>
            <wp:positionV relativeFrom="paragraph">
              <wp:posOffset>-3948430</wp:posOffset>
            </wp:positionV>
            <wp:extent cx="3111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71">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2898775</wp:posOffset>
            </wp:positionH>
            <wp:positionV relativeFrom="paragraph">
              <wp:posOffset>-3778250</wp:posOffset>
            </wp:positionV>
            <wp:extent cx="3111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72">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2326640</wp:posOffset>
            </wp:positionH>
            <wp:positionV relativeFrom="paragraph">
              <wp:posOffset>-3651250</wp:posOffset>
            </wp:positionV>
            <wp:extent cx="3111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73">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-3523615</wp:posOffset>
            </wp:positionV>
            <wp:extent cx="3111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74">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-2801620</wp:posOffset>
            </wp:positionV>
            <wp:extent cx="3111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75">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-2632075</wp:posOffset>
            </wp:positionV>
            <wp:extent cx="3111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76">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-2504440</wp:posOffset>
            </wp:positionV>
            <wp:extent cx="3111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77">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2541905</wp:posOffset>
            </wp:positionH>
            <wp:positionV relativeFrom="paragraph">
              <wp:posOffset>-2385695</wp:posOffset>
            </wp:positionV>
            <wp:extent cx="3111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78">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2138680</wp:posOffset>
            </wp:positionH>
            <wp:positionV relativeFrom="paragraph">
              <wp:posOffset>-2258060</wp:posOffset>
            </wp:positionV>
            <wp:extent cx="3111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79">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3275965</wp:posOffset>
            </wp:positionH>
            <wp:positionV relativeFrom="paragraph">
              <wp:posOffset>-1111885</wp:posOffset>
            </wp:positionV>
            <wp:extent cx="3111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80">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2926715</wp:posOffset>
            </wp:positionH>
            <wp:positionV relativeFrom="paragraph">
              <wp:posOffset>-941705</wp:posOffset>
            </wp:positionV>
            <wp:extent cx="3111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81">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tabs>
          <w:tab w:leader="none" w:pos="300" w:val="left"/>
        </w:tabs>
        <w:rPr>
          <w:sz w:val="20"/>
          <w:szCs w:val="20"/>
          <w:color w:val="auto"/>
        </w:rPr>
      </w:pPr>
      <w:r>
        <w:rPr>
          <w:sz w:val="1"/>
          <w:szCs w:val="1"/>
          <w:color w:val="auto"/>
        </w:rPr>
        <w:drawing>
          <wp:inline distT="0" distB="0" distL="0" distR="0">
            <wp:extent cx="8255" cy="101600"/>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82">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3</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ectPr>
          <w:pgSz w:w="11900" w:h="16838" w:orient="portrait"/>
          <w:cols w:equalWidth="0" w:num="1">
            <w:col w:w="11060"/>
          </w:cols>
          <w:pgMar w:left="320" w:top="1316" w:right="519" w:bottom="1440" w:gutter="0" w:footer="0" w:header="0"/>
        </w:sectPr>
      </w:pPr>
    </w:p>
    <w:bookmarkStart w:id="143" w:name="page144"/>
    <w:bookmarkEnd w:id="143"/>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(continued)</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Page</w:t>
      </w:r>
    </w:p>
    <w:p>
      <w:pPr>
        <w:spacing w:after="0" w:line="377" w:lineRule="exact"/>
        <w:rPr>
          <w:sz w:val="20"/>
          <w:szCs w:val="20"/>
          <w:color w:val="auto"/>
        </w:rPr>
      </w:pPr>
    </w:p>
    <w:tbl>
      <w:tblPr>
        <w:tblLayout w:type="fixed"/>
        <w:tblInd w:w="680" w:type="dxa"/>
        <w:tblCellMar>
          <w:top w:w="0" w:type="dxa"/>
          <w:left w:w="0" w:type="dxa"/>
          <w:bottom w:w="0" w:type="dxa"/>
          <w:right w:w="0" w:type="dxa"/>
        </w:tblCellMar>
      </w:tblPr>
      <w:tr>
        <w:trPr>
          <w:trHeight w:val="255"/>
        </w:trPr>
        <w:tc>
          <w:tcPr>
            <w:tcW w:w="4960" w:type="dxa"/>
            <w:vAlign w:val="bottom"/>
            <w:gridSpan w:val="33"/>
          </w:tcPr>
          <w:p>
            <w:pPr>
              <w:ind w:left="640"/>
              <w:spacing w:after="0"/>
              <w:rPr>
                <w:sz w:val="20"/>
                <w:szCs w:val="20"/>
                <w:color w:val="auto"/>
              </w:rPr>
            </w:pPr>
            <w:r>
              <w:rPr>
                <w:rFonts w:ascii="Times New Roman" w:cs="Times New Roman" w:eastAsia="Times New Roman" w:hAnsi="Times New Roman"/>
                <w:sz w:val="20"/>
                <w:szCs w:val="20"/>
                <w:color w:val="auto"/>
              </w:rPr>
              <w:t>SECTION 8.9 Compliance with Laws and Approvals</w:t>
            </w:r>
          </w:p>
        </w:tc>
        <w:tc>
          <w:tcPr>
            <w:tcW w:w="76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color w:val="auto"/>
              </w:rPr>
              <w:t>115</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8"/>
        </w:trPr>
        <w:tc>
          <w:tcPr>
            <w:tcW w:w="3540" w:type="dxa"/>
            <w:vAlign w:val="bottom"/>
            <w:gridSpan w:val="15"/>
          </w:tcPr>
          <w:p>
            <w:pPr>
              <w:ind w:left="640"/>
              <w:spacing w:after="0"/>
              <w:rPr>
                <w:sz w:val="20"/>
                <w:szCs w:val="20"/>
                <w:color w:val="auto"/>
              </w:rPr>
            </w:pPr>
            <w:r>
              <w:rPr>
                <w:rFonts w:ascii="Times New Roman" w:cs="Times New Roman" w:eastAsia="Times New Roman" w:hAnsi="Times New Roman"/>
                <w:sz w:val="20"/>
                <w:szCs w:val="20"/>
                <w:color w:val="auto"/>
                <w:w w:val="96"/>
              </w:rPr>
              <w:t>SECTION 8.10 Environmental Laws</w:t>
            </w:r>
          </w:p>
        </w:tc>
        <w:tc>
          <w:tcPr>
            <w:tcW w:w="520" w:type="dxa"/>
            <w:vAlign w:val="bottom"/>
            <w:gridSpan w:val="9"/>
          </w:tcPr>
          <w:p>
            <w:pPr>
              <w:jc w:val="center"/>
              <w:ind w:left="85"/>
              <w:spacing w:after="0"/>
              <w:rPr>
                <w:sz w:val="20"/>
                <w:szCs w:val="20"/>
                <w:color w:val="auto"/>
              </w:rPr>
            </w:pPr>
            <w:r>
              <w:rPr>
                <w:rFonts w:ascii="Times New Roman" w:cs="Times New Roman" w:eastAsia="Times New Roman" w:hAnsi="Times New Roman"/>
                <w:sz w:val="20"/>
                <w:szCs w:val="20"/>
                <w:color w:val="auto"/>
                <w:w w:val="99"/>
              </w:rPr>
              <w:t>115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6180" w:type="dxa"/>
            <w:vAlign w:val="bottom"/>
            <w:gridSpan w:val="37"/>
          </w:tcPr>
          <w:p>
            <w:pPr>
              <w:ind w:left="640"/>
              <w:spacing w:after="0"/>
              <w:rPr>
                <w:sz w:val="20"/>
                <w:szCs w:val="20"/>
                <w:color w:val="auto"/>
              </w:rPr>
            </w:pPr>
            <w:r>
              <w:rPr>
                <w:rFonts w:ascii="Times New Roman" w:cs="Times New Roman" w:eastAsia="Times New Roman" w:hAnsi="Times New Roman"/>
                <w:sz w:val="20"/>
                <w:szCs w:val="20"/>
                <w:color w:val="auto"/>
                <w:w w:val="98"/>
              </w:rPr>
              <w:t>SECTION 8.11 Compliance with ERISA and Canadian Pension Laws</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FF0000"/>
                <w:strike w:val="1"/>
                <w:w w:val="86"/>
              </w:rPr>
              <w:t>115</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0000FF"/>
                <w:w w:val="93"/>
              </w:rPr>
              <w:t>116</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4300" w:type="dxa"/>
            <w:vAlign w:val="bottom"/>
            <w:gridSpan w:val="26"/>
          </w:tcPr>
          <w:p>
            <w:pPr>
              <w:ind w:left="640"/>
              <w:spacing w:after="0"/>
              <w:rPr>
                <w:sz w:val="20"/>
                <w:szCs w:val="20"/>
                <w:color w:val="auto"/>
              </w:rPr>
            </w:pPr>
            <w:r>
              <w:rPr>
                <w:rFonts w:ascii="Times New Roman" w:cs="Times New Roman" w:eastAsia="Times New Roman" w:hAnsi="Times New Roman"/>
                <w:sz w:val="20"/>
                <w:szCs w:val="20"/>
                <w:color w:val="auto"/>
                <w:w w:val="99"/>
              </w:rPr>
              <w:t>SECTION 8.12 Maintenance of Debt Ratings</w:t>
            </w:r>
          </w:p>
        </w:tc>
        <w:tc>
          <w:tcPr>
            <w:tcW w:w="260" w:type="dxa"/>
            <w:vAlign w:val="bottom"/>
            <w:gridSpan w:val="4"/>
          </w:tcPr>
          <w:p>
            <w:pPr>
              <w:spacing w:after="0"/>
              <w:rPr>
                <w:sz w:val="20"/>
                <w:szCs w:val="20"/>
                <w:color w:val="auto"/>
              </w:rPr>
            </w:pPr>
            <w:r>
              <w:rPr>
                <w:rFonts w:ascii="Times New Roman" w:cs="Times New Roman" w:eastAsia="Times New Roman" w:hAnsi="Times New Roman"/>
                <w:sz w:val="20"/>
                <w:szCs w:val="20"/>
                <w:color w:val="FF0000"/>
                <w:strike w:val="1"/>
                <w:w w:val="79"/>
              </w:rPr>
              <w:t>115</w:t>
            </w:r>
          </w:p>
        </w:tc>
        <w:tc>
          <w:tcPr>
            <w:tcW w:w="4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0000FF"/>
                <w:w w:val="86"/>
              </w:rPr>
              <w:t>116</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3720" w:type="dxa"/>
            <w:vAlign w:val="bottom"/>
            <w:gridSpan w:val="17"/>
          </w:tcPr>
          <w:p>
            <w:pPr>
              <w:ind w:left="640"/>
              <w:spacing w:after="0" w:line="167" w:lineRule="exact"/>
              <w:rPr>
                <w:sz w:val="20"/>
                <w:szCs w:val="20"/>
                <w:color w:val="auto"/>
              </w:rPr>
            </w:pPr>
            <w:r>
              <w:rPr>
                <w:rFonts w:ascii="Times New Roman" w:cs="Times New Roman" w:eastAsia="Times New Roman" w:hAnsi="Times New Roman"/>
                <w:sz w:val="19"/>
                <w:szCs w:val="19"/>
                <w:color w:val="auto"/>
              </w:rPr>
              <w:t>SECTION 8.13 Visits and Inspections</w:t>
            </w:r>
          </w:p>
        </w:tc>
        <w:tc>
          <w:tcPr>
            <w:tcW w:w="340" w:type="dxa"/>
            <w:vAlign w:val="bottom"/>
            <w:gridSpan w:val="7"/>
          </w:tcPr>
          <w:p>
            <w:pPr>
              <w:jc w:val="right"/>
              <w:ind w:right="2"/>
              <w:spacing w:after="0" w:line="167" w:lineRule="exact"/>
              <w:rPr>
                <w:sz w:val="20"/>
                <w:szCs w:val="20"/>
                <w:color w:val="auto"/>
              </w:rPr>
            </w:pPr>
            <w:r>
              <w:rPr>
                <w:rFonts w:ascii="Times New Roman" w:cs="Times New Roman" w:eastAsia="Times New Roman" w:hAnsi="Times New Roman"/>
                <w:sz w:val="19"/>
                <w:szCs w:val="19"/>
                <w:color w:val="FF0000"/>
                <w:strike w:val="1"/>
                <w:w w:val="77"/>
              </w:rPr>
              <w:t>115</w:t>
            </w:r>
          </w:p>
        </w:tc>
        <w:tc>
          <w:tcPr>
            <w:tcW w:w="240" w:type="dxa"/>
            <w:vAlign w:val="bottom"/>
            <w:tcBorders>
              <w:bottom w:val="single" w:sz="8" w:color="0000FF"/>
            </w:tcBorders>
            <w:gridSpan w:val="2"/>
          </w:tcPr>
          <w:p>
            <w:pPr>
              <w:jc w:val="right"/>
              <w:ind w:right="40"/>
              <w:spacing w:after="0" w:line="167" w:lineRule="exact"/>
              <w:rPr>
                <w:sz w:val="20"/>
                <w:szCs w:val="20"/>
                <w:color w:val="auto"/>
              </w:rPr>
            </w:pPr>
            <w:r>
              <w:rPr>
                <w:rFonts w:ascii="Times New Roman" w:cs="Times New Roman" w:eastAsia="Times New Roman" w:hAnsi="Times New Roman"/>
                <w:sz w:val="17"/>
                <w:szCs w:val="17"/>
                <w:color w:val="0000FF"/>
                <w:w w:val="70"/>
              </w:rPr>
              <w:t>116</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300" w:type="dxa"/>
            <w:vAlign w:val="bottom"/>
            <w:gridSpan w:val="26"/>
          </w:tcPr>
          <w:p>
            <w:pPr>
              <w:ind w:left="640"/>
              <w:spacing w:after="0" w:line="178" w:lineRule="exact"/>
              <w:rPr>
                <w:sz w:val="20"/>
                <w:szCs w:val="20"/>
                <w:color w:val="auto"/>
              </w:rPr>
            </w:pPr>
            <w:r>
              <w:rPr>
                <w:rFonts w:ascii="Times New Roman" w:cs="Times New Roman" w:eastAsia="Times New Roman" w:hAnsi="Times New Roman"/>
                <w:sz w:val="20"/>
                <w:szCs w:val="20"/>
                <w:color w:val="auto"/>
              </w:rPr>
              <w:t>SECTION 8.14 Additional Subsidiaries and</w:t>
            </w:r>
          </w:p>
        </w:tc>
        <w:tc>
          <w:tcPr>
            <w:tcW w:w="660" w:type="dxa"/>
            <w:vAlign w:val="bottom"/>
            <w:gridSpan w:val="7"/>
          </w:tcPr>
          <w:p>
            <w:pPr>
              <w:spacing w:after="0" w:line="178" w:lineRule="exact"/>
              <w:rPr>
                <w:sz w:val="20"/>
                <w:szCs w:val="20"/>
                <w:color w:val="auto"/>
              </w:rPr>
            </w:pPr>
            <w:r>
              <w:rPr>
                <w:rFonts w:ascii="Times New Roman" w:cs="Times New Roman" w:eastAsia="Times New Roman" w:hAnsi="Times New Roman"/>
                <w:sz w:val="20"/>
                <w:szCs w:val="20"/>
                <w:color w:val="auto"/>
                <w:w w:val="81"/>
              </w:rPr>
              <w:t>Collateral</w:t>
            </w:r>
          </w:p>
        </w:tc>
        <w:tc>
          <w:tcPr>
            <w:tcW w:w="760" w:type="dxa"/>
            <w:vAlign w:val="bottom"/>
            <w:gridSpan w:val="2"/>
          </w:tcPr>
          <w:p>
            <w:pPr>
              <w:jc w:val="right"/>
              <w:ind w:right="320"/>
              <w:spacing w:after="0" w:line="178" w:lineRule="exact"/>
              <w:rPr>
                <w:sz w:val="20"/>
                <w:szCs w:val="20"/>
                <w:color w:val="auto"/>
              </w:rPr>
            </w:pPr>
            <w:r>
              <w:rPr>
                <w:rFonts w:ascii="Times New Roman" w:cs="Times New Roman" w:eastAsia="Times New Roman" w:hAnsi="Times New Roman"/>
                <w:sz w:val="20"/>
                <w:szCs w:val="20"/>
                <w:color w:val="auto"/>
              </w:rPr>
              <w:t>116</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19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8.15</w:t>
            </w:r>
          </w:p>
        </w:tc>
        <w:tc>
          <w:tcPr>
            <w:tcW w:w="1620" w:type="dxa"/>
            <w:vAlign w:val="bottom"/>
            <w:gridSpan w:val="13"/>
          </w:tcPr>
          <w:p>
            <w:pPr>
              <w:ind w:left="140"/>
              <w:spacing w:after="0"/>
              <w:rPr>
                <w:sz w:val="20"/>
                <w:szCs w:val="20"/>
                <w:color w:val="auto"/>
              </w:rPr>
            </w:pPr>
            <w:r>
              <w:rPr>
                <w:rFonts w:ascii="Times New Roman" w:cs="Times New Roman" w:eastAsia="Times New Roman" w:hAnsi="Times New Roman"/>
                <w:sz w:val="20"/>
                <w:szCs w:val="20"/>
                <w:color w:val="auto"/>
              </w:rPr>
              <w:t>Use of Proceeds</w:t>
            </w:r>
          </w:p>
        </w:tc>
        <w:tc>
          <w:tcPr>
            <w:tcW w:w="300" w:type="dxa"/>
            <w:vAlign w:val="bottom"/>
            <w:gridSpan w:val="7"/>
          </w:tcPr>
          <w:p>
            <w:pPr>
              <w:jc w:val="right"/>
              <w:spacing w:after="0"/>
              <w:rPr>
                <w:sz w:val="20"/>
                <w:szCs w:val="20"/>
                <w:color w:val="auto"/>
              </w:rPr>
            </w:pPr>
            <w:r>
              <w:rPr>
                <w:rFonts w:ascii="Times New Roman" w:cs="Times New Roman" w:eastAsia="Times New Roman" w:hAnsi="Times New Roman"/>
                <w:sz w:val="20"/>
                <w:szCs w:val="20"/>
                <w:color w:val="auto"/>
                <w:w w:val="86"/>
              </w:rPr>
              <w:t>118</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8"/>
        </w:trPr>
        <w:tc>
          <w:tcPr>
            <w:tcW w:w="19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8.16</w:t>
            </w:r>
          </w:p>
        </w:tc>
        <w:tc>
          <w:tcPr>
            <w:tcW w:w="2140" w:type="dxa"/>
            <w:vAlign w:val="bottom"/>
            <w:gridSpan w:val="22"/>
          </w:tcPr>
          <w:p>
            <w:pPr>
              <w:ind w:left="140"/>
              <w:spacing w:after="0"/>
              <w:rPr>
                <w:sz w:val="20"/>
                <w:szCs w:val="20"/>
                <w:color w:val="auto"/>
              </w:rPr>
            </w:pPr>
            <w:r>
              <w:rPr>
                <w:rFonts w:ascii="Times New Roman" w:cs="Times New Roman" w:eastAsia="Times New Roman" w:hAnsi="Times New Roman"/>
                <w:sz w:val="20"/>
                <w:szCs w:val="20"/>
                <w:color w:val="auto"/>
              </w:rPr>
              <w:t>Corporate Governance</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79"/>
              </w:rPr>
              <w:t>118</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9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8.17</w:t>
            </w:r>
          </w:p>
        </w:tc>
        <w:tc>
          <w:tcPr>
            <w:tcW w:w="1620" w:type="dxa"/>
            <w:vAlign w:val="bottom"/>
            <w:gridSpan w:val="13"/>
          </w:tcPr>
          <w:p>
            <w:pPr>
              <w:ind w:left="140"/>
              <w:spacing w:after="0"/>
              <w:rPr>
                <w:sz w:val="20"/>
                <w:szCs w:val="20"/>
                <w:color w:val="auto"/>
              </w:rPr>
            </w:pPr>
            <w:r>
              <w:rPr>
                <w:rFonts w:ascii="Times New Roman" w:cs="Times New Roman" w:eastAsia="Times New Roman" w:hAnsi="Times New Roman"/>
                <w:sz w:val="20"/>
                <w:szCs w:val="20"/>
                <w:color w:val="auto"/>
                <w:w w:val="92"/>
              </w:rPr>
              <w:t>Further Assurances</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FF0000"/>
                <w:strike w:val="1"/>
                <w:w w:val="79"/>
              </w:rPr>
              <w:t>118</w:t>
            </w:r>
          </w:p>
        </w:tc>
        <w:tc>
          <w:tcPr>
            <w:tcW w:w="3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93"/>
              </w:rPr>
              <w:t>119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10420" w:type="dxa"/>
            <w:vAlign w:val="bottom"/>
            <w:gridSpan w:val="44"/>
          </w:tcPr>
          <w:p>
            <w:pPr>
              <w:ind w:left="640"/>
              <w:spacing w:after="0"/>
              <w:rPr>
                <w:sz w:val="20"/>
                <w:szCs w:val="20"/>
                <w:color w:val="auto"/>
              </w:rPr>
            </w:pPr>
            <w:r>
              <w:rPr>
                <w:rFonts w:ascii="Times New Roman" w:cs="Times New Roman" w:eastAsia="Times New Roman" w:hAnsi="Times New Roman"/>
                <w:sz w:val="20"/>
                <w:szCs w:val="20"/>
                <w:color w:val="auto"/>
                <w:w w:val="98"/>
              </w:rPr>
              <w:t>SECTION 8.18  Compliance with Anti-Corruption Laws; Beneficial Ownership Regulation, Anti-Money Laundering Laws</w:t>
            </w:r>
          </w:p>
        </w:tc>
        <w:tc>
          <w:tcPr>
            <w:tcW w:w="0" w:type="dxa"/>
            <w:vAlign w:val="bottom"/>
          </w:tcPr>
          <w:p>
            <w:pPr>
              <w:spacing w:after="0"/>
              <w:rPr>
                <w:sz w:val="1"/>
                <w:szCs w:val="1"/>
                <w:color w:val="auto"/>
              </w:rPr>
            </w:pPr>
          </w:p>
        </w:tc>
      </w:tr>
      <w:tr>
        <w:trPr>
          <w:trHeight w:val="210"/>
        </w:trPr>
        <w:tc>
          <w:tcPr>
            <w:tcW w:w="1920" w:type="dxa"/>
            <w:vAlign w:val="bottom"/>
            <w:gridSpan w:val="2"/>
          </w:tcPr>
          <w:p>
            <w:pPr>
              <w:ind w:left="640"/>
              <w:spacing w:after="0" w:line="210" w:lineRule="exact"/>
              <w:rPr>
                <w:sz w:val="20"/>
                <w:szCs w:val="20"/>
                <w:color w:val="auto"/>
              </w:rPr>
            </w:pPr>
            <w:r>
              <w:rPr>
                <w:rFonts w:ascii="Times New Roman" w:cs="Times New Roman" w:eastAsia="Times New Roman" w:hAnsi="Times New Roman"/>
                <w:sz w:val="20"/>
                <w:szCs w:val="20"/>
                <w:color w:val="auto"/>
              </w:rPr>
              <w:t>and Sanctions</w:t>
            </w:r>
          </w:p>
        </w:tc>
        <w:tc>
          <w:tcPr>
            <w:tcW w:w="260" w:type="dxa"/>
            <w:vAlign w:val="bottom"/>
          </w:tcPr>
          <w:p>
            <w:pPr>
              <w:spacing w:after="0"/>
              <w:rPr>
                <w:sz w:val="18"/>
                <w:szCs w:val="18"/>
                <w:color w:val="auto"/>
              </w:rPr>
            </w:pPr>
          </w:p>
        </w:tc>
        <w:tc>
          <w:tcPr>
            <w:tcW w:w="280" w:type="dxa"/>
            <w:vAlign w:val="bottom"/>
            <w:gridSpan w:val="2"/>
          </w:tcPr>
          <w:p>
            <w:pPr>
              <w:jc w:val="right"/>
              <w:spacing w:after="0" w:line="210" w:lineRule="exact"/>
              <w:rPr>
                <w:sz w:val="20"/>
                <w:szCs w:val="20"/>
                <w:color w:val="auto"/>
              </w:rPr>
            </w:pPr>
            <w:r>
              <w:rPr>
                <w:rFonts w:ascii="Times New Roman" w:cs="Times New Roman" w:eastAsia="Times New Roman" w:hAnsi="Times New Roman"/>
                <w:sz w:val="20"/>
                <w:szCs w:val="20"/>
                <w:color w:val="FF0000"/>
                <w:strike w:val="1"/>
                <w:w w:val="86"/>
              </w:rPr>
              <w:t>118</w:t>
            </w:r>
          </w:p>
        </w:tc>
        <w:tc>
          <w:tcPr>
            <w:tcW w:w="360" w:type="dxa"/>
            <w:vAlign w:val="bottom"/>
            <w:gridSpan w:val="3"/>
          </w:tcPr>
          <w:p>
            <w:pPr>
              <w:spacing w:after="0" w:line="210" w:lineRule="exact"/>
              <w:rPr>
                <w:sz w:val="20"/>
                <w:szCs w:val="20"/>
                <w:color w:val="auto"/>
              </w:rPr>
            </w:pPr>
            <w:r>
              <w:rPr>
                <w:rFonts w:ascii="Times New Roman" w:cs="Times New Roman" w:eastAsia="Times New Roman" w:hAnsi="Times New Roman"/>
                <w:sz w:val="20"/>
                <w:szCs w:val="20"/>
                <w:color w:val="0000FF"/>
              </w:rPr>
              <w:t>119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20" w:type="dxa"/>
            <w:vAlign w:val="bottom"/>
            <w:vMerge w:val="restart"/>
          </w:tcPr>
          <w:p>
            <w:pPr>
              <w:jc w:val="right"/>
              <w:spacing w:after="0" w:line="201"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vMerge w:val="restart"/>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gridSpan w:val="4"/>
            <w:vMerge w:val="restart"/>
          </w:tcPr>
          <w:p>
            <w:pPr>
              <w:jc w:val="right"/>
              <w:spacing w:after="0" w:line="201" w:lineRule="exact"/>
              <w:rPr>
                <w:sz w:val="20"/>
                <w:szCs w:val="20"/>
                <w:color w:val="auto"/>
              </w:rPr>
            </w:pPr>
            <w:r>
              <w:rPr>
                <w:rFonts w:ascii="Times New Roman" w:cs="Times New Roman" w:eastAsia="Times New Roman" w:hAnsi="Times New Roman"/>
                <w:sz w:val="20"/>
                <w:szCs w:val="20"/>
                <w:color w:val="FF0000"/>
                <w:strike w:val="1"/>
                <w:w w:val="86"/>
              </w:rPr>
              <w:t>118</w:t>
            </w:r>
          </w:p>
        </w:tc>
        <w:tc>
          <w:tcPr>
            <w:tcW w:w="300" w:type="dxa"/>
            <w:vAlign w:val="bottom"/>
            <w:gridSpan w:val="4"/>
            <w:vMerge w:val="restart"/>
          </w:tcPr>
          <w:p>
            <w:pPr>
              <w:spacing w:after="0" w:line="201" w:lineRule="exact"/>
              <w:rPr>
                <w:sz w:val="20"/>
                <w:szCs w:val="20"/>
                <w:color w:val="auto"/>
              </w:rPr>
            </w:pPr>
            <w:r>
              <w:rPr>
                <w:rFonts w:ascii="Times New Roman" w:cs="Times New Roman" w:eastAsia="Times New Roman" w:hAnsi="Times New Roman"/>
                <w:sz w:val="20"/>
                <w:szCs w:val="20"/>
                <w:color w:val="0000FF"/>
                <w:w w:val="93"/>
              </w:rPr>
              <w:t>119</w:t>
            </w: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180" w:type="dxa"/>
            <w:vAlign w:val="bottom"/>
            <w:gridSpan w:val="3"/>
          </w:tcPr>
          <w:p>
            <w:pPr>
              <w:ind w:left="640"/>
              <w:spacing w:after="0" w:line="181" w:lineRule="exact"/>
              <w:rPr>
                <w:sz w:val="20"/>
                <w:szCs w:val="20"/>
                <w:color w:val="auto"/>
              </w:rPr>
            </w:pPr>
            <w:r>
              <w:rPr>
                <w:rFonts w:ascii="Times New Roman" w:cs="Times New Roman" w:eastAsia="Times New Roman" w:hAnsi="Times New Roman"/>
                <w:sz w:val="20"/>
                <w:szCs w:val="20"/>
                <w:color w:val="auto"/>
                <w:w w:val="92"/>
              </w:rPr>
              <w:t>SECTION 8.19 Post</w:t>
            </w:r>
          </w:p>
        </w:tc>
        <w:tc>
          <w:tcPr>
            <w:tcW w:w="22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080" w:type="dxa"/>
            <w:vAlign w:val="bottom"/>
            <w:gridSpan w:val="10"/>
          </w:tcPr>
          <w:p>
            <w:pPr>
              <w:spacing w:after="0" w:line="181" w:lineRule="exact"/>
              <w:rPr>
                <w:sz w:val="20"/>
                <w:szCs w:val="20"/>
                <w:color w:val="auto"/>
              </w:rPr>
            </w:pPr>
            <w:r>
              <w:rPr>
                <w:rFonts w:ascii="Times New Roman" w:cs="Times New Roman" w:eastAsia="Times New Roman" w:hAnsi="Times New Roman"/>
                <w:sz w:val="20"/>
                <w:szCs w:val="20"/>
                <w:color w:val="auto"/>
                <w:w w:val="80"/>
              </w:rPr>
              <w:t>Closing Matters</w:t>
            </w:r>
          </w:p>
        </w:tc>
        <w:tc>
          <w:tcPr>
            <w:tcW w:w="8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80" w:type="dxa"/>
            <w:vAlign w:val="bottom"/>
            <w:gridSpan w:val="4"/>
            <w:vMerge w:val="continue"/>
          </w:tcPr>
          <w:p>
            <w:pPr>
              <w:spacing w:after="0"/>
              <w:rPr>
                <w:sz w:val="15"/>
                <w:szCs w:val="15"/>
                <w:color w:val="auto"/>
              </w:rPr>
            </w:pPr>
          </w:p>
        </w:tc>
        <w:tc>
          <w:tcPr>
            <w:tcW w:w="30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540" w:type="dxa"/>
            <w:vAlign w:val="bottom"/>
            <w:gridSpan w:val="15"/>
          </w:tcPr>
          <w:p>
            <w:pPr>
              <w:spacing w:after="0" w:line="181" w:lineRule="exact"/>
              <w:rPr>
                <w:sz w:val="20"/>
                <w:szCs w:val="20"/>
                <w:color w:val="auto"/>
              </w:rPr>
            </w:pPr>
            <w:r>
              <w:rPr>
                <w:rFonts w:ascii="Times New Roman" w:cs="Times New Roman" w:eastAsia="Times New Roman" w:hAnsi="Times New Roman"/>
                <w:sz w:val="20"/>
                <w:szCs w:val="20"/>
                <w:color w:val="auto"/>
              </w:rPr>
              <w:t>ARTICLE IX NEGATIVE COVENANTS</w:t>
            </w: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80" w:type="dxa"/>
            <w:vAlign w:val="bottom"/>
            <w:gridSpan w:val="4"/>
          </w:tcPr>
          <w:p>
            <w:pPr>
              <w:jc w:val="center"/>
              <w:spacing w:after="0" w:line="181" w:lineRule="exact"/>
              <w:rPr>
                <w:sz w:val="20"/>
                <w:szCs w:val="20"/>
                <w:color w:val="auto"/>
              </w:rPr>
            </w:pPr>
            <w:r>
              <w:rPr>
                <w:rFonts w:ascii="Times New Roman" w:cs="Times New Roman" w:eastAsia="Times New Roman" w:hAnsi="Times New Roman"/>
                <w:sz w:val="20"/>
                <w:szCs w:val="20"/>
                <w:color w:val="FF0000"/>
                <w:strike w:val="1"/>
                <w:w w:val="73"/>
              </w:rPr>
              <w:t>118</w:t>
            </w:r>
          </w:p>
        </w:tc>
        <w:tc>
          <w:tcPr>
            <w:tcW w:w="280" w:type="dxa"/>
            <w:vAlign w:val="bottom"/>
            <w:tcBorders>
              <w:top w:val="single" w:sz="8" w:color="0000FF"/>
            </w:tcBorders>
            <w:gridSpan w:val="3"/>
          </w:tcPr>
          <w:p>
            <w:pPr>
              <w:spacing w:after="0" w:line="181" w:lineRule="exact"/>
              <w:rPr>
                <w:sz w:val="20"/>
                <w:szCs w:val="20"/>
                <w:color w:val="auto"/>
              </w:rPr>
            </w:pPr>
            <w:r>
              <w:rPr>
                <w:rFonts w:ascii="Times New Roman" w:cs="Times New Roman" w:eastAsia="Times New Roman" w:hAnsi="Times New Roman"/>
                <w:sz w:val="20"/>
                <w:szCs w:val="20"/>
                <w:color w:val="0000FF"/>
                <w:w w:val="86"/>
              </w:rPr>
              <w:t>119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20" w:type="dxa"/>
            <w:vAlign w:val="bottom"/>
            <w:gridSpan w:val="2"/>
            <w:vMerge w:val="restart"/>
          </w:tcPr>
          <w:p>
            <w:pPr>
              <w:ind w:left="640"/>
              <w:spacing w:after="0"/>
              <w:rPr>
                <w:sz w:val="20"/>
                <w:szCs w:val="20"/>
                <w:color w:val="auto"/>
              </w:rPr>
            </w:pPr>
            <w:r>
              <w:rPr>
                <w:rFonts w:ascii="Times New Roman" w:cs="Times New Roman" w:eastAsia="Times New Roman" w:hAnsi="Times New Roman"/>
                <w:sz w:val="20"/>
                <w:szCs w:val="20"/>
                <w:color w:val="auto"/>
              </w:rPr>
              <w:t>SECTION 9.1</w:t>
            </w:r>
          </w:p>
        </w:tc>
        <w:tc>
          <w:tcPr>
            <w:tcW w:w="4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920" w:type="dxa"/>
            <w:vAlign w:val="bottom"/>
            <w:gridSpan w:val="2"/>
            <w:vMerge w:val="continue"/>
          </w:tcPr>
          <w:p>
            <w:pPr>
              <w:spacing w:after="0"/>
              <w:rPr>
                <w:sz w:val="21"/>
                <w:szCs w:val="21"/>
                <w:color w:val="auto"/>
              </w:rPr>
            </w:pPr>
          </w:p>
        </w:tc>
        <w:tc>
          <w:tcPr>
            <w:tcW w:w="1620" w:type="dxa"/>
            <w:vAlign w:val="bottom"/>
            <w:gridSpan w:val="13"/>
          </w:tcPr>
          <w:p>
            <w:pPr>
              <w:ind w:left="40"/>
              <w:spacing w:after="0"/>
              <w:rPr>
                <w:sz w:val="20"/>
                <w:szCs w:val="20"/>
                <w:color w:val="auto"/>
              </w:rPr>
            </w:pPr>
            <w:r>
              <w:rPr>
                <w:rFonts w:ascii="Times New Roman" w:cs="Times New Roman" w:eastAsia="Times New Roman" w:hAnsi="Times New Roman"/>
                <w:sz w:val="20"/>
                <w:szCs w:val="20"/>
                <w:color w:val="auto"/>
              </w:rPr>
              <w:t>Indebtedness  119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19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9.2</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w w:val="94"/>
              </w:rPr>
              <w:t>Liens</w:t>
            </w:r>
          </w:p>
        </w:tc>
        <w:tc>
          <w:tcPr>
            <w:tcW w:w="200" w:type="dxa"/>
            <w:vAlign w:val="bottom"/>
            <w:tcBorders>
              <w:bottom w:val="single" w:sz="8" w:color="auto"/>
            </w:tcBorders>
            <w:gridSpan w:val="2"/>
          </w:tcPr>
          <w:p>
            <w:pPr>
              <w:spacing w:after="0"/>
              <w:rPr>
                <w:sz w:val="24"/>
                <w:szCs w:val="24"/>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FF0000"/>
                <w:strike w:val="1"/>
                <w:w w:val="86"/>
              </w:rPr>
              <w:t>122</w:t>
            </w:r>
          </w:p>
        </w:tc>
        <w:tc>
          <w:tcPr>
            <w:tcW w:w="3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93"/>
              </w:rPr>
              <w:t>123</w:t>
            </w:r>
          </w:p>
        </w:tc>
        <w:tc>
          <w:tcPr>
            <w:tcW w:w="8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820" w:type="dxa"/>
            <w:vAlign w:val="bottom"/>
            <w:gridSpan w:val="8"/>
          </w:tcPr>
          <w:p>
            <w:pPr>
              <w:ind w:left="640"/>
              <w:spacing w:after="0"/>
              <w:rPr>
                <w:sz w:val="20"/>
                <w:szCs w:val="20"/>
                <w:color w:val="auto"/>
              </w:rPr>
            </w:pPr>
            <w:r>
              <w:rPr>
                <w:rFonts w:ascii="Times New Roman" w:cs="Times New Roman" w:eastAsia="Times New Roman" w:hAnsi="Times New Roman"/>
                <w:sz w:val="20"/>
                <w:szCs w:val="20"/>
                <w:color w:val="auto"/>
                <w:w w:val="99"/>
              </w:rPr>
              <w:t>SECTION 9.3 Investments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FF0000"/>
                <w:strike w:val="1"/>
                <w:w w:val="86"/>
              </w:rPr>
              <w:t>124</w:t>
            </w:r>
          </w:p>
        </w:tc>
        <w:tc>
          <w:tcPr>
            <w:tcW w:w="440" w:type="dxa"/>
            <w:vAlign w:val="bottom"/>
            <w:gridSpan w:val="5"/>
          </w:tcPr>
          <w:p>
            <w:pPr>
              <w:jc w:val="right"/>
              <w:ind w:right="140"/>
              <w:spacing w:after="0"/>
              <w:rPr>
                <w:sz w:val="20"/>
                <w:szCs w:val="20"/>
                <w:color w:val="auto"/>
              </w:rPr>
            </w:pPr>
            <w:r>
              <w:rPr>
                <w:rFonts w:ascii="Times New Roman" w:cs="Times New Roman" w:eastAsia="Times New Roman" w:hAnsi="Times New Roman"/>
                <w:sz w:val="20"/>
                <w:szCs w:val="20"/>
                <w:color w:val="0000FF"/>
                <w:w w:val="93"/>
              </w:rPr>
              <w:t>125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100" w:type="dxa"/>
            <w:vAlign w:val="bottom"/>
            <w:gridSpan w:val="10"/>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3620" w:type="dxa"/>
            <w:vAlign w:val="bottom"/>
            <w:gridSpan w:val="16"/>
          </w:tcPr>
          <w:p>
            <w:pPr>
              <w:ind w:left="640"/>
              <w:spacing w:after="0"/>
              <w:rPr>
                <w:sz w:val="20"/>
                <w:szCs w:val="20"/>
                <w:color w:val="auto"/>
              </w:rPr>
            </w:pPr>
            <w:r>
              <w:rPr>
                <w:rFonts w:ascii="Times New Roman" w:cs="Times New Roman" w:eastAsia="Times New Roman" w:hAnsi="Times New Roman"/>
                <w:sz w:val="20"/>
                <w:szCs w:val="20"/>
                <w:color w:val="auto"/>
                <w:w w:val="99"/>
              </w:rPr>
              <w:t>SECTION 9.4 Fundamental Changes</w:t>
            </w:r>
          </w:p>
        </w:tc>
        <w:tc>
          <w:tcPr>
            <w:tcW w:w="280" w:type="dxa"/>
            <w:vAlign w:val="bottom"/>
            <w:gridSpan w:val="7"/>
          </w:tcPr>
          <w:p>
            <w:pPr>
              <w:spacing w:after="0"/>
              <w:rPr>
                <w:sz w:val="20"/>
                <w:szCs w:val="20"/>
                <w:color w:val="auto"/>
              </w:rPr>
            </w:pPr>
            <w:r>
              <w:rPr>
                <w:rFonts w:ascii="Times New Roman" w:cs="Times New Roman" w:eastAsia="Times New Roman" w:hAnsi="Times New Roman"/>
                <w:sz w:val="20"/>
                <w:szCs w:val="20"/>
                <w:color w:val="FF0000"/>
                <w:strike w:val="1"/>
                <w:w w:val="86"/>
              </w:rPr>
              <w:t>126</w:t>
            </w:r>
          </w:p>
        </w:tc>
        <w:tc>
          <w:tcPr>
            <w:tcW w:w="3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93"/>
              </w:rPr>
              <w:t>127</w:t>
            </w:r>
          </w:p>
        </w:tc>
        <w:tc>
          <w:tcPr>
            <w:tcW w:w="220" w:type="dxa"/>
            <w:vAlign w:val="bottom"/>
            <w:gridSpan w:val="4"/>
          </w:tcPr>
          <w:p>
            <w:pPr>
              <w:spacing w:after="0"/>
              <w:rPr>
                <w:sz w:val="21"/>
                <w:szCs w:val="21"/>
                <w:color w:val="auto"/>
              </w:rPr>
            </w:pPr>
          </w:p>
        </w:tc>
        <w:tc>
          <w:tcPr>
            <w:tcW w:w="240" w:type="dxa"/>
            <w:vAlign w:val="bottom"/>
            <w:gridSpan w:val="2"/>
          </w:tcPr>
          <w:p>
            <w:pPr>
              <w:spacing w:after="0"/>
              <w:rPr>
                <w:sz w:val="21"/>
                <w:szCs w:val="21"/>
                <w:color w:val="auto"/>
              </w:rPr>
            </w:pPr>
          </w:p>
        </w:tc>
        <w:tc>
          <w:tcPr>
            <w:tcW w:w="30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540" w:type="dxa"/>
            <w:vAlign w:val="bottom"/>
            <w:gridSpan w:val="15"/>
          </w:tcPr>
          <w:p>
            <w:pPr>
              <w:ind w:left="640"/>
              <w:spacing w:after="0" w:line="225" w:lineRule="exact"/>
              <w:rPr>
                <w:sz w:val="20"/>
                <w:szCs w:val="20"/>
                <w:color w:val="auto"/>
              </w:rPr>
            </w:pPr>
            <w:r>
              <w:rPr>
                <w:rFonts w:ascii="Times New Roman" w:cs="Times New Roman" w:eastAsia="Times New Roman" w:hAnsi="Times New Roman"/>
                <w:sz w:val="20"/>
                <w:szCs w:val="20"/>
                <w:color w:val="auto"/>
              </w:rPr>
              <w:t>SECTION 9.5 Asset Dispositions</w:t>
            </w:r>
          </w:p>
        </w:tc>
        <w:tc>
          <w:tcPr>
            <w:tcW w:w="240" w:type="dxa"/>
            <w:vAlign w:val="bottom"/>
            <w:gridSpan w:val="5"/>
          </w:tcPr>
          <w:p>
            <w:pPr>
              <w:spacing w:after="0" w:line="225" w:lineRule="exact"/>
              <w:rPr>
                <w:sz w:val="20"/>
                <w:szCs w:val="20"/>
                <w:color w:val="auto"/>
              </w:rPr>
            </w:pPr>
            <w:r>
              <w:rPr>
                <w:rFonts w:ascii="Times New Roman" w:cs="Times New Roman" w:eastAsia="Times New Roman" w:hAnsi="Times New Roman"/>
                <w:sz w:val="20"/>
                <w:szCs w:val="20"/>
                <w:color w:val="auto"/>
                <w:w w:val="73"/>
              </w:rPr>
              <w:t>127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540" w:type="dxa"/>
            <w:vAlign w:val="bottom"/>
            <w:gridSpan w:val="15"/>
          </w:tcPr>
          <w:p>
            <w:pPr>
              <w:ind w:left="640"/>
              <w:spacing w:after="0" w:line="210" w:lineRule="exact"/>
              <w:rPr>
                <w:sz w:val="20"/>
                <w:szCs w:val="20"/>
                <w:color w:val="auto"/>
              </w:rPr>
            </w:pPr>
            <w:r>
              <w:rPr>
                <w:rFonts w:ascii="Times New Roman" w:cs="Times New Roman" w:eastAsia="Times New Roman" w:hAnsi="Times New Roman"/>
                <w:sz w:val="20"/>
                <w:szCs w:val="20"/>
                <w:color w:val="auto"/>
              </w:rPr>
              <w:t>SECTION 9.6 Restricted Payments</w:t>
            </w:r>
          </w:p>
        </w:tc>
        <w:tc>
          <w:tcPr>
            <w:tcW w:w="220" w:type="dxa"/>
            <w:vAlign w:val="bottom"/>
            <w:gridSpan w:val="4"/>
          </w:tcPr>
          <w:p>
            <w:pPr>
              <w:spacing w:after="0" w:line="210" w:lineRule="exact"/>
              <w:rPr>
                <w:sz w:val="20"/>
                <w:szCs w:val="20"/>
                <w:color w:val="auto"/>
              </w:rPr>
            </w:pPr>
            <w:r>
              <w:rPr>
                <w:rFonts w:ascii="Times New Roman" w:cs="Times New Roman" w:eastAsia="Times New Roman" w:hAnsi="Times New Roman"/>
                <w:sz w:val="19"/>
                <w:szCs w:val="19"/>
                <w:color w:val="FF0000"/>
                <w:strike w:val="1"/>
                <w:w w:val="70"/>
              </w:rPr>
              <w:t>128</w:t>
            </w:r>
          </w:p>
        </w:tc>
        <w:tc>
          <w:tcPr>
            <w:tcW w:w="300" w:type="dxa"/>
            <w:vAlign w:val="bottom"/>
            <w:tcBorders>
              <w:bottom w:val="single" w:sz="8" w:color="0000FF"/>
            </w:tcBorders>
            <w:gridSpan w:val="5"/>
          </w:tcPr>
          <w:p>
            <w:pPr>
              <w:jc w:val="right"/>
              <w:spacing w:after="0" w:line="210" w:lineRule="exact"/>
              <w:rPr>
                <w:sz w:val="20"/>
                <w:szCs w:val="20"/>
                <w:color w:val="auto"/>
              </w:rPr>
            </w:pPr>
            <w:r>
              <w:rPr>
                <w:rFonts w:ascii="Times New Roman" w:cs="Times New Roman" w:eastAsia="Times New Roman" w:hAnsi="Times New Roman"/>
                <w:sz w:val="20"/>
                <w:szCs w:val="20"/>
                <w:color w:val="0000FF"/>
                <w:w w:val="93"/>
              </w:rPr>
              <w:t>129</w:t>
            </w:r>
          </w:p>
        </w:tc>
        <w:tc>
          <w:tcPr>
            <w:tcW w:w="140" w:type="dxa"/>
            <w:vAlign w:val="bottom"/>
          </w:tcPr>
          <w:p>
            <w:pPr>
              <w:spacing w:after="0"/>
              <w:rPr>
                <w:sz w:val="18"/>
                <w:szCs w:val="18"/>
                <w:color w:val="auto"/>
              </w:rPr>
            </w:pPr>
          </w:p>
        </w:tc>
        <w:tc>
          <w:tcPr>
            <w:tcW w:w="220" w:type="dxa"/>
            <w:vAlign w:val="bottom"/>
            <w:gridSpan w:val="4"/>
          </w:tcPr>
          <w:p>
            <w:pPr>
              <w:spacing w:after="0"/>
              <w:rPr>
                <w:sz w:val="18"/>
                <w:szCs w:val="18"/>
                <w:color w:val="auto"/>
              </w:rPr>
            </w:pPr>
          </w:p>
        </w:tc>
        <w:tc>
          <w:tcPr>
            <w:tcW w:w="24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4060" w:type="dxa"/>
            <w:vAlign w:val="bottom"/>
            <w:gridSpan w:val="24"/>
          </w:tcPr>
          <w:p>
            <w:pPr>
              <w:ind w:left="640"/>
              <w:spacing w:after="0"/>
              <w:rPr>
                <w:sz w:val="20"/>
                <w:szCs w:val="20"/>
                <w:color w:val="auto"/>
              </w:rPr>
            </w:pPr>
            <w:r>
              <w:rPr>
                <w:rFonts w:ascii="Times New Roman" w:cs="Times New Roman" w:eastAsia="Times New Roman" w:hAnsi="Times New Roman"/>
                <w:sz w:val="20"/>
                <w:szCs w:val="20"/>
                <w:color w:val="auto"/>
                <w:w w:val="98"/>
              </w:rPr>
              <w:t>SECTION 9.7 Transactions with Affiliates</w:t>
            </w:r>
          </w:p>
        </w:tc>
        <w:tc>
          <w:tcPr>
            <w:tcW w:w="500" w:type="dxa"/>
            <w:vAlign w:val="bottom"/>
            <w:gridSpan w:val="6"/>
          </w:tcPr>
          <w:p>
            <w:pPr>
              <w:jc w:val="right"/>
              <w:ind w:right="80"/>
              <w:spacing w:after="0"/>
              <w:rPr>
                <w:sz w:val="20"/>
                <w:szCs w:val="20"/>
                <w:color w:val="auto"/>
              </w:rPr>
            </w:pPr>
            <w:r>
              <w:rPr>
                <w:rFonts w:ascii="Times New Roman" w:cs="Times New Roman" w:eastAsia="Times New Roman" w:hAnsi="Times New Roman"/>
                <w:sz w:val="20"/>
                <w:szCs w:val="20"/>
                <w:color w:val="auto"/>
              </w:rPr>
              <w:t>129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720" w:type="dxa"/>
            <w:vAlign w:val="bottom"/>
            <w:gridSpan w:val="35"/>
          </w:tcPr>
          <w:p>
            <w:pPr>
              <w:ind w:left="640"/>
              <w:spacing w:after="0" w:line="223" w:lineRule="exact"/>
              <w:rPr>
                <w:sz w:val="20"/>
                <w:szCs w:val="20"/>
                <w:color w:val="auto"/>
              </w:rPr>
            </w:pPr>
            <w:r>
              <w:rPr>
                <w:rFonts w:ascii="Times New Roman" w:cs="Times New Roman" w:eastAsia="Times New Roman" w:hAnsi="Times New Roman"/>
                <w:sz w:val="20"/>
                <w:szCs w:val="20"/>
                <w:color w:val="auto"/>
                <w:w w:val="98"/>
              </w:rPr>
              <w:t>SECTION 9.8 Accounting Changes; Organizational Documents</w:t>
            </w:r>
          </w:p>
        </w:tc>
        <w:tc>
          <w:tcPr>
            <w:tcW w:w="2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86"/>
              </w:rPr>
              <w:t>129</w:t>
            </w:r>
          </w:p>
        </w:tc>
        <w:tc>
          <w:tcPr>
            <w:tcW w:w="300" w:type="dxa"/>
            <w:vAlign w:val="bottom"/>
            <w:tcBorders>
              <w:bottom w:val="single" w:sz="8" w:color="0000FF"/>
            </w:tcBorders>
            <w:gridSpan w:val="3"/>
          </w:tcPr>
          <w:p>
            <w:pPr>
              <w:jc w:val="right"/>
              <w:spacing w:after="0" w:line="223" w:lineRule="exact"/>
              <w:rPr>
                <w:sz w:val="20"/>
                <w:szCs w:val="20"/>
                <w:color w:val="auto"/>
              </w:rPr>
            </w:pPr>
            <w:r>
              <w:rPr>
                <w:rFonts w:ascii="Times New Roman" w:cs="Times New Roman" w:eastAsia="Times New Roman" w:hAnsi="Times New Roman"/>
                <w:sz w:val="20"/>
                <w:szCs w:val="20"/>
                <w:color w:val="0000FF"/>
                <w:w w:val="93"/>
              </w:rPr>
              <w:t>130</w:t>
            </w:r>
          </w:p>
        </w:tc>
        <w:tc>
          <w:tcPr>
            <w:tcW w:w="180" w:type="dxa"/>
            <w:vAlign w:val="bottom"/>
            <w:gridSpan w:val="2"/>
          </w:tcPr>
          <w:p>
            <w:pPr>
              <w:spacing w:after="0"/>
              <w:rPr>
                <w:sz w:val="19"/>
                <w:szCs w:val="19"/>
                <w:color w:val="auto"/>
              </w:rPr>
            </w:pPr>
          </w:p>
        </w:tc>
        <w:tc>
          <w:tcPr>
            <w:tcW w:w="300" w:type="dxa"/>
            <w:vAlign w:val="bottom"/>
            <w:gridSpan w:val="2"/>
          </w:tcPr>
          <w:p>
            <w:pPr>
              <w:spacing w:after="0"/>
              <w:rPr>
                <w:sz w:val="19"/>
                <w:szCs w:val="19"/>
                <w:color w:val="auto"/>
              </w:rPr>
            </w:pPr>
          </w:p>
        </w:tc>
        <w:tc>
          <w:tcPr>
            <w:tcW w:w="3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2"/>
        </w:trPr>
        <w:tc>
          <w:tcPr>
            <w:tcW w:w="10420" w:type="dxa"/>
            <w:vAlign w:val="bottom"/>
            <w:gridSpan w:val="44"/>
          </w:tcPr>
          <w:p>
            <w:pPr>
              <w:ind w:left="640"/>
              <w:spacing w:after="0"/>
              <w:rPr>
                <w:sz w:val="20"/>
                <w:szCs w:val="20"/>
                <w:color w:val="auto"/>
              </w:rPr>
            </w:pPr>
            <w:r>
              <w:rPr>
                <w:rFonts w:ascii="Times New Roman" w:cs="Times New Roman" w:eastAsia="Times New Roman" w:hAnsi="Times New Roman"/>
                <w:sz w:val="20"/>
                <w:szCs w:val="20"/>
                <w:color w:val="auto"/>
              </w:rPr>
              <w:t>SECTION 9.9 Payments and Modifications of Junior Indebtedness  130</w:t>
            </w:r>
          </w:p>
        </w:tc>
        <w:tc>
          <w:tcPr>
            <w:tcW w:w="0" w:type="dxa"/>
            <w:vAlign w:val="bottom"/>
          </w:tcPr>
          <w:p>
            <w:pPr>
              <w:spacing w:after="0"/>
              <w:rPr>
                <w:sz w:val="1"/>
                <w:szCs w:val="1"/>
                <w:color w:val="auto"/>
              </w:rPr>
            </w:pPr>
          </w:p>
        </w:tc>
      </w:tr>
      <w:tr>
        <w:trPr>
          <w:trHeight w:val="223"/>
        </w:trPr>
        <w:tc>
          <w:tcPr>
            <w:tcW w:w="6200" w:type="dxa"/>
            <w:vAlign w:val="bottom"/>
            <w:gridSpan w:val="38"/>
          </w:tcPr>
          <w:p>
            <w:pPr>
              <w:ind w:left="640"/>
              <w:spacing w:after="0" w:line="223" w:lineRule="exact"/>
              <w:rPr>
                <w:sz w:val="20"/>
                <w:szCs w:val="20"/>
                <w:color w:val="auto"/>
              </w:rPr>
            </w:pPr>
            <w:r>
              <w:rPr>
                <w:rFonts w:ascii="Times New Roman" w:cs="Times New Roman" w:eastAsia="Times New Roman" w:hAnsi="Times New Roman"/>
                <w:sz w:val="20"/>
                <w:szCs w:val="20"/>
                <w:color w:val="auto"/>
                <w:w w:val="98"/>
              </w:rPr>
              <w:t>SECTION 9.10 No Further Negative Pledges; Restrictive Agreements</w:t>
            </w:r>
          </w:p>
        </w:tc>
        <w:tc>
          <w:tcPr>
            <w:tcW w:w="28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86"/>
              </w:rPr>
              <w:t>130</w:t>
            </w:r>
          </w:p>
        </w:tc>
        <w:tc>
          <w:tcPr>
            <w:tcW w:w="300" w:type="dxa"/>
            <w:vAlign w:val="bottom"/>
            <w:tcBorders>
              <w:bottom w:val="single" w:sz="8" w:color="0000FF"/>
            </w:tcBorders>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0000FF"/>
                <w:w w:val="93"/>
              </w:rPr>
              <w:t>131</w:t>
            </w:r>
          </w:p>
        </w:tc>
        <w:tc>
          <w:tcPr>
            <w:tcW w:w="3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540" w:type="dxa"/>
            <w:vAlign w:val="bottom"/>
            <w:gridSpan w:val="15"/>
          </w:tcPr>
          <w:p>
            <w:pPr>
              <w:ind w:left="640"/>
              <w:spacing w:after="0"/>
              <w:rPr>
                <w:sz w:val="20"/>
                <w:szCs w:val="20"/>
                <w:color w:val="auto"/>
              </w:rPr>
            </w:pPr>
            <w:r>
              <w:rPr>
                <w:rFonts w:ascii="Times New Roman" w:cs="Times New Roman" w:eastAsia="Times New Roman" w:hAnsi="Times New Roman"/>
                <w:sz w:val="20"/>
                <w:szCs w:val="20"/>
                <w:color w:val="auto"/>
              </w:rPr>
              <w:t>SECTION 9.11 Nature of Business</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FF0000"/>
                <w:strike w:val="1"/>
                <w:w w:val="70"/>
              </w:rPr>
              <w:t>131</w:t>
            </w:r>
          </w:p>
        </w:tc>
        <w:tc>
          <w:tcPr>
            <w:tcW w:w="320" w:type="dxa"/>
            <w:vAlign w:val="bottom"/>
            <w:tcBorders>
              <w:bottom w:val="single" w:sz="8" w:color="0000FF"/>
            </w:tcBorders>
            <w:gridSpan w:val="6"/>
          </w:tcPr>
          <w:p>
            <w:pPr>
              <w:jc w:val="center"/>
              <w:spacing w:after="0"/>
              <w:rPr>
                <w:sz w:val="20"/>
                <w:szCs w:val="20"/>
                <w:color w:val="auto"/>
              </w:rPr>
            </w:pPr>
            <w:r>
              <w:rPr>
                <w:rFonts w:ascii="Times New Roman" w:cs="Times New Roman" w:eastAsia="Times New Roman" w:hAnsi="Times New Roman"/>
                <w:sz w:val="20"/>
                <w:szCs w:val="20"/>
                <w:color w:val="0000FF"/>
                <w:w w:val="99"/>
              </w:rPr>
              <w:t>132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3260" w:type="dxa"/>
            <w:vAlign w:val="bottom"/>
            <w:gridSpan w:val="12"/>
          </w:tcPr>
          <w:p>
            <w:pPr>
              <w:ind w:left="640"/>
              <w:spacing w:after="0" w:line="167" w:lineRule="exact"/>
              <w:rPr>
                <w:sz w:val="20"/>
                <w:szCs w:val="20"/>
                <w:color w:val="auto"/>
              </w:rPr>
            </w:pPr>
            <w:r>
              <w:rPr>
                <w:rFonts w:ascii="Times New Roman" w:cs="Times New Roman" w:eastAsia="Times New Roman" w:hAnsi="Times New Roman"/>
                <w:sz w:val="19"/>
                <w:szCs w:val="19"/>
                <w:color w:val="auto"/>
              </w:rPr>
              <w:t>SECTION 9.12 Sale Leasebacks</w:t>
            </w:r>
          </w:p>
        </w:tc>
        <w:tc>
          <w:tcPr>
            <w:tcW w:w="280" w:type="dxa"/>
            <w:vAlign w:val="bottom"/>
            <w:gridSpan w:val="3"/>
          </w:tcPr>
          <w:p>
            <w:pPr>
              <w:jc w:val="right"/>
              <w:spacing w:after="0" w:line="167" w:lineRule="exact"/>
              <w:rPr>
                <w:sz w:val="20"/>
                <w:szCs w:val="20"/>
                <w:color w:val="auto"/>
              </w:rPr>
            </w:pPr>
            <w:r>
              <w:rPr>
                <w:rFonts w:ascii="Times New Roman" w:cs="Times New Roman" w:eastAsia="Times New Roman" w:hAnsi="Times New Roman"/>
                <w:sz w:val="19"/>
                <w:szCs w:val="19"/>
                <w:color w:val="FF0000"/>
                <w:strike w:val="1"/>
                <w:w w:val="91"/>
              </w:rPr>
              <w:t>131</w:t>
            </w:r>
          </w:p>
        </w:tc>
        <w:tc>
          <w:tcPr>
            <w:tcW w:w="520" w:type="dxa"/>
            <w:vAlign w:val="bottom"/>
            <w:gridSpan w:val="9"/>
          </w:tcPr>
          <w:p>
            <w:pPr>
              <w:jc w:val="right"/>
              <w:ind w:right="122"/>
              <w:spacing w:after="0" w:line="167" w:lineRule="exact"/>
              <w:rPr>
                <w:sz w:val="20"/>
                <w:szCs w:val="20"/>
                <w:color w:val="auto"/>
              </w:rPr>
            </w:pPr>
            <w:r>
              <w:rPr>
                <w:rFonts w:ascii="Times New Roman" w:cs="Times New Roman" w:eastAsia="Times New Roman" w:hAnsi="Times New Roman"/>
                <w:sz w:val="19"/>
                <w:szCs w:val="19"/>
                <w:color w:val="0000FF"/>
                <w:w w:val="98"/>
              </w:rPr>
              <w:t>132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40" w:type="dxa"/>
            <w:vAlign w:val="bottom"/>
            <w:gridSpan w:val="15"/>
            <w:vMerge w:val="restart"/>
          </w:tcPr>
          <w:p>
            <w:pPr>
              <w:ind w:left="640"/>
              <w:spacing w:after="0"/>
              <w:rPr>
                <w:sz w:val="20"/>
                <w:szCs w:val="20"/>
                <w:color w:val="auto"/>
              </w:rPr>
            </w:pPr>
            <w:r>
              <w:rPr>
                <w:rFonts w:ascii="Times New Roman" w:cs="Times New Roman" w:eastAsia="Times New Roman" w:hAnsi="Times New Roman"/>
                <w:sz w:val="20"/>
                <w:szCs w:val="20"/>
                <w:color w:val="auto"/>
                <w:w w:val="97"/>
              </w:rPr>
              <w:t>SECTION 9.13 Financial Covenants</w:t>
            </w: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6"/>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540" w:type="dxa"/>
            <w:vAlign w:val="bottom"/>
            <w:gridSpan w:val="15"/>
            <w:vMerge w:val="continue"/>
          </w:tcPr>
          <w:p>
            <w:pPr>
              <w:spacing w:after="0"/>
              <w:rPr>
                <w:sz w:val="18"/>
                <w:szCs w:val="18"/>
                <w:color w:val="auto"/>
              </w:rPr>
            </w:pPr>
          </w:p>
        </w:tc>
        <w:tc>
          <w:tcPr>
            <w:tcW w:w="520" w:type="dxa"/>
            <w:vAlign w:val="bottom"/>
            <w:gridSpan w:val="9"/>
          </w:tcPr>
          <w:p>
            <w:pPr>
              <w:jc w:val="right"/>
              <w:spacing w:after="0" w:line="211" w:lineRule="exact"/>
              <w:rPr>
                <w:sz w:val="20"/>
                <w:szCs w:val="20"/>
                <w:color w:val="auto"/>
              </w:rPr>
            </w:pPr>
            <w:r>
              <w:rPr>
                <w:rFonts w:ascii="Times New Roman" w:cs="Times New Roman" w:eastAsia="Times New Roman" w:hAnsi="Times New Roman"/>
                <w:sz w:val="20"/>
                <w:szCs w:val="20"/>
                <w:color w:val="auto"/>
              </w:rPr>
              <w:t>132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gridSpan w:val="31"/>
          </w:tcPr>
          <w:p>
            <w:pPr>
              <w:ind w:left="640"/>
              <w:spacing w:after="0" w:line="210" w:lineRule="exact"/>
              <w:rPr>
                <w:sz w:val="20"/>
                <w:szCs w:val="20"/>
                <w:color w:val="auto"/>
              </w:rPr>
            </w:pPr>
            <w:r>
              <w:rPr>
                <w:rFonts w:ascii="Times New Roman" w:cs="Times New Roman" w:eastAsia="Times New Roman" w:hAnsi="Times New Roman"/>
                <w:sz w:val="20"/>
                <w:szCs w:val="20"/>
                <w:color w:val="auto"/>
              </w:rPr>
              <w:t>SECTION 9.14 Disposal of Subsidiary Interests</w:t>
            </w:r>
          </w:p>
        </w:tc>
        <w:tc>
          <w:tcPr>
            <w:tcW w:w="300" w:type="dxa"/>
            <w:vAlign w:val="bottom"/>
            <w:gridSpan w:val="2"/>
          </w:tcPr>
          <w:p>
            <w:pPr>
              <w:jc w:val="right"/>
              <w:spacing w:after="0" w:line="210" w:lineRule="exact"/>
              <w:rPr>
                <w:sz w:val="20"/>
                <w:szCs w:val="20"/>
                <w:color w:val="auto"/>
              </w:rPr>
            </w:pPr>
            <w:r>
              <w:rPr>
                <w:rFonts w:ascii="Times New Roman" w:cs="Times New Roman" w:eastAsia="Times New Roman" w:hAnsi="Times New Roman"/>
                <w:sz w:val="20"/>
                <w:szCs w:val="20"/>
                <w:color w:val="FF0000"/>
                <w:strike w:val="1"/>
                <w:w w:val="93"/>
              </w:rPr>
              <w:t>132</w:t>
            </w:r>
          </w:p>
        </w:tc>
        <w:tc>
          <w:tcPr>
            <w:tcW w:w="760" w:type="dxa"/>
            <w:vAlign w:val="bottom"/>
            <w:gridSpan w:val="2"/>
          </w:tcPr>
          <w:p>
            <w:pPr>
              <w:jc w:val="right"/>
              <w:ind w:right="480"/>
              <w:spacing w:after="0" w:line="210" w:lineRule="exact"/>
              <w:rPr>
                <w:sz w:val="20"/>
                <w:szCs w:val="20"/>
                <w:color w:val="auto"/>
              </w:rPr>
            </w:pPr>
            <w:r>
              <w:rPr>
                <w:rFonts w:ascii="Times New Roman" w:cs="Times New Roman" w:eastAsia="Times New Roman" w:hAnsi="Times New Roman"/>
                <w:sz w:val="20"/>
                <w:szCs w:val="20"/>
                <w:color w:val="0000FF"/>
                <w:w w:val="86"/>
              </w:rPr>
              <w:t>134</w:t>
            </w:r>
          </w:p>
        </w:tc>
        <w:tc>
          <w:tcPr>
            <w:tcW w:w="470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3540" w:type="dxa"/>
            <w:vAlign w:val="bottom"/>
            <w:gridSpan w:val="15"/>
          </w:tcPr>
          <w:p>
            <w:pPr>
              <w:spacing w:after="0"/>
              <w:rPr>
                <w:sz w:val="20"/>
                <w:szCs w:val="20"/>
                <w:color w:val="auto"/>
              </w:rPr>
            </w:pPr>
            <w:r>
              <w:rPr>
                <w:rFonts w:ascii="Times New Roman" w:cs="Times New Roman" w:eastAsia="Times New Roman" w:hAnsi="Times New Roman"/>
                <w:sz w:val="20"/>
                <w:szCs w:val="20"/>
                <w:color w:val="auto"/>
                <w:w w:val="99"/>
              </w:rPr>
              <w:t>ARTICLE X DEFAULT AND REMEDIES</w:t>
            </w:r>
          </w:p>
        </w:tc>
        <w:tc>
          <w:tcPr>
            <w:tcW w:w="80" w:type="dxa"/>
            <w:vAlign w:val="bottom"/>
          </w:tcPr>
          <w:p>
            <w:pPr>
              <w:spacing w:after="0"/>
              <w:rPr>
                <w:sz w:val="21"/>
                <w:szCs w:val="21"/>
                <w:color w:val="auto"/>
              </w:rPr>
            </w:pPr>
          </w:p>
        </w:tc>
        <w:tc>
          <w:tcPr>
            <w:tcW w:w="440" w:type="dxa"/>
            <w:vAlign w:val="bottom"/>
            <w:gridSpan w:val="8"/>
          </w:tcPr>
          <w:p>
            <w:pPr>
              <w:spacing w:after="0"/>
              <w:rPr>
                <w:sz w:val="20"/>
                <w:szCs w:val="20"/>
                <w:color w:val="auto"/>
              </w:rPr>
            </w:pPr>
            <w:r>
              <w:rPr>
                <w:rFonts w:ascii="Times New Roman" w:cs="Times New Roman" w:eastAsia="Times New Roman" w:hAnsi="Times New Roman"/>
                <w:sz w:val="20"/>
                <w:szCs w:val="20"/>
                <w:color w:val="FF0000"/>
                <w:strike w:val="1"/>
              </w:rPr>
              <w:t>132</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0000FF"/>
                <w:w w:val="72"/>
              </w:rPr>
              <w:t>134</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top w:val="single" w:sz="8" w:color="FF0000"/>
            </w:tcBorders>
          </w:tcPr>
          <w:p>
            <w:pPr>
              <w:spacing w:after="0"/>
              <w:rPr>
                <w:sz w:val="21"/>
                <w:szCs w:val="21"/>
                <w:color w:val="auto"/>
              </w:rPr>
            </w:pPr>
          </w:p>
        </w:tc>
        <w:tc>
          <w:tcPr>
            <w:tcW w:w="100" w:type="dxa"/>
            <w:vAlign w:val="bottom"/>
            <w:tcBorders>
              <w:top w:val="single" w:sz="8" w:color="FF0000"/>
            </w:tcBorders>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-4084320</wp:posOffset>
            </wp:positionV>
            <wp:extent cx="3111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83">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-3914140</wp:posOffset>
            </wp:positionV>
            <wp:extent cx="3111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84">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-3787140</wp:posOffset>
            </wp:positionV>
            <wp:extent cx="3111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85">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2186940</wp:posOffset>
            </wp:positionH>
            <wp:positionV relativeFrom="paragraph">
              <wp:posOffset>-1884680</wp:posOffset>
            </wp:positionV>
            <wp:extent cx="3111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86">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2694940</wp:posOffset>
            </wp:positionH>
            <wp:positionV relativeFrom="paragraph">
              <wp:posOffset>-1715135</wp:posOffset>
            </wp:positionV>
            <wp:extent cx="3111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87">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2605405</wp:posOffset>
            </wp:positionH>
            <wp:positionV relativeFrom="paragraph">
              <wp:posOffset>-1426210</wp:posOffset>
            </wp:positionV>
            <wp:extent cx="3111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88">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4027170</wp:posOffset>
            </wp:positionH>
            <wp:positionV relativeFrom="paragraph">
              <wp:posOffset>-1086485</wp:posOffset>
            </wp:positionV>
            <wp:extent cx="3111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89">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4333240</wp:posOffset>
            </wp:positionH>
            <wp:positionV relativeFrom="paragraph">
              <wp:posOffset>-746760</wp:posOffset>
            </wp:positionV>
            <wp:extent cx="3111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90">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2590165</wp:posOffset>
            </wp:positionH>
            <wp:positionV relativeFrom="paragraph">
              <wp:posOffset>-576580</wp:posOffset>
            </wp:positionV>
            <wp:extent cx="3111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91">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2466975</wp:posOffset>
            </wp:positionH>
            <wp:positionV relativeFrom="paragraph">
              <wp:posOffset>-457835</wp:posOffset>
            </wp:positionV>
            <wp:extent cx="3111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92">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217" w:lineRule="exact"/>
        <w:rPr>
          <w:sz w:val="20"/>
          <w:szCs w:val="20"/>
          <w:color w:val="auto"/>
        </w:rPr>
      </w:pPr>
    </w:p>
    <w:p>
      <w:pPr>
        <w:ind w:left="680"/>
        <w:spacing w:after="0"/>
        <w:tabs>
          <w:tab w:leader="none" w:pos="3560" w:val="left"/>
        </w:tabs>
        <w:rPr>
          <w:sz w:val="20"/>
          <w:szCs w:val="20"/>
          <w:color w:val="auto"/>
        </w:rPr>
      </w:pPr>
      <w:r>
        <w:rPr>
          <w:rFonts w:ascii="Times New Roman" w:cs="Times New Roman" w:eastAsia="Times New Roman" w:hAnsi="Times New Roman"/>
          <w:sz w:val="20"/>
          <w:szCs w:val="20"/>
          <w:color w:val="auto"/>
        </w:rPr>
        <w:t>SECTION 10.1 Events of Default</w:t>
      </w:r>
      <w:r>
        <w:rPr>
          <w:sz w:val="20"/>
          <w:szCs w:val="20"/>
          <w:color w:val="auto"/>
        </w:rPr>
        <w:tab/>
      </w:r>
      <w:r>
        <w:rPr>
          <w:rFonts w:ascii="Times New Roman" w:cs="Times New Roman" w:eastAsia="Times New Roman" w:hAnsi="Times New Roman"/>
          <w:sz w:val="19"/>
          <w:szCs w:val="19"/>
          <w:color w:val="FF0000"/>
          <w:strike w:val="1"/>
        </w:rPr>
        <w:t>132</w:t>
      </w:r>
      <w:r>
        <w:rPr>
          <w:rFonts w:ascii="Times New Roman" w:cs="Times New Roman" w:eastAsia="Times New Roman" w:hAnsi="Times New Roman"/>
          <w:sz w:val="19"/>
          <w:szCs w:val="19"/>
          <w:u w:val="single" w:color="auto"/>
          <w:color w:val="0000FF"/>
          <w:strike w:val="1"/>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2117725</wp:posOffset>
            </wp:positionH>
            <wp:positionV relativeFrom="paragraph">
              <wp:posOffset>-7620</wp:posOffset>
            </wp:positionV>
            <wp:extent cx="15557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93">
                      <a:extLst>
                        <a:ext uri="{28A0092B-C50C-407E-A947-70E740481C1C}"/>
                      </a:extLst>
                    </a:blip>
                    <a:srcRect/>
                    <a:stretch>
                      <a:fillRect/>
                    </a:stretch>
                  </pic:blipFill>
                  <pic:spPr bwMode="auto">
                    <a:xfrm>
                      <a:off x="0" y="0"/>
                      <a:ext cx="155575" cy="8255"/>
                    </a:xfrm>
                    <a:prstGeom prst="rect">
                      <a:avLst/>
                    </a:prstGeom>
                    <a:noFill/>
                  </pic:spPr>
                </pic:pic>
              </a:graphicData>
            </a:graphic>
          </wp:anchor>
        </w:drawing>
      </w:r>
    </w:p>
    <w:p>
      <w:pPr>
        <w:ind w:left="680"/>
        <w:spacing w:after="0" w:line="219" w:lineRule="auto"/>
        <w:rPr>
          <w:sz w:val="20"/>
          <w:szCs w:val="20"/>
          <w:color w:val="auto"/>
        </w:rPr>
      </w:pPr>
      <w:r>
        <w:rPr>
          <w:rFonts w:ascii="Times New Roman" w:cs="Times New Roman" w:eastAsia="Times New Roman" w:hAnsi="Times New Roman"/>
          <w:sz w:val="20"/>
          <w:szCs w:val="20"/>
          <w:color w:val="auto"/>
        </w:rPr>
        <w:t xml:space="preserve">SECTION 10.2 Remedies </w:t>
      </w:r>
      <w:r>
        <w:rPr>
          <w:rFonts w:ascii="Times New Roman" w:cs="Times New Roman" w:eastAsia="Times New Roman" w:hAnsi="Times New Roman"/>
          <w:sz w:val="20"/>
          <w:szCs w:val="20"/>
          <w:color w:val="FF0000"/>
          <w:strike w:val="1"/>
        </w:rPr>
        <w:t>134</w:t>
      </w:r>
      <w:r>
        <w:rPr>
          <w:rFonts w:ascii="Times New Roman" w:cs="Times New Roman" w:eastAsia="Times New Roman" w:hAnsi="Times New Roman"/>
          <w:sz w:val="20"/>
          <w:szCs w:val="20"/>
          <w:u w:val="single" w:color="auto"/>
          <w:color w:val="0000FF"/>
        </w:rPr>
        <w:t>136</w:t>
      </w:r>
      <w:r>
        <w:rPr>
          <w:rFonts w:ascii="Times New Roman" w:cs="Times New Roman" w:eastAsia="Times New Roman" w:hAnsi="Times New Roman"/>
          <w:sz w:val="20"/>
          <w:szCs w:val="20"/>
          <w:color w:val="auto"/>
        </w:rPr>
        <w:t xml:space="preserve"> SECTION 10.3 Rights and Remedies Cumulative; Non-Waiver; etc </w:t>
      </w:r>
      <w:r>
        <w:rPr>
          <w:rFonts w:ascii="Times New Roman" w:cs="Times New Roman" w:eastAsia="Times New Roman" w:hAnsi="Times New Roman"/>
          <w:sz w:val="20"/>
          <w:szCs w:val="20"/>
          <w:color w:val="FF0000"/>
          <w:strike w:val="1"/>
        </w:rPr>
        <w:t>135</w:t>
      </w:r>
      <w:r>
        <w:rPr>
          <w:rFonts w:ascii="Times New Roman" w:cs="Times New Roman" w:eastAsia="Times New Roman" w:hAnsi="Times New Roman"/>
          <w:sz w:val="20"/>
          <w:szCs w:val="20"/>
          <w:u w:val="single" w:color="auto"/>
          <w:color w:val="0000FF"/>
        </w:rPr>
        <w:t>137</w:t>
      </w:r>
      <w:r>
        <w:rPr>
          <w:rFonts w:ascii="Times New Roman" w:cs="Times New Roman" w:eastAsia="Times New Roman" w:hAnsi="Times New Roman"/>
          <w:sz w:val="20"/>
          <w:szCs w:val="20"/>
          <w:color w:val="auto"/>
        </w:rPr>
        <w:t xml:space="preserve"> SECTION 10.4 Crediting of Payments and Proceeds </w:t>
      </w:r>
      <w:r>
        <w:rPr>
          <w:rFonts w:ascii="Times New Roman" w:cs="Times New Roman" w:eastAsia="Times New Roman" w:hAnsi="Times New Roman"/>
          <w:sz w:val="20"/>
          <w:szCs w:val="20"/>
          <w:color w:val="FF0000"/>
          <w:strike w:val="1"/>
        </w:rPr>
        <w:t>136</w:t>
      </w:r>
      <w:r>
        <w:rPr>
          <w:rFonts w:ascii="Times New Roman" w:cs="Times New Roman" w:eastAsia="Times New Roman" w:hAnsi="Times New Roman"/>
          <w:sz w:val="20"/>
          <w:szCs w:val="20"/>
          <w:u w:val="single" w:color="auto"/>
          <w:color w:val="0000FF"/>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1747520</wp:posOffset>
            </wp:positionH>
            <wp:positionV relativeFrom="paragraph">
              <wp:posOffset>-146685</wp:posOffset>
            </wp:positionV>
            <wp:extent cx="1981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94">
                      <a:extLst>
                        <a:ext uri="{28A0092B-C50C-407E-A947-70E740481C1C}"/>
                      </a:extLst>
                    </a:blip>
                    <a:srcRect/>
                    <a:stretch>
                      <a:fillRect/>
                    </a:stretch>
                  </pic:blipFill>
                  <pic:spPr bwMode="auto">
                    <a:xfrm>
                      <a:off x="0" y="0"/>
                      <a:ext cx="198120" cy="8255"/>
                    </a:xfrm>
                    <a:prstGeom prst="rect">
                      <a:avLst/>
                    </a:prstGeom>
                    <a:noFill/>
                  </pic:spPr>
                </pic:pic>
              </a:graphicData>
            </a:graphic>
          </wp:anchor>
        </w:drawing>
        <w:drawing>
          <wp:anchor simplePos="0" relativeHeight="251657728" behindDoc="1" locked="0" layoutInCell="0" allowOverlap="1">
            <wp:simplePos x="0" y="0"/>
            <wp:positionH relativeFrom="column">
              <wp:posOffset>5781675</wp:posOffset>
            </wp:positionH>
            <wp:positionV relativeFrom="paragraph">
              <wp:posOffset>-146685</wp:posOffset>
            </wp:positionV>
            <wp:extent cx="15875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95">
                      <a:extLst>
                        <a:ext uri="{28A0092B-C50C-407E-A947-70E740481C1C}"/>
                      </a:extLst>
                    </a:blip>
                    <a:srcRect/>
                    <a:stretch>
                      <a:fillRect/>
                    </a:stretch>
                  </pic:blipFill>
                  <pic:spPr bwMode="auto">
                    <a:xfrm>
                      <a:off x="0" y="0"/>
                      <a:ext cx="158750" cy="8255"/>
                    </a:xfrm>
                    <a:prstGeom prst="rect">
                      <a:avLst/>
                    </a:prstGeom>
                    <a:noFill/>
                  </pic:spPr>
                </pic:pic>
              </a:graphicData>
            </a:graphic>
          </wp:anchor>
        </w:drawing>
        <w:drawing>
          <wp:anchor simplePos="0" relativeHeight="251657728" behindDoc="1" locked="0" layoutInCell="0" allowOverlap="1">
            <wp:simplePos x="0" y="0"/>
            <wp:positionH relativeFrom="column">
              <wp:posOffset>2245995</wp:posOffset>
            </wp:positionH>
            <wp:positionV relativeFrom="paragraph">
              <wp:posOffset>-27305</wp:posOffset>
            </wp:positionV>
            <wp:extent cx="15557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96">
                      <a:extLst>
                        <a:ext uri="{28A0092B-C50C-407E-A947-70E740481C1C}"/>
                      </a:extLst>
                    </a:blip>
                    <a:srcRect/>
                    <a:stretch>
                      <a:fillRect/>
                    </a:stretch>
                  </pic:blipFill>
                  <pic:spPr bwMode="auto">
                    <a:xfrm>
                      <a:off x="0" y="0"/>
                      <a:ext cx="155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300" w:val="left"/>
        </w:tabs>
        <w:rPr>
          <w:sz w:val="20"/>
          <w:szCs w:val="20"/>
          <w:color w:val="auto"/>
        </w:rPr>
      </w:pPr>
      <w:r>
        <w:rPr>
          <w:sz w:val="1"/>
          <w:szCs w:val="1"/>
          <w:color w:val="auto"/>
        </w:rPr>
        <w:drawing>
          <wp:inline distT="0" distB="0" distL="0" distR="0">
            <wp:extent cx="8255" cy="10160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97">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4</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ectPr>
          <w:pgSz w:w="11900" w:h="16838" w:orient="portrait"/>
          <w:cols w:equalWidth="0" w:num="1">
            <w:col w:w="11240"/>
          </w:cols>
          <w:pgMar w:left="320" w:top="1316" w:right="33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Page</w:t>
      </w:r>
    </w:p>
    <w:p>
      <w:pPr>
        <w:spacing w:after="0" w:line="129" w:lineRule="exact"/>
        <w:rPr>
          <w:sz w:val="20"/>
          <w:szCs w:val="20"/>
          <w:color w:val="auto"/>
        </w:rPr>
      </w:pPr>
    </w:p>
    <w:tbl>
      <w:tblPr>
        <w:tblLayout w:type="fixed"/>
        <w:tblInd w:w="640" w:type="dxa"/>
        <w:tblCellMar>
          <w:top w:w="0" w:type="dxa"/>
          <w:left w:w="0" w:type="dxa"/>
          <w:bottom w:w="0" w:type="dxa"/>
          <w:right w:w="0" w:type="dxa"/>
        </w:tblCellMar>
      </w:tblPr>
      <w:tr>
        <w:trPr>
          <w:trHeight w:val="42"/>
        </w:trPr>
        <w:tc>
          <w:tcPr>
            <w:tcW w:w="5200" w:type="dxa"/>
            <w:vAlign w:val="bottom"/>
            <w:gridSpan w:val="40"/>
            <w:vMerge w:val="restart"/>
          </w:tcPr>
          <w:p>
            <w:pPr>
              <w:spacing w:after="0"/>
              <w:rPr>
                <w:sz w:val="20"/>
                <w:szCs w:val="20"/>
                <w:color w:val="auto"/>
              </w:rPr>
            </w:pPr>
            <w:r>
              <w:rPr>
                <w:rFonts w:ascii="Times New Roman" w:cs="Times New Roman" w:eastAsia="Times New Roman" w:hAnsi="Times New Roman"/>
                <w:sz w:val="20"/>
                <w:szCs w:val="20"/>
                <w:color w:val="auto"/>
                <w:w w:val="99"/>
              </w:rPr>
              <w:t>SECTION 10.5  Administrative Agent May File Proofs of Claim</w:t>
            </w:r>
          </w:p>
        </w:tc>
        <w:tc>
          <w:tcPr>
            <w:tcW w:w="40" w:type="dxa"/>
            <w:vAlign w:val="bottom"/>
            <w:vMerge w:val="restart"/>
          </w:tcPr>
          <w:p>
            <w:pPr>
              <w:spacing w:after="0"/>
              <w:rPr>
                <w:sz w:val="3"/>
                <w:szCs w:val="3"/>
                <w:color w:val="auto"/>
              </w:rPr>
            </w:pPr>
          </w:p>
        </w:tc>
        <w:tc>
          <w:tcPr>
            <w:tcW w:w="14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80" w:type="dxa"/>
            <w:vAlign w:val="bottom"/>
            <w:vMerge w:val="restart"/>
          </w:tcPr>
          <w:p>
            <w:pPr>
              <w:spacing w:after="0"/>
              <w:rPr>
                <w:sz w:val="3"/>
                <w:szCs w:val="3"/>
                <w:color w:val="auto"/>
              </w:rPr>
            </w:pPr>
          </w:p>
        </w:tc>
        <w:tc>
          <w:tcPr>
            <w:tcW w:w="60" w:type="dxa"/>
            <w:vAlign w:val="bottom"/>
            <w:vMerge w:val="restart"/>
          </w:tcPr>
          <w:p>
            <w:pPr>
              <w:spacing w:after="0"/>
              <w:rPr>
                <w:sz w:val="3"/>
                <w:szCs w:val="3"/>
                <w:color w:val="auto"/>
              </w:rPr>
            </w:pPr>
          </w:p>
        </w:tc>
        <w:tc>
          <w:tcPr>
            <w:tcW w:w="80" w:type="dxa"/>
            <w:vAlign w:val="bottom"/>
            <w:vMerge w:val="restart"/>
          </w:tcPr>
          <w:p>
            <w:pPr>
              <w:spacing w:after="0"/>
              <w:rPr>
                <w:sz w:val="3"/>
                <w:szCs w:val="3"/>
                <w:color w:val="auto"/>
              </w:rPr>
            </w:pPr>
          </w:p>
        </w:tc>
        <w:tc>
          <w:tcPr>
            <w:tcW w:w="36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20"/>
                <w:szCs w:val="20"/>
                <w:color w:val="FF0000"/>
                <w:strike w:val="1"/>
                <w:w w:val="93"/>
              </w:rPr>
              <w:t>137</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w w:val="73"/>
              </w:rPr>
              <w:t>139</w:t>
            </w:r>
          </w:p>
        </w:tc>
        <w:tc>
          <w:tcPr>
            <w:tcW w:w="60" w:type="dxa"/>
            <w:vAlign w:val="bottom"/>
            <w:vMerge w:val="restart"/>
          </w:tcPr>
          <w:p>
            <w:pPr>
              <w:spacing w:after="0"/>
              <w:rPr>
                <w:sz w:val="3"/>
                <w:szCs w:val="3"/>
                <w:color w:val="auto"/>
              </w:rPr>
            </w:pPr>
          </w:p>
        </w:tc>
        <w:tc>
          <w:tcPr>
            <w:tcW w:w="280" w:type="dxa"/>
            <w:vAlign w:val="bottom"/>
            <w:vMerge w:val="restart"/>
          </w:tcPr>
          <w:p>
            <w:pPr>
              <w:spacing w:after="0"/>
              <w:rPr>
                <w:sz w:val="3"/>
                <w:szCs w:val="3"/>
                <w:color w:val="auto"/>
              </w:rPr>
            </w:pPr>
          </w:p>
        </w:tc>
        <w:tc>
          <w:tcPr>
            <w:tcW w:w="48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40" w:type="dxa"/>
            <w:vAlign w:val="bottom"/>
            <w:vMerge w:val="restart"/>
          </w:tcPr>
          <w:p>
            <w:pPr>
              <w:spacing w:after="0"/>
              <w:rPr>
                <w:sz w:val="3"/>
                <w:szCs w:val="3"/>
                <w:color w:val="auto"/>
              </w:rPr>
            </w:pPr>
          </w:p>
        </w:tc>
        <w:tc>
          <w:tcPr>
            <w:tcW w:w="160" w:type="dxa"/>
            <w:vAlign w:val="bottom"/>
            <w:vMerge w:val="restart"/>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5200" w:type="dxa"/>
            <w:vAlign w:val="bottom"/>
            <w:gridSpan w:val="40"/>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360" w:type="dxa"/>
            <w:vAlign w:val="bottom"/>
            <w:gridSpan w:val="4"/>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380" w:type="dxa"/>
            <w:vAlign w:val="bottom"/>
            <w:gridSpan w:val="2"/>
          </w:tcPr>
          <w:p>
            <w:pPr>
              <w:ind w:left="40"/>
              <w:spacing w:after="0" w:line="207" w:lineRule="exact"/>
              <w:rPr>
                <w:sz w:val="20"/>
                <w:szCs w:val="20"/>
                <w:color w:val="auto"/>
              </w:rPr>
            </w:pPr>
            <w:r>
              <w:rPr>
                <w:rFonts w:ascii="Times New Roman" w:cs="Times New Roman" w:eastAsia="Times New Roman" w:hAnsi="Times New Roman"/>
                <w:sz w:val="20"/>
                <w:szCs w:val="20"/>
                <w:color w:val="auto"/>
              </w:rPr>
              <w:t>SECTION 10.6</w:t>
            </w:r>
          </w:p>
        </w:tc>
        <w:tc>
          <w:tcPr>
            <w:tcW w:w="780" w:type="dxa"/>
            <w:vAlign w:val="bottom"/>
            <w:gridSpan w:val="8"/>
          </w:tcPr>
          <w:p>
            <w:pPr>
              <w:jc w:val="center"/>
              <w:ind w:right="27"/>
              <w:spacing w:after="0" w:line="207" w:lineRule="exact"/>
              <w:rPr>
                <w:sz w:val="20"/>
                <w:szCs w:val="20"/>
                <w:color w:val="auto"/>
              </w:rPr>
            </w:pPr>
            <w:r>
              <w:rPr>
                <w:rFonts w:ascii="Times New Roman" w:cs="Times New Roman" w:eastAsia="Times New Roman" w:hAnsi="Times New Roman"/>
                <w:sz w:val="20"/>
                <w:szCs w:val="20"/>
                <w:color w:val="auto"/>
                <w:w w:val="99"/>
              </w:rPr>
              <w:t>Credit</w:t>
            </w:r>
          </w:p>
        </w:tc>
        <w:tc>
          <w:tcPr>
            <w:tcW w:w="860" w:type="dxa"/>
            <w:vAlign w:val="bottom"/>
            <w:gridSpan w:val="9"/>
          </w:tcPr>
          <w:p>
            <w:pPr>
              <w:jc w:val="right"/>
              <w:ind w:right="102"/>
              <w:spacing w:after="0" w:line="207" w:lineRule="exact"/>
              <w:rPr>
                <w:sz w:val="20"/>
                <w:szCs w:val="20"/>
                <w:color w:val="auto"/>
              </w:rPr>
            </w:pPr>
            <w:r>
              <w:rPr>
                <w:rFonts w:ascii="Times New Roman" w:cs="Times New Roman" w:eastAsia="Times New Roman" w:hAnsi="Times New Roman"/>
                <w:sz w:val="20"/>
                <w:szCs w:val="20"/>
                <w:color w:val="auto"/>
                <w:w w:val="99"/>
              </w:rPr>
              <w:t>Bidding</w:t>
            </w:r>
          </w:p>
        </w:tc>
        <w:tc>
          <w:tcPr>
            <w:tcW w:w="300" w:type="dxa"/>
            <w:vAlign w:val="bottom"/>
            <w:gridSpan w:val="3"/>
          </w:tcPr>
          <w:p>
            <w:pPr>
              <w:jc w:val="right"/>
              <w:spacing w:after="0" w:line="207" w:lineRule="exact"/>
              <w:rPr>
                <w:sz w:val="20"/>
                <w:szCs w:val="20"/>
                <w:color w:val="auto"/>
              </w:rPr>
            </w:pPr>
            <w:r>
              <w:rPr>
                <w:rFonts w:ascii="Times New Roman" w:cs="Times New Roman" w:eastAsia="Times New Roman" w:hAnsi="Times New Roman"/>
                <w:sz w:val="20"/>
                <w:szCs w:val="20"/>
                <w:color w:val="FF0000"/>
                <w:strike w:val="1"/>
                <w:w w:val="93"/>
              </w:rPr>
              <w:t>138</w:t>
            </w:r>
          </w:p>
        </w:tc>
        <w:tc>
          <w:tcPr>
            <w:tcW w:w="1860" w:type="dxa"/>
            <w:vAlign w:val="bottom"/>
            <w:gridSpan w:val="17"/>
          </w:tcPr>
          <w:p>
            <w:pPr>
              <w:jc w:val="right"/>
              <w:ind w:right="1462"/>
              <w:spacing w:after="0" w:line="207" w:lineRule="exact"/>
              <w:rPr>
                <w:sz w:val="20"/>
                <w:szCs w:val="20"/>
                <w:color w:val="auto"/>
              </w:rPr>
            </w:pPr>
            <w:r>
              <w:rPr>
                <w:rFonts w:ascii="Times New Roman" w:cs="Times New Roman" w:eastAsia="Times New Roman" w:hAnsi="Times New Roman"/>
                <w:sz w:val="20"/>
                <w:szCs w:val="20"/>
                <w:color w:val="0000FF"/>
                <w:w w:val="93"/>
              </w:rPr>
              <w:t>140</w:t>
            </w:r>
          </w:p>
        </w:tc>
        <w:tc>
          <w:tcPr>
            <w:tcW w:w="440" w:type="dxa"/>
            <w:vAlign w:val="bottom"/>
            <w:tcBorders>
              <w:top w:val="single" w:sz="8" w:color="auto"/>
            </w:tcBorders>
            <w:gridSpan w:val="7"/>
          </w:tcPr>
          <w:p>
            <w:pPr>
              <w:spacing w:after="0"/>
              <w:rPr>
                <w:sz w:val="18"/>
                <w:szCs w:val="18"/>
                <w:color w:val="auto"/>
              </w:rPr>
            </w:pPr>
          </w:p>
        </w:tc>
        <w:tc>
          <w:tcPr>
            <w:tcW w:w="360" w:type="dxa"/>
            <w:vAlign w:val="bottom"/>
            <w:gridSpan w:val="4"/>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380" w:type="dxa"/>
            <w:vAlign w:val="bottom"/>
            <w:gridSpan w:val="35"/>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gridSpan w:val="2"/>
            <w:vMerge w:val="restart"/>
          </w:tcPr>
          <w:p>
            <w:pPr>
              <w:ind w:left="40"/>
              <w:spacing w:after="0" w:line="201" w:lineRule="exact"/>
              <w:rPr>
                <w:sz w:val="20"/>
                <w:szCs w:val="20"/>
                <w:color w:val="auto"/>
              </w:rPr>
            </w:pPr>
            <w:r>
              <w:rPr>
                <w:rFonts w:ascii="Times New Roman" w:cs="Times New Roman" w:eastAsia="Times New Roman" w:hAnsi="Times New Roman"/>
                <w:sz w:val="20"/>
                <w:szCs w:val="20"/>
                <w:color w:val="auto"/>
              </w:rPr>
              <w:t>SECTION 10.7</w:t>
            </w:r>
          </w:p>
        </w:tc>
        <w:tc>
          <w:tcPr>
            <w:tcW w:w="1440" w:type="dxa"/>
            <w:vAlign w:val="bottom"/>
            <w:gridSpan w:val="13"/>
            <w:vMerge w:val="restart"/>
          </w:tcPr>
          <w:p>
            <w:pPr>
              <w:jc w:val="right"/>
              <w:spacing w:after="0" w:line="201" w:lineRule="exact"/>
              <w:rPr>
                <w:sz w:val="20"/>
                <w:szCs w:val="20"/>
                <w:color w:val="auto"/>
              </w:rPr>
            </w:pPr>
            <w:r>
              <w:rPr>
                <w:rFonts w:ascii="Times New Roman" w:cs="Times New Roman" w:eastAsia="Times New Roman" w:hAnsi="Times New Roman"/>
                <w:sz w:val="20"/>
                <w:szCs w:val="20"/>
                <w:color w:val="auto"/>
                <w:w w:val="90"/>
              </w:rPr>
              <w:t>Judgment Currency</w:t>
            </w:r>
          </w:p>
        </w:tc>
        <w:tc>
          <w:tcPr>
            <w:tcW w:w="200" w:type="dxa"/>
            <w:vAlign w:val="bottom"/>
            <w:tcBorders>
              <w:right w:val="single" w:sz="8" w:color="auto"/>
            </w:tcBorders>
            <w:gridSpan w:val="4"/>
            <w:shd w:val="clear" w:color="auto" w:fill="000000"/>
          </w:tcPr>
          <w:p>
            <w:pPr>
              <w:spacing w:after="0" w:line="20" w:lineRule="exact"/>
              <w:rPr>
                <w:sz w:val="1"/>
                <w:szCs w:val="1"/>
                <w:color w:val="auto"/>
              </w:rPr>
            </w:pPr>
          </w:p>
        </w:tc>
        <w:tc>
          <w:tcPr>
            <w:tcW w:w="500" w:type="dxa"/>
            <w:vAlign w:val="bottom"/>
            <w:tcBorders>
              <w:right w:val="single" w:sz="8" w:color="0000FF"/>
            </w:tcBorders>
            <w:gridSpan w:val="4"/>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980" w:type="dxa"/>
            <w:vAlign w:val="bottom"/>
            <w:gridSpan w:val="6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380" w:type="dxa"/>
            <w:vAlign w:val="bottom"/>
            <w:gridSpan w:val="2"/>
            <w:vMerge w:val="continue"/>
          </w:tcPr>
          <w:p>
            <w:pPr>
              <w:spacing w:after="0"/>
              <w:rPr>
                <w:sz w:val="15"/>
                <w:szCs w:val="15"/>
                <w:color w:val="auto"/>
              </w:rPr>
            </w:pPr>
          </w:p>
        </w:tc>
        <w:tc>
          <w:tcPr>
            <w:tcW w:w="1440" w:type="dxa"/>
            <w:vAlign w:val="bottom"/>
            <w:gridSpan w:val="13"/>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gridSpan w:val="3"/>
          </w:tcPr>
          <w:p>
            <w:pPr>
              <w:spacing w:after="0" w:line="181" w:lineRule="exact"/>
              <w:rPr>
                <w:sz w:val="20"/>
                <w:szCs w:val="20"/>
                <w:color w:val="auto"/>
              </w:rPr>
            </w:pPr>
            <w:r>
              <w:rPr>
                <w:rFonts w:ascii="Times New Roman" w:cs="Times New Roman" w:eastAsia="Times New Roman" w:hAnsi="Times New Roman"/>
                <w:sz w:val="20"/>
                <w:szCs w:val="20"/>
                <w:color w:val="FF0000"/>
                <w:strike w:val="1"/>
                <w:w w:val="93"/>
              </w:rPr>
              <w:t>139</w:t>
            </w:r>
          </w:p>
        </w:tc>
        <w:tc>
          <w:tcPr>
            <w:tcW w:w="4420" w:type="dxa"/>
            <w:vAlign w:val="bottom"/>
            <w:gridSpan w:val="40"/>
          </w:tcPr>
          <w:p>
            <w:pPr>
              <w:jc w:val="right"/>
              <w:ind w:right="82"/>
              <w:spacing w:after="0" w:line="181" w:lineRule="exact"/>
              <w:rPr>
                <w:sz w:val="20"/>
                <w:szCs w:val="20"/>
                <w:color w:val="auto"/>
              </w:rPr>
            </w:pPr>
            <w:r>
              <w:rPr>
                <w:rFonts w:ascii="Times New Roman" w:cs="Times New Roman" w:eastAsia="Times New Roman" w:hAnsi="Times New Roman"/>
                <w:sz w:val="20"/>
                <w:szCs w:val="20"/>
                <w:color w:val="0000FF"/>
                <w:w w:val="96"/>
              </w:rPr>
              <w:t xml:space="preserve">140 </w:t>
            </w:r>
            <w:r>
              <w:rPr>
                <w:rFonts w:ascii="Times New Roman" w:cs="Times New Roman" w:eastAsia="Times New Roman" w:hAnsi="Times New Roman"/>
                <w:sz w:val="20"/>
                <w:szCs w:val="20"/>
                <w:color w:val="000000"/>
                <w:w w:val="96"/>
              </w:rPr>
              <w:t>ARTICLE XI THE ADMINISTRATIVE AGENT</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20"/>
                <w:szCs w:val="20"/>
                <w:color w:val="FF0000"/>
                <w:strike w:val="1"/>
                <w:w w:val="93"/>
              </w:rPr>
              <w:t>139</w:t>
            </w:r>
          </w:p>
        </w:tc>
        <w:tc>
          <w:tcPr>
            <w:tcW w:w="28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20"/>
                <w:szCs w:val="20"/>
                <w:color w:val="0000FF"/>
                <w:w w:val="86"/>
              </w:rPr>
              <w:t>141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20" w:type="dxa"/>
            <w:vAlign w:val="bottom"/>
            <w:tcBorders>
              <w:right w:val="single" w:sz="8" w:color="FF0000"/>
            </w:tcBorders>
            <w:gridSpan w:val="19"/>
          </w:tcPr>
          <w:p>
            <w:pPr>
              <w:spacing w:after="0" w:line="20" w:lineRule="exact"/>
              <w:rPr>
                <w:sz w:val="1"/>
                <w:szCs w:val="1"/>
                <w:color w:val="auto"/>
              </w:rPr>
            </w:pPr>
          </w:p>
        </w:tc>
        <w:tc>
          <w:tcPr>
            <w:tcW w:w="500" w:type="dxa"/>
            <w:vAlign w:val="bottom"/>
            <w:tcBorders>
              <w:right w:val="single" w:sz="8" w:color="0000FF"/>
            </w:tcBorders>
            <w:gridSpan w:val="4"/>
            <w:shd w:val="clear" w:color="auto" w:fill="FF0000"/>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180" w:type="dxa"/>
            <w:vAlign w:val="bottom"/>
            <w:tcBorders>
              <w:right w:val="single" w:sz="8" w:color="FF0000"/>
            </w:tcBorders>
            <w:gridSpan w:val="38"/>
            <w:shd w:val="clear" w:color="auto" w:fill="0000FF"/>
          </w:tcPr>
          <w:p>
            <w:pPr>
              <w:spacing w:after="0" w:line="20" w:lineRule="exact"/>
              <w:rPr>
                <w:sz w:val="1"/>
                <w:szCs w:val="1"/>
                <w:color w:val="auto"/>
              </w:rPr>
            </w:pPr>
          </w:p>
        </w:tc>
        <w:tc>
          <w:tcPr>
            <w:tcW w:w="140" w:type="dxa"/>
            <w:vAlign w:val="bottom"/>
            <w:tcBorders>
              <w:right w:val="single" w:sz="8" w:color="FF0000"/>
            </w:tcBorders>
            <w:shd w:val="clear" w:color="auto" w:fill="FF0000"/>
          </w:tcPr>
          <w:p>
            <w:pPr>
              <w:spacing w:after="0" w:line="20" w:lineRule="exact"/>
              <w:rPr>
                <w:sz w:val="1"/>
                <w:szCs w:val="1"/>
                <w:color w:val="auto"/>
              </w:rPr>
            </w:pPr>
          </w:p>
        </w:tc>
        <w:tc>
          <w:tcPr>
            <w:tcW w:w="200" w:type="dxa"/>
            <w:vAlign w:val="bottom"/>
            <w:tcBorders>
              <w:left w:val="single" w:sz="8" w:color="FF0000"/>
              <w:right w:val="single" w:sz="8" w:color="FF0000"/>
            </w:tcBorders>
            <w:gridSpan w:val="2"/>
            <w:shd w:val="clear" w:color="auto" w:fill="FF0000"/>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2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6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4260" w:type="dxa"/>
            <w:vAlign w:val="bottom"/>
            <w:gridSpan w:val="31"/>
          </w:tcPr>
          <w:p>
            <w:pPr>
              <w:ind w:left="680"/>
              <w:spacing w:after="0"/>
              <w:rPr>
                <w:sz w:val="20"/>
                <w:szCs w:val="20"/>
                <w:color w:val="auto"/>
              </w:rPr>
            </w:pPr>
            <w:r>
              <w:rPr>
                <w:rFonts w:ascii="Times New Roman" w:cs="Times New Roman" w:eastAsia="Times New Roman" w:hAnsi="Times New Roman"/>
                <w:sz w:val="20"/>
                <w:szCs w:val="20"/>
                <w:color w:val="auto"/>
              </w:rPr>
              <w:t>SECTION 11.1 Appointment and Authority</w:t>
            </w:r>
          </w:p>
        </w:tc>
        <w:tc>
          <w:tcPr>
            <w:tcW w:w="320" w:type="dxa"/>
            <w:vAlign w:val="bottom"/>
            <w:gridSpan w:val="3"/>
          </w:tcPr>
          <w:p>
            <w:pPr>
              <w:spacing w:after="0"/>
              <w:rPr>
                <w:sz w:val="22"/>
                <w:szCs w:val="22"/>
                <w:color w:val="auto"/>
              </w:rPr>
            </w:pP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FF0000"/>
                <w:strike w:val="1"/>
                <w:w w:val="93"/>
              </w:rPr>
              <w:t>139</w:t>
            </w:r>
          </w:p>
        </w:tc>
        <w:tc>
          <w:tcPr>
            <w:tcW w:w="3560" w:type="dxa"/>
            <w:vAlign w:val="bottom"/>
            <w:gridSpan w:val="31"/>
          </w:tcPr>
          <w:p>
            <w:pPr>
              <w:spacing w:after="0"/>
              <w:rPr>
                <w:sz w:val="20"/>
                <w:szCs w:val="20"/>
                <w:color w:val="auto"/>
              </w:rPr>
            </w:pPr>
            <w:r>
              <w:rPr>
                <w:rFonts w:ascii="Times New Roman" w:cs="Times New Roman" w:eastAsia="Times New Roman" w:hAnsi="Times New Roman"/>
                <w:sz w:val="20"/>
                <w:szCs w:val="20"/>
                <w:color w:val="0000FF"/>
              </w:rPr>
              <w:t xml:space="preserve">141 </w:t>
            </w:r>
            <w:r>
              <w:rPr>
                <w:rFonts w:ascii="Times New Roman" w:cs="Times New Roman" w:eastAsia="Times New Roman" w:hAnsi="Times New Roman"/>
                <w:sz w:val="20"/>
                <w:szCs w:val="20"/>
                <w:color w:val="000000"/>
              </w:rPr>
              <w:t>SECTION 11.2 Rights as a Lender</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FF0000"/>
                <w:strike w:val="1"/>
                <w:w w:val="99"/>
              </w:rPr>
              <w:t>140</w:t>
            </w:r>
          </w:p>
        </w:tc>
        <w:tc>
          <w:tcPr>
            <w:tcW w:w="1820" w:type="dxa"/>
            <w:vAlign w:val="bottom"/>
            <w:gridSpan w:val="14"/>
          </w:tcPr>
          <w:p>
            <w:pPr>
              <w:jc w:val="right"/>
              <w:ind w:right="180"/>
              <w:spacing w:after="0"/>
              <w:rPr>
                <w:sz w:val="20"/>
                <w:szCs w:val="20"/>
                <w:color w:val="auto"/>
              </w:rPr>
            </w:pPr>
            <w:r>
              <w:rPr>
                <w:rFonts w:ascii="Times New Roman" w:cs="Times New Roman" w:eastAsia="Times New Roman" w:hAnsi="Times New Roman"/>
                <w:sz w:val="20"/>
                <w:szCs w:val="20"/>
                <w:color w:val="0000FF"/>
              </w:rPr>
              <w:t xml:space="preserve">141 </w:t>
            </w:r>
            <w:r>
              <w:rPr>
                <w:rFonts w:ascii="Times New Roman" w:cs="Times New Roman" w:eastAsia="Times New Roman" w:hAnsi="Times New Roman"/>
                <w:sz w:val="20"/>
                <w:szCs w:val="20"/>
                <w:color w:val="000000"/>
              </w:rPr>
              <w:t>SECTION 11.3</w:t>
            </w:r>
          </w:p>
        </w:tc>
        <w:tc>
          <w:tcPr>
            <w:tcW w:w="0" w:type="dxa"/>
            <w:vAlign w:val="bottom"/>
          </w:tcPr>
          <w:p>
            <w:pPr>
              <w:spacing w:after="0"/>
              <w:rPr>
                <w:sz w:val="1"/>
                <w:szCs w:val="1"/>
                <w:color w:val="auto"/>
              </w:rPr>
            </w:pPr>
          </w:p>
        </w:tc>
      </w:tr>
      <w:tr>
        <w:trPr>
          <w:trHeight w:val="20"/>
        </w:trPr>
        <w:tc>
          <w:tcPr>
            <w:tcW w:w="4360" w:type="dxa"/>
            <w:vAlign w:val="bottom"/>
            <w:gridSpan w:val="32"/>
          </w:tcPr>
          <w:p>
            <w:pPr>
              <w:spacing w:after="0" w:line="20" w:lineRule="exact"/>
              <w:rPr>
                <w:sz w:val="1"/>
                <w:szCs w:val="1"/>
                <w:color w:val="auto"/>
              </w:rPr>
            </w:pPr>
          </w:p>
        </w:tc>
        <w:tc>
          <w:tcPr>
            <w:tcW w:w="540" w:type="dxa"/>
            <w:vAlign w:val="bottom"/>
            <w:tcBorders>
              <w:left w:val="single" w:sz="8" w:color="FF0000"/>
              <w:right w:val="single" w:sz="8" w:color="0000FF"/>
            </w:tcBorders>
            <w:gridSpan w:val="5"/>
            <w:shd w:val="clear" w:color="auto" w:fill="FF0000"/>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000" w:type="dxa"/>
            <w:vAlign w:val="bottom"/>
            <w:tcBorders>
              <w:right w:val="single" w:sz="8" w:color="auto"/>
            </w:tcBorders>
            <w:gridSpan w:val="27"/>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tcBorders>
              <w:left w:val="single" w:sz="8" w:color="auto"/>
            </w:tcBorders>
            <w:gridSpan w:val="7"/>
          </w:tcPr>
          <w:p>
            <w:pPr>
              <w:spacing w:after="0" w:line="20" w:lineRule="exact"/>
              <w:rPr>
                <w:sz w:val="1"/>
                <w:szCs w:val="1"/>
                <w:color w:val="auto"/>
              </w:rPr>
            </w:pPr>
          </w:p>
        </w:tc>
        <w:tc>
          <w:tcPr>
            <w:tcW w:w="1540" w:type="dxa"/>
            <w:vAlign w:val="bottom"/>
            <w:tcBorders>
              <w:left w:val="single" w:sz="8" w:color="0000FF"/>
            </w:tcBorders>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2580" w:type="dxa"/>
            <w:vAlign w:val="bottom"/>
            <w:gridSpan w:val="13"/>
          </w:tcPr>
          <w:p>
            <w:pPr>
              <w:ind w:left="680"/>
              <w:spacing w:after="0"/>
              <w:rPr>
                <w:sz w:val="20"/>
                <w:szCs w:val="20"/>
                <w:color w:val="auto"/>
              </w:rPr>
            </w:pPr>
            <w:r>
              <w:rPr>
                <w:rFonts w:ascii="Times New Roman" w:cs="Times New Roman" w:eastAsia="Times New Roman" w:hAnsi="Times New Roman"/>
                <w:sz w:val="20"/>
                <w:szCs w:val="20"/>
                <w:color w:val="auto"/>
                <w:w w:val="99"/>
              </w:rPr>
              <w:t>Exculpatory Provisions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FF0000"/>
                <w:strike w:val="1"/>
                <w:w w:val="86"/>
              </w:rPr>
              <w:t>140</w:t>
            </w:r>
          </w:p>
        </w:tc>
        <w:tc>
          <w:tcPr>
            <w:tcW w:w="5200" w:type="dxa"/>
            <w:vAlign w:val="bottom"/>
            <w:gridSpan w:val="47"/>
          </w:tcPr>
          <w:p>
            <w:pPr>
              <w:spacing w:after="0"/>
              <w:rPr>
                <w:sz w:val="20"/>
                <w:szCs w:val="20"/>
                <w:color w:val="auto"/>
              </w:rPr>
            </w:pPr>
            <w:r>
              <w:rPr>
                <w:rFonts w:ascii="Times New Roman" w:cs="Times New Roman" w:eastAsia="Times New Roman" w:hAnsi="Times New Roman"/>
                <w:sz w:val="20"/>
                <w:szCs w:val="20"/>
                <w:color w:val="0000FF"/>
              </w:rPr>
              <w:t xml:space="preserve">141 </w:t>
            </w:r>
            <w:r>
              <w:rPr>
                <w:rFonts w:ascii="Times New Roman" w:cs="Times New Roman" w:eastAsia="Times New Roman" w:hAnsi="Times New Roman"/>
                <w:sz w:val="20"/>
                <w:szCs w:val="20"/>
                <w:color w:val="000000"/>
              </w:rPr>
              <w:t>SECTION 11.4 Reliance by the Administrative Agent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FF0000"/>
                <w:strike w:val="1"/>
                <w:w w:val="93"/>
              </w:rPr>
              <w:t>141</w:t>
            </w:r>
          </w:p>
        </w:tc>
        <w:tc>
          <w:tcPr>
            <w:tcW w:w="1840" w:type="dxa"/>
            <w:vAlign w:val="bottom"/>
            <w:gridSpan w:val="15"/>
          </w:tcPr>
          <w:p>
            <w:pPr>
              <w:jc w:val="right"/>
              <w:ind w:right="200"/>
              <w:spacing w:after="0"/>
              <w:rPr>
                <w:sz w:val="20"/>
                <w:szCs w:val="20"/>
                <w:color w:val="auto"/>
              </w:rPr>
            </w:pPr>
            <w:r>
              <w:rPr>
                <w:rFonts w:ascii="Times New Roman" w:cs="Times New Roman" w:eastAsia="Times New Roman" w:hAnsi="Times New Roman"/>
                <w:sz w:val="20"/>
                <w:szCs w:val="20"/>
                <w:color w:val="0000FF"/>
              </w:rPr>
              <w:t xml:space="preserve">143 </w:t>
            </w:r>
            <w:r>
              <w:rPr>
                <w:rFonts w:ascii="Times New Roman" w:cs="Times New Roman" w:eastAsia="Times New Roman" w:hAnsi="Times New Roman"/>
                <w:sz w:val="20"/>
                <w:szCs w:val="20"/>
                <w:color w:val="000000"/>
              </w:rPr>
              <w:t>SECTION 11.5</w:t>
            </w:r>
          </w:p>
        </w:tc>
        <w:tc>
          <w:tcPr>
            <w:tcW w:w="0" w:type="dxa"/>
            <w:vAlign w:val="bottom"/>
          </w:tcPr>
          <w:p>
            <w:pPr>
              <w:spacing w:after="0"/>
              <w:rPr>
                <w:sz w:val="1"/>
                <w:szCs w:val="1"/>
                <w:color w:val="auto"/>
              </w:rPr>
            </w:pPr>
          </w:p>
        </w:tc>
      </w:tr>
      <w:tr>
        <w:trPr>
          <w:trHeight w:val="20"/>
        </w:trPr>
        <w:tc>
          <w:tcPr>
            <w:tcW w:w="2580" w:type="dxa"/>
            <w:vAlign w:val="bottom"/>
            <w:tcBorders>
              <w:right w:val="single" w:sz="8" w:color="FF0000"/>
            </w:tcBorders>
            <w:gridSpan w:val="13"/>
          </w:tcPr>
          <w:p>
            <w:pPr>
              <w:spacing w:after="0" w:line="20" w:lineRule="exact"/>
              <w:rPr>
                <w:sz w:val="1"/>
                <w:szCs w:val="1"/>
                <w:color w:val="auto"/>
              </w:rPr>
            </w:pPr>
          </w:p>
        </w:tc>
        <w:tc>
          <w:tcPr>
            <w:tcW w:w="80" w:type="dxa"/>
            <w:vAlign w:val="bottom"/>
            <w:tcBorders>
              <w:left w:val="single" w:sz="8" w:color="FF0000"/>
            </w:tcBorders>
            <w:shd w:val="clear" w:color="auto" w:fill="FF0000"/>
          </w:tcPr>
          <w:p>
            <w:pPr>
              <w:spacing w:after="0" w:line="20" w:lineRule="exact"/>
              <w:rPr>
                <w:sz w:val="1"/>
                <w:szCs w:val="1"/>
                <w:color w:val="auto"/>
              </w:rPr>
            </w:pPr>
          </w:p>
        </w:tc>
        <w:tc>
          <w:tcPr>
            <w:tcW w:w="600" w:type="dxa"/>
            <w:vAlign w:val="bottom"/>
            <w:tcBorders>
              <w:left w:val="single" w:sz="8" w:color="FF0000"/>
              <w:right w:val="single" w:sz="8" w:color="0000FF"/>
            </w:tcBorders>
            <w:gridSpan w:val="7"/>
            <w:shd w:val="clear" w:color="auto" w:fill="FF0000"/>
          </w:tcPr>
          <w:p>
            <w:pPr>
              <w:spacing w:after="0" w:line="20" w:lineRule="exact"/>
              <w:rPr>
                <w:sz w:val="1"/>
                <w:szCs w:val="1"/>
                <w:color w:val="auto"/>
              </w:rPr>
            </w:pPr>
          </w:p>
        </w:tc>
        <w:tc>
          <w:tcPr>
            <w:tcW w:w="2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620" w:type="dxa"/>
            <w:vAlign w:val="bottom"/>
            <w:tcBorders>
              <w:right w:val="single" w:sz="8" w:color="auto"/>
            </w:tcBorders>
            <w:gridSpan w:val="42"/>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14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2380" w:type="dxa"/>
            <w:vAlign w:val="bottom"/>
            <w:gridSpan w:val="12"/>
          </w:tcPr>
          <w:p>
            <w:pPr>
              <w:ind w:left="680"/>
              <w:spacing w:after="0"/>
              <w:rPr>
                <w:sz w:val="20"/>
                <w:szCs w:val="20"/>
                <w:color w:val="auto"/>
              </w:rPr>
            </w:pPr>
            <w:r>
              <w:rPr>
                <w:rFonts w:ascii="Times New Roman" w:cs="Times New Roman" w:eastAsia="Times New Roman" w:hAnsi="Times New Roman"/>
                <w:sz w:val="20"/>
                <w:szCs w:val="20"/>
                <w:color w:val="auto"/>
                <w:w w:val="99"/>
              </w:rPr>
              <w:t>Delegation of Duties</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FF0000"/>
                <w:strike w:val="1"/>
                <w:w w:val="99"/>
              </w:rPr>
              <w:t>142</w:t>
            </w:r>
          </w:p>
        </w:tc>
        <w:tc>
          <w:tcPr>
            <w:tcW w:w="4960" w:type="dxa"/>
            <w:vAlign w:val="bottom"/>
            <w:gridSpan w:val="45"/>
          </w:tcPr>
          <w:p>
            <w:pPr>
              <w:jc w:val="center"/>
              <w:ind w:right="182"/>
              <w:spacing w:after="0"/>
              <w:rPr>
                <w:sz w:val="20"/>
                <w:szCs w:val="20"/>
                <w:color w:val="auto"/>
              </w:rPr>
            </w:pPr>
            <w:r>
              <w:rPr>
                <w:rFonts w:ascii="Times New Roman" w:cs="Times New Roman" w:eastAsia="Times New Roman" w:hAnsi="Times New Roman"/>
                <w:sz w:val="20"/>
                <w:szCs w:val="20"/>
                <w:color w:val="0000FF"/>
              </w:rPr>
              <w:t xml:space="preserve">143 </w:t>
            </w:r>
            <w:r>
              <w:rPr>
                <w:rFonts w:ascii="Times New Roman" w:cs="Times New Roman" w:eastAsia="Times New Roman" w:hAnsi="Times New Roman"/>
                <w:sz w:val="20"/>
                <w:szCs w:val="20"/>
                <w:color w:val="000000"/>
              </w:rPr>
              <w:t>SECTION 11.6 Resignation of Administrative Agent</w:t>
            </w:r>
          </w:p>
        </w:tc>
        <w:tc>
          <w:tcPr>
            <w:tcW w:w="36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FF0000"/>
                <w:strike w:val="1"/>
                <w:w w:val="86"/>
              </w:rPr>
              <w:t>142</w:t>
            </w:r>
          </w:p>
        </w:tc>
        <w:tc>
          <w:tcPr>
            <w:tcW w:w="2300" w:type="dxa"/>
            <w:vAlign w:val="bottom"/>
            <w:gridSpan w:val="19"/>
          </w:tcPr>
          <w:p>
            <w:pPr>
              <w:jc w:val="center"/>
              <w:ind w:right="200"/>
              <w:spacing w:after="0"/>
              <w:rPr>
                <w:sz w:val="20"/>
                <w:szCs w:val="20"/>
                <w:color w:val="auto"/>
              </w:rPr>
            </w:pPr>
            <w:r>
              <w:rPr>
                <w:rFonts w:ascii="Times New Roman" w:cs="Times New Roman" w:eastAsia="Times New Roman" w:hAnsi="Times New Roman"/>
                <w:sz w:val="20"/>
                <w:szCs w:val="20"/>
                <w:color w:val="0000FF"/>
              </w:rPr>
              <w:t xml:space="preserve">143 </w:t>
            </w:r>
            <w:r>
              <w:rPr>
                <w:rFonts w:ascii="Times New Roman" w:cs="Times New Roman" w:eastAsia="Times New Roman" w:hAnsi="Times New Roman"/>
                <w:sz w:val="20"/>
                <w:szCs w:val="20"/>
                <w:color w:val="000000"/>
              </w:rPr>
              <w:t>SECTION 11.7 Non-</w:t>
            </w:r>
          </w:p>
        </w:tc>
        <w:tc>
          <w:tcPr>
            <w:tcW w:w="0" w:type="dxa"/>
            <w:vAlign w:val="bottom"/>
          </w:tcPr>
          <w:p>
            <w:pPr>
              <w:spacing w:after="0"/>
              <w:rPr>
                <w:sz w:val="1"/>
                <w:szCs w:val="1"/>
                <w:color w:val="auto"/>
              </w:rPr>
            </w:pPr>
          </w:p>
        </w:tc>
      </w:tr>
      <w:tr>
        <w:trPr>
          <w:trHeight w:val="20"/>
        </w:trPr>
        <w:tc>
          <w:tcPr>
            <w:tcW w:w="2580" w:type="dxa"/>
            <w:vAlign w:val="bottom"/>
            <w:tcBorders>
              <w:right w:val="single" w:sz="8" w:color="FF0000"/>
            </w:tcBorders>
            <w:gridSpan w:val="13"/>
          </w:tcPr>
          <w:p>
            <w:pPr>
              <w:spacing w:after="0" w:line="20" w:lineRule="exact"/>
              <w:rPr>
                <w:sz w:val="1"/>
                <w:szCs w:val="1"/>
                <w:color w:val="auto"/>
              </w:rPr>
            </w:pPr>
          </w:p>
        </w:tc>
        <w:tc>
          <w:tcPr>
            <w:tcW w:w="80" w:type="dxa"/>
            <w:vAlign w:val="bottom"/>
            <w:tcBorders>
              <w:left w:val="single" w:sz="8" w:color="FF0000"/>
            </w:tcBorders>
            <w:shd w:val="clear" w:color="auto" w:fill="FF0000"/>
          </w:tcPr>
          <w:p>
            <w:pPr>
              <w:spacing w:after="0" w:line="20" w:lineRule="exact"/>
              <w:rPr>
                <w:sz w:val="1"/>
                <w:szCs w:val="1"/>
                <w:color w:val="auto"/>
              </w:rPr>
            </w:pPr>
          </w:p>
        </w:tc>
        <w:tc>
          <w:tcPr>
            <w:tcW w:w="600" w:type="dxa"/>
            <w:vAlign w:val="bottom"/>
            <w:tcBorders>
              <w:left w:val="single" w:sz="8" w:color="FF0000"/>
              <w:right w:val="single" w:sz="8" w:color="0000FF"/>
            </w:tcBorders>
            <w:gridSpan w:val="7"/>
          </w:tcPr>
          <w:p>
            <w:pPr>
              <w:spacing w:after="0" w:line="20" w:lineRule="exact"/>
              <w:rPr>
                <w:sz w:val="1"/>
                <w:szCs w:val="1"/>
                <w:color w:val="auto"/>
              </w:rPr>
            </w:pPr>
          </w:p>
        </w:tc>
        <w:tc>
          <w:tcPr>
            <w:tcW w:w="4540" w:type="dxa"/>
            <w:vAlign w:val="bottom"/>
            <w:tcBorders>
              <w:left w:val="single" w:sz="8" w:color="0000FF"/>
              <w:right w:val="single" w:sz="8" w:color="auto"/>
            </w:tcBorders>
            <w:gridSpan w:val="41"/>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Borders>
              <w:left w:val="single" w:sz="8" w:color="auto"/>
              <w:right w:val="single" w:sz="8" w:color="0000FF"/>
            </w:tcBorders>
            <w:gridSpan w:val="4"/>
          </w:tcPr>
          <w:p>
            <w:pPr>
              <w:spacing w:after="0" w:line="20" w:lineRule="exact"/>
              <w:rPr>
                <w:sz w:val="1"/>
                <w:szCs w:val="1"/>
                <w:color w:val="auto"/>
              </w:rPr>
            </w:pPr>
          </w:p>
        </w:tc>
        <w:tc>
          <w:tcPr>
            <w:tcW w:w="2300" w:type="dxa"/>
            <w:vAlign w:val="bottom"/>
            <w:gridSpan w:val="19"/>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5080" w:type="dxa"/>
            <w:vAlign w:val="bottom"/>
            <w:gridSpan w:val="38"/>
          </w:tcPr>
          <w:p>
            <w:pPr>
              <w:ind w:left="680"/>
              <w:spacing w:after="0"/>
              <w:rPr>
                <w:sz w:val="20"/>
                <w:szCs w:val="20"/>
                <w:color w:val="auto"/>
              </w:rPr>
            </w:pPr>
            <w:r>
              <w:rPr>
                <w:rFonts w:ascii="Times New Roman" w:cs="Times New Roman" w:eastAsia="Times New Roman" w:hAnsi="Times New Roman"/>
                <w:sz w:val="20"/>
                <w:szCs w:val="20"/>
                <w:color w:val="auto"/>
              </w:rPr>
              <w:t>Reliance on Administrative Agent and Other Lenders</w:t>
            </w:r>
          </w:p>
        </w:tc>
        <w:tc>
          <w:tcPr>
            <w:tcW w:w="100" w:type="dxa"/>
            <w:vAlign w:val="bottom"/>
          </w:tcPr>
          <w:p>
            <w:pPr>
              <w:spacing w:after="0"/>
              <w:rPr>
                <w:sz w:val="24"/>
                <w:szCs w:val="24"/>
                <w:color w:val="auto"/>
              </w:rPr>
            </w:pPr>
          </w:p>
        </w:tc>
        <w:tc>
          <w:tcPr>
            <w:tcW w:w="22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FF0000"/>
                <w:strike w:val="1"/>
                <w:w w:val="70"/>
              </w:rPr>
              <w:t>143</w:t>
            </w:r>
          </w:p>
        </w:tc>
        <w:tc>
          <w:tcPr>
            <w:tcW w:w="3520" w:type="dxa"/>
            <w:vAlign w:val="bottom"/>
            <w:gridSpan w:val="31"/>
          </w:tcPr>
          <w:p>
            <w:pPr>
              <w:spacing w:after="0"/>
              <w:rPr>
                <w:sz w:val="20"/>
                <w:szCs w:val="20"/>
                <w:color w:val="auto"/>
              </w:rPr>
            </w:pPr>
            <w:r>
              <w:rPr>
                <w:rFonts w:ascii="Times New Roman" w:cs="Times New Roman" w:eastAsia="Times New Roman" w:hAnsi="Times New Roman"/>
                <w:sz w:val="20"/>
                <w:szCs w:val="20"/>
                <w:color w:val="0000FF"/>
              </w:rPr>
              <w:t xml:space="preserve">144 </w:t>
            </w:r>
            <w:r>
              <w:rPr>
                <w:rFonts w:ascii="Times New Roman" w:cs="Times New Roman" w:eastAsia="Times New Roman" w:hAnsi="Times New Roman"/>
                <w:sz w:val="20"/>
                <w:szCs w:val="20"/>
                <w:color w:val="000000"/>
              </w:rPr>
              <w:t>SECTION 11.8 No Other Duties, Etc</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FF0000"/>
                <w:strike w:val="1"/>
                <w:w w:val="93"/>
              </w:rPr>
              <w:t>144</w:t>
            </w:r>
          </w:p>
        </w:tc>
        <w:tc>
          <w:tcPr>
            <w:tcW w:w="1380" w:type="dxa"/>
            <w:vAlign w:val="bottom"/>
            <w:gridSpan w:val="9"/>
          </w:tcPr>
          <w:p>
            <w:pPr>
              <w:jc w:val="right"/>
              <w:ind w:right="200"/>
              <w:spacing w:after="0"/>
              <w:rPr>
                <w:sz w:val="20"/>
                <w:szCs w:val="20"/>
                <w:color w:val="auto"/>
              </w:rPr>
            </w:pPr>
            <w:r>
              <w:rPr>
                <w:rFonts w:ascii="Times New Roman" w:cs="Times New Roman" w:eastAsia="Times New Roman" w:hAnsi="Times New Roman"/>
                <w:sz w:val="20"/>
                <w:szCs w:val="20"/>
                <w:color w:val="0000FF"/>
                <w:w w:val="97"/>
              </w:rPr>
              <w:t xml:space="preserve">145 </w:t>
            </w:r>
            <w:r>
              <w:rPr>
                <w:rFonts w:ascii="Times New Roman" w:cs="Times New Roman" w:eastAsia="Times New Roman" w:hAnsi="Times New Roman"/>
                <w:sz w:val="20"/>
                <w:szCs w:val="20"/>
                <w:color w:val="000000"/>
                <w:w w:val="97"/>
              </w:rPr>
              <w:t>SECTION</w:t>
            </w:r>
          </w:p>
        </w:tc>
        <w:tc>
          <w:tcPr>
            <w:tcW w:w="0" w:type="dxa"/>
            <w:vAlign w:val="bottom"/>
          </w:tcPr>
          <w:p>
            <w:pPr>
              <w:spacing w:after="0"/>
              <w:rPr>
                <w:sz w:val="1"/>
                <w:szCs w:val="1"/>
                <w:color w:val="auto"/>
              </w:rPr>
            </w:pPr>
          </w:p>
        </w:tc>
      </w:tr>
      <w:tr>
        <w:trPr>
          <w:trHeight w:val="314"/>
        </w:trPr>
        <w:tc>
          <w:tcPr>
            <w:tcW w:w="3760" w:type="dxa"/>
            <w:vAlign w:val="bottom"/>
            <w:gridSpan w:val="26"/>
          </w:tcPr>
          <w:p>
            <w:pPr>
              <w:ind w:left="680"/>
              <w:spacing w:after="0"/>
              <w:rPr>
                <w:sz w:val="20"/>
                <w:szCs w:val="20"/>
                <w:color w:val="auto"/>
              </w:rPr>
            </w:pPr>
            <w:r>
              <w:rPr>
                <w:rFonts w:ascii="Times New Roman" w:cs="Times New Roman" w:eastAsia="Times New Roman" w:hAnsi="Times New Roman"/>
                <w:sz w:val="20"/>
                <w:szCs w:val="20"/>
                <w:color w:val="auto"/>
                <w:w w:val="98"/>
              </w:rPr>
              <w:t>11.9 Collateral and Guaranty Matters</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FF0000"/>
                <w:strike w:val="1"/>
              </w:rPr>
              <w:t>144</w:t>
            </w:r>
          </w:p>
        </w:tc>
        <w:tc>
          <w:tcPr>
            <w:tcW w:w="80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145</w:t>
            </w:r>
          </w:p>
        </w:tc>
        <w:tc>
          <w:tcPr>
            <w:tcW w:w="280" w:type="dxa"/>
            <w:vAlign w:val="bottom"/>
            <w:tcBorders>
              <w:top w:val="single" w:sz="8" w:color="auto"/>
            </w:tcBorders>
            <w:gridSpan w:val="2"/>
          </w:tcPr>
          <w:p>
            <w:pPr>
              <w:spacing w:after="0"/>
              <w:rPr>
                <w:sz w:val="24"/>
                <w:szCs w:val="24"/>
                <w:color w:val="auto"/>
              </w:rPr>
            </w:pPr>
          </w:p>
        </w:tc>
        <w:tc>
          <w:tcPr>
            <w:tcW w:w="220" w:type="dxa"/>
            <w:vAlign w:val="bottom"/>
            <w:gridSpan w:val="4"/>
          </w:tcPr>
          <w:p>
            <w:pPr>
              <w:spacing w:after="0"/>
              <w:rPr>
                <w:sz w:val="24"/>
                <w:szCs w:val="24"/>
                <w:color w:val="auto"/>
              </w:rPr>
            </w:pPr>
          </w:p>
        </w:tc>
        <w:tc>
          <w:tcPr>
            <w:tcW w:w="300" w:type="dxa"/>
            <w:vAlign w:val="bottom"/>
            <w:tcBorders>
              <w:top w:val="single" w:sz="8" w:color="0000FF"/>
            </w:tcBorders>
            <w:gridSpan w:val="5"/>
          </w:tcPr>
          <w:p>
            <w:pPr>
              <w:spacing w:after="0"/>
              <w:rPr>
                <w:sz w:val="24"/>
                <w:szCs w:val="24"/>
                <w:color w:val="auto"/>
              </w:rPr>
            </w:pPr>
          </w:p>
        </w:tc>
        <w:tc>
          <w:tcPr>
            <w:tcW w:w="3040" w:type="dxa"/>
            <w:vAlign w:val="bottom"/>
            <w:gridSpan w:val="22"/>
          </w:tcPr>
          <w:p>
            <w:pPr>
              <w:spacing w:after="0"/>
              <w:rPr>
                <w:sz w:val="24"/>
                <w:szCs w:val="24"/>
                <w:color w:val="auto"/>
              </w:rPr>
            </w:pPr>
          </w:p>
        </w:tc>
        <w:tc>
          <w:tcPr>
            <w:tcW w:w="180" w:type="dxa"/>
            <w:vAlign w:val="bottom"/>
            <w:tcBorders>
              <w:top w:val="single" w:sz="8" w:color="auto"/>
            </w:tcBorders>
            <w:gridSpan w:val="4"/>
          </w:tcPr>
          <w:p>
            <w:pPr>
              <w:spacing w:after="0"/>
              <w:rPr>
                <w:sz w:val="24"/>
                <w:szCs w:val="24"/>
                <w:color w:val="auto"/>
              </w:rPr>
            </w:pPr>
          </w:p>
        </w:tc>
        <w:tc>
          <w:tcPr>
            <w:tcW w:w="300" w:type="dxa"/>
            <w:vAlign w:val="bottom"/>
            <w:gridSpan w:val="3"/>
          </w:tcPr>
          <w:p>
            <w:pPr>
              <w:spacing w:after="0"/>
              <w:rPr>
                <w:sz w:val="24"/>
                <w:szCs w:val="24"/>
                <w:color w:val="auto"/>
              </w:rPr>
            </w:pPr>
          </w:p>
        </w:tc>
        <w:tc>
          <w:tcPr>
            <w:tcW w:w="300" w:type="dxa"/>
            <w:vAlign w:val="bottom"/>
            <w:tcBorders>
              <w:top w:val="single" w:sz="8" w:color="0000FF"/>
            </w:tcBorders>
            <w:gridSpan w:val="3"/>
          </w:tcPr>
          <w:p>
            <w:pPr>
              <w:spacing w:after="0"/>
              <w:rPr>
                <w:sz w:val="24"/>
                <w:szCs w:val="24"/>
                <w:color w:val="auto"/>
              </w:rPr>
            </w:pPr>
          </w:p>
        </w:tc>
        <w:tc>
          <w:tcPr>
            <w:tcW w:w="10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20" w:type="dxa"/>
            <w:vAlign w:val="bottom"/>
            <w:tcBorders>
              <w:right w:val="single" w:sz="8" w:color="FF0000"/>
            </w:tcBorders>
            <w:gridSpan w:val="24"/>
          </w:tcPr>
          <w:p>
            <w:pPr>
              <w:spacing w:after="0" w:line="20" w:lineRule="exact"/>
              <w:rPr>
                <w:sz w:val="1"/>
                <w:szCs w:val="1"/>
                <w:color w:val="auto"/>
              </w:rPr>
            </w:pPr>
          </w:p>
        </w:tc>
        <w:tc>
          <w:tcPr>
            <w:tcW w:w="140" w:type="dxa"/>
            <w:vAlign w:val="bottom"/>
            <w:gridSpan w:val="2"/>
            <w:shd w:val="clear" w:color="auto" w:fill="FF0000"/>
          </w:tcPr>
          <w:p>
            <w:pPr>
              <w:spacing w:after="0" w:line="20" w:lineRule="exact"/>
              <w:rPr>
                <w:sz w:val="1"/>
                <w:szCs w:val="1"/>
                <w:color w:val="auto"/>
              </w:rPr>
            </w:pPr>
          </w:p>
        </w:tc>
        <w:tc>
          <w:tcPr>
            <w:tcW w:w="600" w:type="dxa"/>
            <w:vAlign w:val="bottom"/>
            <w:tcBorders>
              <w:left w:val="single" w:sz="8" w:color="FF0000"/>
            </w:tcBorders>
            <w:gridSpan w:val="6"/>
          </w:tcPr>
          <w:p>
            <w:pPr>
              <w:spacing w:after="0" w:line="20" w:lineRule="exact"/>
              <w:rPr>
                <w:sz w:val="1"/>
                <w:szCs w:val="1"/>
                <w:color w:val="auto"/>
              </w:rPr>
            </w:pPr>
          </w:p>
        </w:tc>
        <w:tc>
          <w:tcPr>
            <w:tcW w:w="6240" w:type="dxa"/>
            <w:vAlign w:val="bottom"/>
            <w:tcBorders>
              <w:left w:val="single" w:sz="8" w:color="0000FF"/>
            </w:tcBorders>
            <w:gridSpan w:val="5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340" w:type="dxa"/>
            <w:vAlign w:val="bottom"/>
            <w:gridSpan w:val="57"/>
          </w:tcPr>
          <w:p>
            <w:pPr>
              <w:ind w:left="680"/>
              <w:spacing w:after="0"/>
              <w:rPr>
                <w:sz w:val="20"/>
                <w:szCs w:val="20"/>
                <w:color w:val="auto"/>
              </w:rPr>
            </w:pPr>
            <w:r>
              <w:rPr>
                <w:rFonts w:ascii="Times New Roman" w:cs="Times New Roman" w:eastAsia="Times New Roman" w:hAnsi="Times New Roman"/>
                <w:sz w:val="20"/>
                <w:szCs w:val="20"/>
                <w:color w:val="auto"/>
              </w:rPr>
              <w:t>SECTION 11.10 Secured Hedge Agreements and Secured Cash Management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980" w:type="dxa"/>
            <w:vAlign w:val="bottom"/>
            <w:gridSpan w:val="8"/>
          </w:tcPr>
          <w:p>
            <w:pPr>
              <w:ind w:left="640"/>
              <w:spacing w:after="0"/>
              <w:rPr>
                <w:sz w:val="20"/>
                <w:szCs w:val="20"/>
                <w:color w:val="auto"/>
              </w:rPr>
            </w:pPr>
            <w:r>
              <w:rPr>
                <w:rFonts w:ascii="Times New Roman" w:cs="Times New Roman" w:eastAsia="Times New Roman" w:hAnsi="Times New Roman"/>
                <w:sz w:val="20"/>
                <w:szCs w:val="20"/>
                <w:color w:val="auto"/>
              </w:rPr>
              <w:t>Agreements</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FF0000"/>
                <w:strike w:val="1"/>
              </w:rPr>
              <w:t>145</w:t>
            </w:r>
          </w:p>
        </w:tc>
        <w:tc>
          <w:tcPr>
            <w:tcW w:w="3600" w:type="dxa"/>
            <w:vAlign w:val="bottom"/>
            <w:gridSpan w:val="38"/>
          </w:tcPr>
          <w:p>
            <w:pPr>
              <w:jc w:val="center"/>
              <w:ind w:right="200"/>
              <w:spacing w:after="0"/>
              <w:rPr>
                <w:sz w:val="20"/>
                <w:szCs w:val="20"/>
                <w:color w:val="auto"/>
              </w:rPr>
            </w:pPr>
            <w:r>
              <w:rPr>
                <w:rFonts w:ascii="Times New Roman" w:cs="Times New Roman" w:eastAsia="Times New Roman" w:hAnsi="Times New Roman"/>
                <w:sz w:val="20"/>
                <w:szCs w:val="20"/>
                <w:color w:val="0000FF"/>
                <w:w w:val="98"/>
              </w:rPr>
              <w:t xml:space="preserve">146 </w:t>
            </w:r>
            <w:r>
              <w:rPr>
                <w:rFonts w:ascii="Times New Roman" w:cs="Times New Roman" w:eastAsia="Times New Roman" w:hAnsi="Times New Roman"/>
                <w:sz w:val="20"/>
                <w:szCs w:val="20"/>
                <w:color w:val="000000"/>
                <w:w w:val="98"/>
              </w:rPr>
              <w:t>SECTION 11.11  Erroneous Payments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FF0000"/>
                <w:strike w:val="1"/>
                <w:w w:val="93"/>
              </w:rPr>
              <w:t>145</w:t>
            </w:r>
          </w:p>
        </w:tc>
        <w:tc>
          <w:tcPr>
            <w:tcW w:w="3540" w:type="dxa"/>
            <w:vAlign w:val="bottom"/>
            <w:gridSpan w:val="31"/>
          </w:tcPr>
          <w:p>
            <w:pPr>
              <w:spacing w:after="0"/>
              <w:rPr>
                <w:sz w:val="20"/>
                <w:szCs w:val="20"/>
                <w:color w:val="auto"/>
              </w:rPr>
            </w:pPr>
            <w:r>
              <w:rPr>
                <w:rFonts w:ascii="Times New Roman" w:cs="Times New Roman" w:eastAsia="Times New Roman" w:hAnsi="Times New Roman"/>
                <w:sz w:val="20"/>
                <w:szCs w:val="20"/>
                <w:color w:val="0000FF"/>
              </w:rPr>
              <w:t xml:space="preserve">147 </w:t>
            </w:r>
            <w:r>
              <w:rPr>
                <w:rFonts w:ascii="Times New Roman" w:cs="Times New Roman" w:eastAsia="Times New Roman" w:hAnsi="Times New Roman"/>
                <w:sz w:val="20"/>
                <w:szCs w:val="20"/>
                <w:color w:val="000000"/>
              </w:rPr>
              <w:t>ARTICLE XII MISCELLANEOUS</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FF0000"/>
                <w:strike w:val="1"/>
                <w:w w:val="93"/>
              </w:rPr>
              <w:t>147</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0000FF"/>
                <w:w w:val="93"/>
              </w:rPr>
              <w:t>149</w:t>
            </w:r>
          </w:p>
        </w:tc>
        <w:tc>
          <w:tcPr>
            <w:tcW w:w="0" w:type="dxa"/>
            <w:vAlign w:val="bottom"/>
          </w:tcPr>
          <w:p>
            <w:pPr>
              <w:spacing w:after="0"/>
              <w:rPr>
                <w:sz w:val="1"/>
                <w:szCs w:val="1"/>
                <w:color w:val="auto"/>
              </w:rPr>
            </w:pPr>
          </w:p>
        </w:tc>
      </w:tr>
      <w:tr>
        <w:trPr>
          <w:trHeight w:val="20"/>
        </w:trPr>
        <w:tc>
          <w:tcPr>
            <w:tcW w:w="1980" w:type="dxa"/>
            <w:vAlign w:val="bottom"/>
            <w:gridSpan w:val="8"/>
          </w:tcPr>
          <w:p>
            <w:pPr>
              <w:spacing w:after="0" w:line="20" w:lineRule="exact"/>
              <w:rPr>
                <w:sz w:val="1"/>
                <w:szCs w:val="1"/>
                <w:color w:val="auto"/>
              </w:rPr>
            </w:pPr>
          </w:p>
        </w:tc>
        <w:tc>
          <w:tcPr>
            <w:tcW w:w="400" w:type="dxa"/>
            <w:vAlign w:val="bottom"/>
            <w:tcBorders>
              <w:left w:val="single" w:sz="8" w:color="FF0000"/>
              <w:right w:val="single" w:sz="8" w:color="0000FF"/>
            </w:tcBorders>
            <w:gridSpan w:val="4"/>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260" w:type="dxa"/>
            <w:vAlign w:val="bottom"/>
            <w:tcBorders>
              <w:left w:val="single" w:sz="8" w:color="0000FF"/>
              <w:right w:val="single" w:sz="8" w:color="FF0000"/>
            </w:tcBorders>
            <w:gridSpan w:val="36"/>
          </w:tcPr>
          <w:p>
            <w:pPr>
              <w:spacing w:after="0" w:line="20" w:lineRule="exact"/>
              <w:rPr>
                <w:sz w:val="1"/>
                <w:szCs w:val="1"/>
                <w:color w:val="auto"/>
              </w:rPr>
            </w:pPr>
          </w:p>
        </w:tc>
        <w:tc>
          <w:tcPr>
            <w:tcW w:w="140" w:type="dxa"/>
            <w:vAlign w:val="bottom"/>
            <w:tcBorders>
              <w:right w:val="single" w:sz="8" w:color="FF0000"/>
            </w:tcBorders>
            <w:shd w:val="clear" w:color="auto" w:fill="FF0000"/>
          </w:tcPr>
          <w:p>
            <w:pPr>
              <w:spacing w:after="0" w:line="20" w:lineRule="exact"/>
              <w:rPr>
                <w:sz w:val="1"/>
                <w:szCs w:val="1"/>
                <w:color w:val="auto"/>
              </w:rPr>
            </w:pPr>
          </w:p>
        </w:tc>
        <w:tc>
          <w:tcPr>
            <w:tcW w:w="4620" w:type="dxa"/>
            <w:vAlign w:val="bottom"/>
            <w:gridSpan w:val="3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4840" w:type="dxa"/>
            <w:vAlign w:val="bottom"/>
            <w:gridSpan w:val="36"/>
            <w:vMerge w:val="restart"/>
          </w:tcPr>
          <w:p>
            <w:pPr>
              <w:ind w:left="680"/>
              <w:spacing w:after="0"/>
              <w:rPr>
                <w:sz w:val="20"/>
                <w:szCs w:val="20"/>
                <w:color w:val="auto"/>
              </w:rPr>
            </w:pPr>
            <w:r>
              <w:rPr>
                <w:rFonts w:ascii="Times New Roman" w:cs="Times New Roman" w:eastAsia="Times New Roman" w:hAnsi="Times New Roman"/>
                <w:sz w:val="20"/>
                <w:szCs w:val="20"/>
                <w:color w:val="auto"/>
                <w:w w:val="97"/>
              </w:rPr>
              <w:t>SECTION 12.2 Amendments, Waivers and Consents</w:t>
            </w:r>
          </w:p>
        </w:tc>
        <w:tc>
          <w:tcPr>
            <w:tcW w:w="240" w:type="dxa"/>
            <w:vAlign w:val="bottom"/>
            <w:gridSpan w:val="2"/>
            <w:vMerge w:val="restart"/>
          </w:tcPr>
          <w:p>
            <w:pPr>
              <w:spacing w:after="0"/>
              <w:rPr>
                <w:sz w:val="24"/>
                <w:szCs w:val="24"/>
                <w:color w:val="auto"/>
              </w:rPr>
            </w:pPr>
          </w:p>
        </w:tc>
        <w:tc>
          <w:tcPr>
            <w:tcW w:w="300" w:type="dxa"/>
            <w:vAlign w:val="bottom"/>
            <w:gridSpan w:val="4"/>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93"/>
              </w:rPr>
              <w:t>150</w:t>
            </w:r>
          </w:p>
        </w:tc>
        <w:tc>
          <w:tcPr>
            <w:tcW w:w="320" w:type="dxa"/>
            <w:vAlign w:val="bottom"/>
            <w:gridSpan w:val="6"/>
            <w:vMerge w:val="restart"/>
          </w:tcPr>
          <w:p>
            <w:pPr>
              <w:spacing w:after="0"/>
              <w:rPr>
                <w:sz w:val="20"/>
                <w:szCs w:val="20"/>
                <w:color w:val="auto"/>
              </w:rPr>
            </w:pPr>
            <w:r>
              <w:rPr>
                <w:rFonts w:ascii="Times New Roman" w:cs="Times New Roman" w:eastAsia="Times New Roman" w:hAnsi="Times New Roman"/>
                <w:sz w:val="20"/>
                <w:szCs w:val="20"/>
                <w:color w:val="0000FF"/>
                <w:w w:val="99"/>
              </w:rPr>
              <w:t>151</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15"/>
          </w:tcPr>
          <w:p>
            <w:pPr>
              <w:jc w:val="right"/>
              <w:ind w:right="80"/>
              <w:spacing w:after="0"/>
              <w:rPr>
                <w:sz w:val="20"/>
                <w:szCs w:val="20"/>
                <w:color w:val="auto"/>
              </w:rPr>
            </w:pPr>
            <w:r>
              <w:rPr>
                <w:rFonts w:ascii="Times New Roman" w:cs="Times New Roman" w:eastAsia="Times New Roman" w:hAnsi="Times New Roman"/>
                <w:sz w:val="20"/>
                <w:szCs w:val="20"/>
                <w:color w:val="auto"/>
                <w:w w:val="99"/>
              </w:rPr>
              <w:t>SECTION 12.1</w:t>
            </w:r>
          </w:p>
        </w:tc>
        <w:tc>
          <w:tcPr>
            <w:tcW w:w="900" w:type="dxa"/>
            <w:vAlign w:val="bottom"/>
            <w:gridSpan w:val="9"/>
          </w:tcPr>
          <w:p>
            <w:pPr>
              <w:jc w:val="center"/>
              <w:spacing w:after="0"/>
              <w:rPr>
                <w:sz w:val="20"/>
                <w:szCs w:val="20"/>
                <w:color w:val="auto"/>
              </w:rPr>
            </w:pPr>
            <w:r>
              <w:rPr>
                <w:rFonts w:ascii="Times New Roman" w:cs="Times New Roman" w:eastAsia="Times New Roman" w:hAnsi="Times New Roman"/>
                <w:sz w:val="20"/>
                <w:szCs w:val="20"/>
                <w:color w:val="auto"/>
                <w:w w:val="94"/>
              </w:rPr>
              <w:t>Notices</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FF0000"/>
                <w:strike w:val="1"/>
                <w:w w:val="93"/>
              </w:rPr>
              <w:t>147</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0000FF"/>
                <w:w w:val="93"/>
              </w:rPr>
              <w:t>149</w:t>
            </w:r>
          </w:p>
        </w:tc>
        <w:tc>
          <w:tcPr>
            <w:tcW w:w="0" w:type="dxa"/>
            <w:vAlign w:val="bottom"/>
          </w:tcPr>
          <w:p>
            <w:pPr>
              <w:spacing w:after="0"/>
              <w:rPr>
                <w:sz w:val="1"/>
                <w:szCs w:val="1"/>
                <w:color w:val="auto"/>
              </w:rPr>
            </w:pPr>
          </w:p>
        </w:tc>
      </w:tr>
      <w:tr>
        <w:trPr>
          <w:trHeight w:val="314"/>
        </w:trPr>
        <w:tc>
          <w:tcPr>
            <w:tcW w:w="4840" w:type="dxa"/>
            <w:vAlign w:val="bottom"/>
            <w:gridSpan w:val="36"/>
            <w:vMerge w:val="continue"/>
          </w:tcPr>
          <w:p>
            <w:pPr>
              <w:spacing w:after="0"/>
              <w:rPr>
                <w:sz w:val="24"/>
                <w:szCs w:val="24"/>
                <w:color w:val="auto"/>
              </w:rPr>
            </w:pPr>
          </w:p>
        </w:tc>
        <w:tc>
          <w:tcPr>
            <w:tcW w:w="240" w:type="dxa"/>
            <w:vAlign w:val="bottom"/>
            <w:gridSpan w:val="2"/>
            <w:vMerge w:val="continue"/>
          </w:tcPr>
          <w:p>
            <w:pPr>
              <w:spacing w:after="0"/>
              <w:rPr>
                <w:sz w:val="24"/>
                <w:szCs w:val="24"/>
                <w:color w:val="auto"/>
              </w:rPr>
            </w:pPr>
          </w:p>
        </w:tc>
        <w:tc>
          <w:tcPr>
            <w:tcW w:w="300" w:type="dxa"/>
            <w:vAlign w:val="bottom"/>
            <w:gridSpan w:val="4"/>
            <w:vMerge w:val="continue"/>
          </w:tcPr>
          <w:p>
            <w:pPr>
              <w:spacing w:after="0"/>
              <w:rPr>
                <w:sz w:val="24"/>
                <w:szCs w:val="24"/>
                <w:color w:val="auto"/>
              </w:rPr>
            </w:pPr>
          </w:p>
        </w:tc>
        <w:tc>
          <w:tcPr>
            <w:tcW w:w="320" w:type="dxa"/>
            <w:vAlign w:val="bottom"/>
            <w:gridSpan w:val="6"/>
            <w:vMerge w:val="continue"/>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right w:val="single" w:sz="8" w:color="FF0000"/>
            </w:tcBorders>
            <w:shd w:val="clear" w:color="auto" w:fill="FF0000"/>
          </w:tcPr>
          <w:p>
            <w:pPr>
              <w:spacing w:after="0" w:line="20" w:lineRule="exact"/>
              <w:rPr>
                <w:sz w:val="1"/>
                <w:szCs w:val="1"/>
                <w:color w:val="auto"/>
              </w:rPr>
            </w:pPr>
          </w:p>
        </w:tc>
        <w:tc>
          <w:tcPr>
            <w:tcW w:w="180" w:type="dxa"/>
            <w:vAlign w:val="bottom"/>
            <w:tcBorders>
              <w:right w:val="single" w:sz="8" w:color="FF0000"/>
            </w:tcBorders>
            <w:shd w:val="clear" w:color="auto" w:fill="FF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3640" w:type="dxa"/>
            <w:vAlign w:val="bottom"/>
            <w:gridSpan w:val="25"/>
          </w:tcPr>
          <w:p>
            <w:pPr>
              <w:ind w:left="680"/>
              <w:spacing w:after="0"/>
              <w:rPr>
                <w:sz w:val="20"/>
                <w:szCs w:val="20"/>
                <w:color w:val="auto"/>
              </w:rPr>
            </w:pPr>
            <w:r>
              <w:rPr>
                <w:rFonts w:ascii="Times New Roman" w:cs="Times New Roman" w:eastAsia="Times New Roman" w:hAnsi="Times New Roman"/>
                <w:sz w:val="20"/>
                <w:szCs w:val="20"/>
                <w:color w:val="auto"/>
                <w:w w:val="98"/>
              </w:rPr>
              <w:t>SECTION 12.3 Expenses; Indemnity</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FF0000"/>
                <w:strike w:val="1"/>
                <w:w w:val="86"/>
              </w:rPr>
              <w:t>153</w:t>
            </w:r>
          </w:p>
        </w:tc>
        <w:tc>
          <w:tcPr>
            <w:tcW w:w="3140" w:type="dxa"/>
            <w:vAlign w:val="bottom"/>
            <w:gridSpan w:val="27"/>
          </w:tcPr>
          <w:p>
            <w:pPr>
              <w:jc w:val="right"/>
              <w:ind w:right="300"/>
              <w:spacing w:after="0"/>
              <w:rPr>
                <w:sz w:val="20"/>
                <w:szCs w:val="20"/>
                <w:color w:val="auto"/>
              </w:rPr>
            </w:pPr>
            <w:r>
              <w:rPr>
                <w:rFonts w:ascii="Times New Roman" w:cs="Times New Roman" w:eastAsia="Times New Roman" w:hAnsi="Times New Roman"/>
                <w:sz w:val="20"/>
                <w:szCs w:val="20"/>
                <w:color w:val="0000FF"/>
                <w:w w:val="99"/>
              </w:rPr>
              <w:t xml:space="preserve">154 </w:t>
            </w:r>
            <w:r>
              <w:rPr>
                <w:rFonts w:ascii="Times New Roman" w:cs="Times New Roman" w:eastAsia="Times New Roman" w:hAnsi="Times New Roman"/>
                <w:sz w:val="20"/>
                <w:szCs w:val="20"/>
                <w:color w:val="000000"/>
                <w:w w:val="99"/>
              </w:rPr>
              <w:t>SECTION 12.4 Right of Setoff</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FF0000"/>
                <w:strike w:val="1"/>
                <w:w w:val="93"/>
              </w:rPr>
              <w:t>154</w:t>
            </w:r>
          </w:p>
        </w:tc>
        <w:tc>
          <w:tcPr>
            <w:tcW w:w="2960" w:type="dxa"/>
            <w:vAlign w:val="bottom"/>
            <w:gridSpan w:val="26"/>
          </w:tcPr>
          <w:p>
            <w:pPr>
              <w:jc w:val="right"/>
              <w:spacing w:after="0"/>
              <w:rPr>
                <w:sz w:val="20"/>
                <w:szCs w:val="20"/>
                <w:color w:val="auto"/>
              </w:rPr>
            </w:pPr>
            <w:r>
              <w:rPr>
                <w:rFonts w:ascii="Times New Roman" w:cs="Times New Roman" w:eastAsia="Times New Roman" w:hAnsi="Times New Roman"/>
                <w:sz w:val="20"/>
                <w:szCs w:val="20"/>
                <w:color w:val="0000FF"/>
                <w:w w:val="99"/>
              </w:rPr>
              <w:t xml:space="preserve">156 </w:t>
            </w:r>
            <w:r>
              <w:rPr>
                <w:rFonts w:ascii="Times New Roman" w:cs="Times New Roman" w:eastAsia="Times New Roman" w:hAnsi="Times New Roman"/>
                <w:sz w:val="20"/>
                <w:szCs w:val="20"/>
                <w:color w:val="000000"/>
                <w:w w:val="99"/>
              </w:rPr>
              <w:t>SECTION 12.5 Governing Law;</w:t>
            </w:r>
          </w:p>
        </w:tc>
        <w:tc>
          <w:tcPr>
            <w:tcW w:w="0" w:type="dxa"/>
            <w:vAlign w:val="bottom"/>
          </w:tcPr>
          <w:p>
            <w:pPr>
              <w:spacing w:after="0"/>
              <w:rPr>
                <w:sz w:val="1"/>
                <w:szCs w:val="1"/>
                <w:color w:val="auto"/>
              </w:rPr>
            </w:pPr>
          </w:p>
        </w:tc>
      </w:tr>
      <w:tr>
        <w:trPr>
          <w:trHeight w:val="20"/>
        </w:trPr>
        <w:tc>
          <w:tcPr>
            <w:tcW w:w="1320" w:type="dxa"/>
            <w:vAlign w:val="bottom"/>
            <w:vMerge w:val="restart"/>
          </w:tcPr>
          <w:p>
            <w:pPr>
              <w:ind w:left="40"/>
              <w:spacing w:after="0" w:line="201" w:lineRule="exact"/>
              <w:rPr>
                <w:sz w:val="20"/>
                <w:szCs w:val="20"/>
                <w:color w:val="auto"/>
              </w:rPr>
            </w:pPr>
            <w:r>
              <w:rPr>
                <w:rFonts w:ascii="Times New Roman" w:cs="Times New Roman" w:eastAsia="Times New Roman" w:hAnsi="Times New Roman"/>
                <w:sz w:val="20"/>
                <w:szCs w:val="20"/>
                <w:color w:val="auto"/>
                <w:w w:val="96"/>
              </w:rPr>
              <w:t>Jurisdiction, Etc</w:t>
            </w:r>
          </w:p>
        </w:tc>
        <w:tc>
          <w:tcPr>
            <w:tcW w:w="6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FF0000"/>
          </w:tcPr>
          <w:p>
            <w:pPr>
              <w:spacing w:after="0" w:line="20" w:lineRule="exact"/>
              <w:rPr>
                <w:sz w:val="1"/>
                <w:szCs w:val="1"/>
                <w:color w:val="auto"/>
              </w:rPr>
            </w:pPr>
          </w:p>
        </w:tc>
        <w:tc>
          <w:tcPr>
            <w:tcW w:w="100" w:type="dxa"/>
            <w:vAlign w:val="bottom"/>
            <w:tcBorders>
              <w:left w:val="single" w:sz="8" w:color="FF0000"/>
            </w:tcBorders>
            <w:shd w:val="clear" w:color="auto" w:fill="FF0000"/>
          </w:tcPr>
          <w:p>
            <w:pPr>
              <w:spacing w:after="0" w:line="20" w:lineRule="exact"/>
              <w:rPr>
                <w:sz w:val="1"/>
                <w:szCs w:val="1"/>
                <w:color w:val="auto"/>
              </w:rPr>
            </w:pPr>
          </w:p>
        </w:tc>
        <w:tc>
          <w:tcPr>
            <w:tcW w:w="60" w:type="dxa"/>
            <w:vAlign w:val="bottom"/>
            <w:shd w:val="clear" w:color="auto" w:fill="FF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w w:val="73"/>
              </w:rPr>
              <w:t>of</w:t>
            </w:r>
          </w:p>
        </w:tc>
        <w:tc>
          <w:tcPr>
            <w:tcW w:w="1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00" w:type="dxa"/>
            <w:vAlign w:val="bottom"/>
            <w:gridSpan w:val="4"/>
            <w:vMerge w:val="restart"/>
          </w:tcPr>
          <w:p>
            <w:pPr>
              <w:jc w:val="right"/>
              <w:spacing w:after="0" w:line="201" w:lineRule="exact"/>
              <w:rPr>
                <w:sz w:val="20"/>
                <w:szCs w:val="20"/>
                <w:color w:val="auto"/>
              </w:rPr>
            </w:pPr>
            <w:r>
              <w:rPr>
                <w:rFonts w:ascii="Times New Roman" w:cs="Times New Roman" w:eastAsia="Times New Roman" w:hAnsi="Times New Roman"/>
                <w:sz w:val="20"/>
                <w:szCs w:val="20"/>
                <w:color w:val="FF0000"/>
                <w:strike w:val="1"/>
                <w:w w:val="93"/>
              </w:rPr>
              <w:t>156</w:t>
            </w:r>
          </w:p>
        </w:tc>
        <w:tc>
          <w:tcPr>
            <w:tcW w:w="1500" w:type="dxa"/>
            <w:vAlign w:val="bottom"/>
            <w:gridSpan w:val="9"/>
            <w:vMerge w:val="restart"/>
          </w:tcPr>
          <w:p>
            <w:pPr>
              <w:jc w:val="right"/>
              <w:spacing w:after="0" w:line="201" w:lineRule="exact"/>
              <w:rPr>
                <w:sz w:val="20"/>
                <w:szCs w:val="20"/>
                <w:color w:val="auto"/>
              </w:rPr>
            </w:pPr>
            <w:r>
              <w:rPr>
                <w:rFonts w:ascii="Times New Roman" w:cs="Times New Roman" w:eastAsia="Times New Roman" w:hAnsi="Times New Roman"/>
                <w:sz w:val="20"/>
                <w:szCs w:val="20"/>
                <w:color w:val="0000FF"/>
                <w:w w:val="92"/>
              </w:rPr>
              <w:t xml:space="preserve">157 </w:t>
            </w:r>
            <w:r>
              <w:rPr>
                <w:rFonts w:ascii="Times New Roman" w:cs="Times New Roman" w:eastAsia="Times New Roman" w:hAnsi="Times New Roman"/>
                <w:sz w:val="20"/>
                <w:szCs w:val="20"/>
                <w:color w:val="000000"/>
                <w:w w:val="92"/>
              </w:rPr>
              <w:t>SECTION 12.7</w:t>
            </w: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00" w:type="dxa"/>
            <w:vAlign w:val="bottom"/>
            <w:gridSpan w:val="2"/>
            <w:vMerge w:val="restart"/>
          </w:tcPr>
          <w:p>
            <w:pPr>
              <w:jc w:val="right"/>
              <w:spacing w:after="0" w:line="201" w:lineRule="exact"/>
              <w:rPr>
                <w:sz w:val="20"/>
                <w:szCs w:val="20"/>
                <w:color w:val="auto"/>
              </w:rPr>
            </w:pPr>
            <w:r>
              <w:rPr>
                <w:rFonts w:ascii="Times New Roman" w:cs="Times New Roman" w:eastAsia="Times New Roman" w:hAnsi="Times New Roman"/>
                <w:sz w:val="20"/>
                <w:szCs w:val="20"/>
                <w:color w:val="FF0000"/>
                <w:strike w:val="1"/>
                <w:w w:val="93"/>
              </w:rPr>
              <w:t>156</w:t>
            </w:r>
          </w:p>
        </w:tc>
        <w:tc>
          <w:tcPr>
            <w:tcW w:w="1180" w:type="dxa"/>
            <w:vAlign w:val="bottom"/>
            <w:gridSpan w:val="8"/>
            <w:vMerge w:val="restart"/>
          </w:tcPr>
          <w:p>
            <w:pPr>
              <w:jc w:val="right"/>
              <w:spacing w:after="0" w:line="201" w:lineRule="exact"/>
              <w:rPr>
                <w:sz w:val="20"/>
                <w:szCs w:val="20"/>
                <w:color w:val="auto"/>
              </w:rPr>
            </w:pPr>
            <w:r>
              <w:rPr>
                <w:rFonts w:ascii="Times New Roman" w:cs="Times New Roman" w:eastAsia="Times New Roman" w:hAnsi="Times New Roman"/>
                <w:sz w:val="20"/>
                <w:szCs w:val="20"/>
                <w:color w:val="0000FF"/>
                <w:w w:val="97"/>
              </w:rPr>
              <w:t xml:space="preserve">157 </w:t>
            </w:r>
            <w:r>
              <w:rPr>
                <w:rFonts w:ascii="Times New Roman" w:cs="Times New Roman" w:eastAsia="Times New Roman" w:hAnsi="Times New Roman"/>
                <w:sz w:val="20"/>
                <w:szCs w:val="20"/>
                <w:color w:val="000000"/>
                <w:w w:val="97"/>
              </w:rPr>
              <w:t>SECTION</w:t>
            </w:r>
          </w:p>
        </w:tc>
        <w:tc>
          <w:tcPr>
            <w:tcW w:w="0" w:type="dxa"/>
            <w:vAlign w:val="bottom"/>
          </w:tcPr>
          <w:p>
            <w:pPr>
              <w:spacing w:after="0" w:line="20" w:lineRule="exact"/>
              <w:rPr>
                <w:sz w:val="1"/>
                <w:szCs w:val="1"/>
                <w:color w:val="auto"/>
              </w:rPr>
            </w:pPr>
          </w:p>
        </w:tc>
      </w:tr>
      <w:tr>
        <w:trPr>
          <w:trHeight w:val="181"/>
        </w:trPr>
        <w:tc>
          <w:tcPr>
            <w:tcW w:w="132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gridSpan w:val="4"/>
          </w:tcPr>
          <w:p>
            <w:pPr>
              <w:jc w:val="right"/>
              <w:spacing w:after="0" w:line="181" w:lineRule="exact"/>
              <w:rPr>
                <w:sz w:val="20"/>
                <w:szCs w:val="20"/>
                <w:color w:val="auto"/>
              </w:rPr>
            </w:pPr>
            <w:r>
              <w:rPr>
                <w:rFonts w:ascii="Times New Roman" w:cs="Times New Roman" w:eastAsia="Times New Roman" w:hAnsi="Times New Roman"/>
                <w:sz w:val="20"/>
                <w:szCs w:val="20"/>
                <w:color w:val="FF0000"/>
                <w:strike w:val="1"/>
                <w:w w:val="93"/>
              </w:rPr>
              <w:t>155</w:t>
            </w:r>
          </w:p>
        </w:tc>
        <w:tc>
          <w:tcPr>
            <w:tcW w:w="2060" w:type="dxa"/>
            <w:vAlign w:val="bottom"/>
            <w:gridSpan w:val="21"/>
          </w:tcPr>
          <w:p>
            <w:pPr>
              <w:spacing w:after="0" w:line="181" w:lineRule="exact"/>
              <w:rPr>
                <w:sz w:val="20"/>
                <w:szCs w:val="20"/>
                <w:color w:val="auto"/>
              </w:rPr>
            </w:pPr>
            <w:r>
              <w:rPr>
                <w:rFonts w:ascii="Times New Roman" w:cs="Times New Roman" w:eastAsia="Times New Roman" w:hAnsi="Times New Roman"/>
                <w:sz w:val="20"/>
                <w:szCs w:val="20"/>
                <w:color w:val="0000FF"/>
                <w:w w:val="91"/>
              </w:rPr>
              <w:t xml:space="preserve">156 </w:t>
            </w:r>
            <w:r>
              <w:rPr>
                <w:rFonts w:ascii="Times New Roman" w:cs="Times New Roman" w:eastAsia="Times New Roman" w:hAnsi="Times New Roman"/>
                <w:sz w:val="20"/>
                <w:szCs w:val="20"/>
                <w:color w:val="000000"/>
                <w:w w:val="91"/>
              </w:rPr>
              <w:t>SECTION 12.6 Waiver</w:t>
            </w:r>
          </w:p>
        </w:tc>
        <w:tc>
          <w:tcPr>
            <w:tcW w:w="18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80" w:type="dxa"/>
            <w:vAlign w:val="bottom"/>
            <w:gridSpan w:val="8"/>
          </w:tcPr>
          <w:p>
            <w:pPr>
              <w:ind w:left="100"/>
              <w:spacing w:after="0" w:line="181" w:lineRule="exact"/>
              <w:rPr>
                <w:sz w:val="20"/>
                <w:szCs w:val="20"/>
                <w:color w:val="auto"/>
              </w:rPr>
            </w:pPr>
            <w:r>
              <w:rPr>
                <w:rFonts w:ascii="Times New Roman" w:cs="Times New Roman" w:eastAsia="Times New Roman" w:hAnsi="Times New Roman"/>
                <w:sz w:val="20"/>
                <w:szCs w:val="20"/>
                <w:color w:val="auto"/>
                <w:w w:val="94"/>
              </w:rPr>
              <w:t>Jury Trial</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vMerge w:val="continue"/>
          </w:tcPr>
          <w:p>
            <w:pPr>
              <w:spacing w:after="0"/>
              <w:rPr>
                <w:sz w:val="15"/>
                <w:szCs w:val="15"/>
                <w:color w:val="auto"/>
              </w:rPr>
            </w:pPr>
          </w:p>
        </w:tc>
        <w:tc>
          <w:tcPr>
            <w:tcW w:w="300" w:type="dxa"/>
            <w:vAlign w:val="bottom"/>
            <w:gridSpan w:val="4"/>
            <w:vMerge w:val="continue"/>
          </w:tcPr>
          <w:p>
            <w:pPr>
              <w:spacing w:after="0"/>
              <w:rPr>
                <w:sz w:val="15"/>
                <w:szCs w:val="15"/>
                <w:color w:val="auto"/>
              </w:rPr>
            </w:pPr>
          </w:p>
        </w:tc>
        <w:tc>
          <w:tcPr>
            <w:tcW w:w="1500" w:type="dxa"/>
            <w:vAlign w:val="bottom"/>
            <w:gridSpan w:val="9"/>
            <w:vMerge w:val="continue"/>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19"/>
          </w:tcPr>
          <w:p>
            <w:pPr>
              <w:jc w:val="right"/>
              <w:ind w:right="60"/>
              <w:spacing w:after="0" w:line="181" w:lineRule="exact"/>
              <w:rPr>
                <w:sz w:val="20"/>
                <w:szCs w:val="20"/>
                <w:color w:val="auto"/>
              </w:rPr>
            </w:pPr>
            <w:r>
              <w:rPr>
                <w:rFonts w:ascii="Times New Roman" w:cs="Times New Roman" w:eastAsia="Times New Roman" w:hAnsi="Times New Roman"/>
                <w:sz w:val="20"/>
                <w:szCs w:val="20"/>
                <w:color w:val="auto"/>
                <w:w w:val="97"/>
              </w:rPr>
              <w:t>Reversal of Payments</w:t>
            </w:r>
          </w:p>
        </w:tc>
        <w:tc>
          <w:tcPr>
            <w:tcW w:w="140" w:type="dxa"/>
            <w:vAlign w:val="bottom"/>
          </w:tcPr>
          <w:p>
            <w:pPr>
              <w:spacing w:after="0"/>
              <w:rPr>
                <w:sz w:val="15"/>
                <w:szCs w:val="15"/>
                <w:color w:val="auto"/>
              </w:rPr>
            </w:pPr>
          </w:p>
        </w:tc>
        <w:tc>
          <w:tcPr>
            <w:tcW w:w="60" w:type="dxa"/>
            <w:vAlign w:val="bottom"/>
            <w:vMerge w:val="continue"/>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1180" w:type="dxa"/>
            <w:vAlign w:val="bottom"/>
            <w:gridSpan w:val="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20" w:type="dxa"/>
            <w:vAlign w:val="bottom"/>
            <w:vMerge w:val="restart"/>
          </w:tcPr>
          <w:p>
            <w:pPr>
              <w:ind w:left="40"/>
              <w:spacing w:after="0" w:line="187" w:lineRule="exact"/>
              <w:rPr>
                <w:sz w:val="20"/>
                <w:szCs w:val="20"/>
                <w:color w:val="auto"/>
              </w:rPr>
            </w:pPr>
            <w:r>
              <w:rPr>
                <w:rFonts w:ascii="Times New Roman" w:cs="Times New Roman" w:eastAsia="Times New Roman" w:hAnsi="Times New Roman"/>
                <w:sz w:val="20"/>
                <w:szCs w:val="20"/>
                <w:color w:val="auto"/>
              </w:rPr>
              <w:t>12.8 Injunctive</w:t>
            </w:r>
          </w:p>
        </w:tc>
        <w:tc>
          <w:tcPr>
            <w:tcW w:w="240" w:type="dxa"/>
            <w:vAlign w:val="bottom"/>
            <w:gridSpan w:val="2"/>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Borders>
              <w:right w:val="single" w:sz="8" w:color="FF0000"/>
            </w:tcBorders>
          </w:tcPr>
          <w:p>
            <w:pPr>
              <w:spacing w:after="0" w:line="20" w:lineRule="exact"/>
              <w:rPr>
                <w:sz w:val="1"/>
                <w:szCs w:val="1"/>
                <w:color w:val="auto"/>
              </w:rPr>
            </w:pPr>
          </w:p>
        </w:tc>
        <w:tc>
          <w:tcPr>
            <w:tcW w:w="160" w:type="dxa"/>
            <w:vAlign w:val="bottom"/>
            <w:gridSpan w:val="3"/>
            <w:shd w:val="clear" w:color="auto" w:fill="FF0000"/>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right w:val="single" w:sz="8" w:color="0000FF"/>
            </w:tcBorders>
            <w:gridSpan w:val="4"/>
            <w:shd w:val="clear" w:color="auto" w:fill="0000FF"/>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20" w:type="dxa"/>
            <w:vAlign w:val="bottom"/>
            <w:gridSpan w:val="4"/>
            <w:vMerge w:val="restart"/>
          </w:tcPr>
          <w:p>
            <w:pPr>
              <w:jc w:val="right"/>
              <w:ind w:right="20"/>
              <w:spacing w:after="0" w:line="187" w:lineRule="exact"/>
              <w:rPr>
                <w:sz w:val="20"/>
                <w:szCs w:val="20"/>
                <w:color w:val="auto"/>
              </w:rPr>
            </w:pPr>
            <w:r>
              <w:rPr>
                <w:rFonts w:ascii="Times New Roman" w:cs="Times New Roman" w:eastAsia="Times New Roman" w:hAnsi="Times New Roman"/>
                <w:sz w:val="20"/>
                <w:szCs w:val="20"/>
                <w:color w:val="FF0000"/>
                <w:strike w:val="1"/>
                <w:w w:val="93"/>
              </w:rPr>
              <w:t>156</w:t>
            </w:r>
          </w:p>
        </w:tc>
        <w:tc>
          <w:tcPr>
            <w:tcW w:w="1060" w:type="dxa"/>
            <w:vAlign w:val="bottom"/>
            <w:gridSpan w:val="11"/>
            <w:vMerge w:val="restart"/>
          </w:tcPr>
          <w:p>
            <w:pPr>
              <w:jc w:val="right"/>
              <w:spacing w:after="0" w:line="187" w:lineRule="exact"/>
              <w:rPr>
                <w:sz w:val="20"/>
                <w:szCs w:val="20"/>
                <w:color w:val="auto"/>
              </w:rPr>
            </w:pPr>
            <w:r>
              <w:rPr>
                <w:rFonts w:ascii="Times New Roman" w:cs="Times New Roman" w:eastAsia="Times New Roman" w:hAnsi="Times New Roman"/>
                <w:sz w:val="20"/>
                <w:szCs w:val="20"/>
                <w:color w:val="0000FF"/>
                <w:w w:val="87"/>
              </w:rPr>
              <w:t xml:space="preserve">158 </w:t>
            </w:r>
            <w:r>
              <w:rPr>
                <w:rFonts w:ascii="Times New Roman" w:cs="Times New Roman" w:eastAsia="Times New Roman" w:hAnsi="Times New Roman"/>
                <w:sz w:val="20"/>
                <w:szCs w:val="20"/>
                <w:color w:val="000000"/>
                <w:w w:val="87"/>
              </w:rPr>
              <w:t>SECTION</w:t>
            </w:r>
          </w:p>
        </w:tc>
        <w:tc>
          <w:tcPr>
            <w:tcW w:w="260" w:type="dxa"/>
            <w:vAlign w:val="bottom"/>
            <w:gridSpan w:val="3"/>
            <w:shd w:val="clear" w:color="auto" w:fill="FF0000"/>
          </w:tcPr>
          <w:p>
            <w:pPr>
              <w:spacing w:after="0" w:line="20" w:lineRule="exact"/>
              <w:rPr>
                <w:sz w:val="1"/>
                <w:szCs w:val="1"/>
                <w:color w:val="auto"/>
              </w:rPr>
            </w:pPr>
          </w:p>
        </w:tc>
        <w:tc>
          <w:tcPr>
            <w:tcW w:w="300" w:type="dxa"/>
            <w:vAlign w:val="bottom"/>
            <w:gridSpan w:val="2"/>
            <w:vMerge w:val="restart"/>
          </w:tcPr>
          <w:p>
            <w:pPr>
              <w:jc w:val="right"/>
              <w:spacing w:after="0" w:line="187" w:lineRule="exact"/>
              <w:rPr>
                <w:sz w:val="20"/>
                <w:szCs w:val="20"/>
                <w:color w:val="auto"/>
              </w:rPr>
            </w:pPr>
            <w:r>
              <w:rPr>
                <w:rFonts w:ascii="Times New Roman" w:cs="Times New Roman" w:eastAsia="Times New Roman" w:hAnsi="Times New Roman"/>
                <w:sz w:val="17"/>
                <w:szCs w:val="17"/>
                <w:color w:val="auto"/>
                <w:w w:val="73"/>
              </w:rPr>
              <w:t>12.10</w:t>
            </w:r>
          </w:p>
        </w:tc>
        <w:tc>
          <w:tcPr>
            <w:tcW w:w="280" w:type="dxa"/>
            <w:vAlign w:val="bottom"/>
            <w:gridSpan w:val="4"/>
            <w:shd w:val="clear" w:color="auto" w:fill="0000FF"/>
          </w:tcPr>
          <w:p>
            <w:pPr>
              <w:spacing w:after="0" w:line="20" w:lineRule="exact"/>
              <w:rPr>
                <w:sz w:val="1"/>
                <w:szCs w:val="1"/>
                <w:color w:val="auto"/>
              </w:rPr>
            </w:pPr>
          </w:p>
        </w:tc>
        <w:tc>
          <w:tcPr>
            <w:tcW w:w="900" w:type="dxa"/>
            <w:vAlign w:val="bottom"/>
            <w:gridSpan w:val="4"/>
            <w:vMerge w:val="restart"/>
          </w:tcPr>
          <w:p>
            <w:pPr>
              <w:jc w:val="right"/>
              <w:spacing w:after="0" w:line="187" w:lineRule="exact"/>
              <w:rPr>
                <w:sz w:val="20"/>
                <w:szCs w:val="20"/>
                <w:color w:val="auto"/>
              </w:rPr>
            </w:pPr>
            <w:r>
              <w:rPr>
                <w:rFonts w:ascii="Times New Roman" w:cs="Times New Roman" w:eastAsia="Times New Roman" w:hAnsi="Times New Roman"/>
                <w:sz w:val="20"/>
                <w:szCs w:val="20"/>
                <w:color w:val="auto"/>
                <w:w w:val="84"/>
              </w:rPr>
              <w:t>Treatment of</w:t>
            </w:r>
          </w:p>
        </w:tc>
        <w:tc>
          <w:tcPr>
            <w:tcW w:w="0" w:type="dxa"/>
            <w:vAlign w:val="bottom"/>
          </w:tcPr>
          <w:p>
            <w:pPr>
              <w:spacing w:after="0" w:line="20" w:lineRule="exact"/>
              <w:rPr>
                <w:sz w:val="1"/>
                <w:szCs w:val="1"/>
                <w:color w:val="auto"/>
              </w:rPr>
            </w:pPr>
          </w:p>
        </w:tc>
      </w:tr>
      <w:tr>
        <w:trPr>
          <w:trHeight w:val="167"/>
        </w:trPr>
        <w:tc>
          <w:tcPr>
            <w:tcW w:w="1320" w:type="dxa"/>
            <w:vAlign w:val="bottom"/>
            <w:vMerge w:val="continue"/>
          </w:tcPr>
          <w:p>
            <w:pPr>
              <w:spacing w:after="0"/>
              <w:rPr>
                <w:sz w:val="14"/>
                <w:szCs w:val="14"/>
                <w:color w:val="auto"/>
              </w:rPr>
            </w:pPr>
          </w:p>
        </w:tc>
        <w:tc>
          <w:tcPr>
            <w:tcW w:w="660" w:type="dxa"/>
            <w:vAlign w:val="bottom"/>
            <w:gridSpan w:val="7"/>
          </w:tcPr>
          <w:p>
            <w:pPr>
              <w:spacing w:after="0" w:line="167" w:lineRule="exact"/>
              <w:rPr>
                <w:sz w:val="20"/>
                <w:szCs w:val="20"/>
                <w:color w:val="auto"/>
              </w:rPr>
            </w:pPr>
            <w:r>
              <w:rPr>
                <w:rFonts w:ascii="Times New Roman" w:cs="Times New Roman" w:eastAsia="Times New Roman" w:hAnsi="Times New Roman"/>
                <w:sz w:val="19"/>
                <w:szCs w:val="19"/>
                <w:color w:val="auto"/>
              </w:rPr>
              <w:t>Relief</w:t>
            </w:r>
          </w:p>
        </w:tc>
        <w:tc>
          <w:tcPr>
            <w:tcW w:w="80" w:type="dxa"/>
            <w:vAlign w:val="bottom"/>
          </w:tcPr>
          <w:p>
            <w:pPr>
              <w:spacing w:after="0"/>
              <w:rPr>
                <w:sz w:val="14"/>
                <w:szCs w:val="14"/>
                <w:color w:val="auto"/>
              </w:rPr>
            </w:pPr>
          </w:p>
        </w:tc>
        <w:tc>
          <w:tcPr>
            <w:tcW w:w="320" w:type="dxa"/>
            <w:vAlign w:val="bottom"/>
            <w:gridSpan w:val="3"/>
          </w:tcPr>
          <w:p>
            <w:pPr>
              <w:jc w:val="right"/>
              <w:spacing w:after="0" w:line="167" w:lineRule="exact"/>
              <w:rPr>
                <w:sz w:val="20"/>
                <w:szCs w:val="20"/>
                <w:color w:val="auto"/>
              </w:rPr>
            </w:pPr>
            <w:r>
              <w:rPr>
                <w:rFonts w:ascii="Times New Roman" w:cs="Times New Roman" w:eastAsia="Times New Roman" w:hAnsi="Times New Roman"/>
                <w:sz w:val="19"/>
                <w:szCs w:val="19"/>
                <w:color w:val="FF0000"/>
                <w:strike w:val="1"/>
                <w:w w:val="98"/>
              </w:rPr>
              <w:t>156</w:t>
            </w:r>
          </w:p>
        </w:tc>
        <w:tc>
          <w:tcPr>
            <w:tcW w:w="4960" w:type="dxa"/>
            <w:vAlign w:val="bottom"/>
            <w:gridSpan w:val="45"/>
          </w:tcPr>
          <w:p>
            <w:pPr>
              <w:jc w:val="center"/>
              <w:ind w:right="200"/>
              <w:spacing w:after="0" w:line="167" w:lineRule="exact"/>
              <w:rPr>
                <w:sz w:val="20"/>
                <w:szCs w:val="20"/>
                <w:color w:val="auto"/>
              </w:rPr>
            </w:pPr>
            <w:r>
              <w:rPr>
                <w:rFonts w:ascii="Times New Roman" w:cs="Times New Roman" w:eastAsia="Times New Roman" w:hAnsi="Times New Roman"/>
                <w:sz w:val="19"/>
                <w:szCs w:val="19"/>
                <w:color w:val="0000FF"/>
              </w:rPr>
              <w:t xml:space="preserve">158 </w:t>
            </w:r>
            <w:r>
              <w:rPr>
                <w:rFonts w:ascii="Times New Roman" w:cs="Times New Roman" w:eastAsia="Times New Roman" w:hAnsi="Times New Roman"/>
                <w:sz w:val="19"/>
                <w:szCs w:val="19"/>
                <w:color w:val="000000"/>
              </w:rPr>
              <w:t>SECTION 12.9 Successors and Assigns; Participations</w:t>
            </w:r>
          </w:p>
        </w:tc>
        <w:tc>
          <w:tcPr>
            <w:tcW w:w="140" w:type="dxa"/>
            <w:vAlign w:val="bottom"/>
            <w:vMerge w:val="continue"/>
          </w:tcPr>
          <w:p>
            <w:pPr>
              <w:spacing w:after="0"/>
              <w:rPr>
                <w:sz w:val="14"/>
                <w:szCs w:val="14"/>
                <w:color w:val="auto"/>
              </w:rPr>
            </w:pPr>
          </w:p>
        </w:tc>
        <w:tc>
          <w:tcPr>
            <w:tcW w:w="320" w:type="dxa"/>
            <w:vAlign w:val="bottom"/>
            <w:gridSpan w:val="4"/>
            <w:vMerge w:val="continue"/>
          </w:tcPr>
          <w:p>
            <w:pPr>
              <w:spacing w:after="0"/>
              <w:rPr>
                <w:sz w:val="14"/>
                <w:szCs w:val="14"/>
                <w:color w:val="auto"/>
              </w:rPr>
            </w:pPr>
          </w:p>
        </w:tc>
        <w:tc>
          <w:tcPr>
            <w:tcW w:w="1060" w:type="dxa"/>
            <w:vAlign w:val="bottom"/>
            <w:gridSpan w:val="11"/>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780" w:type="dxa"/>
            <w:vAlign w:val="bottom"/>
            <w:gridSpan w:val="6"/>
            <w:vMerge w:val="restart"/>
          </w:tcPr>
          <w:p>
            <w:pPr>
              <w:ind w:left="40"/>
              <w:spacing w:after="0" w:line="201" w:lineRule="exact"/>
              <w:rPr>
                <w:sz w:val="20"/>
                <w:szCs w:val="20"/>
                <w:color w:val="auto"/>
              </w:rPr>
            </w:pPr>
            <w:r>
              <w:rPr>
                <w:rFonts w:ascii="Times New Roman" w:cs="Times New Roman" w:eastAsia="Times New Roman" w:hAnsi="Times New Roman"/>
                <w:sz w:val="20"/>
                <w:szCs w:val="20"/>
                <w:color w:val="auto"/>
              </w:rPr>
              <w:t>Certain Information;</w:t>
            </w:r>
          </w:p>
        </w:tc>
        <w:tc>
          <w:tcPr>
            <w:tcW w:w="200" w:type="dxa"/>
            <w:vAlign w:val="bottom"/>
            <w:gridSpan w:val="2"/>
            <w:shd w:val="clear" w:color="auto" w:fill="FF0000"/>
          </w:tcPr>
          <w:p>
            <w:pPr>
              <w:spacing w:after="0"/>
              <w:rPr>
                <w:sz w:val="2"/>
                <w:szCs w:val="2"/>
                <w:color w:val="auto"/>
              </w:rPr>
            </w:pPr>
          </w:p>
        </w:tc>
        <w:tc>
          <w:tcPr>
            <w:tcW w:w="80" w:type="dxa"/>
            <w:vAlign w:val="bottom"/>
            <w:tcBorders>
              <w:left w:val="single" w:sz="8" w:color="FF0000"/>
            </w:tcBorders>
            <w:shd w:val="clear" w:color="auto" w:fill="FF0000"/>
          </w:tcPr>
          <w:p>
            <w:pPr>
              <w:spacing w:after="0"/>
              <w:rPr>
                <w:sz w:val="2"/>
                <w:szCs w:val="2"/>
                <w:color w:val="auto"/>
              </w:rPr>
            </w:pPr>
          </w:p>
        </w:tc>
        <w:tc>
          <w:tcPr>
            <w:tcW w:w="220" w:type="dxa"/>
            <w:vAlign w:val="bottom"/>
            <w:gridSpan w:val="2"/>
          </w:tcPr>
          <w:p>
            <w:pPr>
              <w:spacing w:after="0"/>
              <w:rPr>
                <w:sz w:val="2"/>
                <w:szCs w:val="2"/>
                <w:color w:val="auto"/>
              </w:rPr>
            </w:pPr>
          </w:p>
        </w:tc>
        <w:tc>
          <w:tcPr>
            <w:tcW w:w="100" w:type="dxa"/>
            <w:vAlign w:val="bottom"/>
            <w:tcBorders>
              <w:right w:val="single" w:sz="8" w:color="0000FF"/>
            </w:tcBorders>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300" w:type="dxa"/>
            <w:vAlign w:val="bottom"/>
            <w:gridSpan w:val="3"/>
          </w:tcPr>
          <w:p>
            <w:pPr>
              <w:spacing w:after="0"/>
              <w:rPr>
                <w:sz w:val="2"/>
                <w:szCs w:val="2"/>
                <w:color w:val="auto"/>
              </w:rPr>
            </w:pPr>
          </w:p>
        </w:tc>
        <w:tc>
          <w:tcPr>
            <w:tcW w:w="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gridSpan w:val="3"/>
            <w:vMerge w:val="restart"/>
          </w:tcPr>
          <w:p>
            <w:pPr>
              <w:jc w:val="right"/>
              <w:spacing w:after="0" w:line="201" w:lineRule="exact"/>
              <w:rPr>
                <w:sz w:val="20"/>
                <w:szCs w:val="20"/>
                <w:color w:val="auto"/>
              </w:rPr>
            </w:pPr>
            <w:r>
              <w:rPr>
                <w:rFonts w:ascii="Times New Roman" w:cs="Times New Roman" w:eastAsia="Times New Roman" w:hAnsi="Times New Roman"/>
                <w:sz w:val="20"/>
                <w:szCs w:val="20"/>
                <w:color w:val="FF0000"/>
                <w:strike w:val="1"/>
                <w:w w:val="93"/>
              </w:rPr>
              <w:t>160</w:t>
            </w:r>
          </w:p>
        </w:tc>
        <w:tc>
          <w:tcPr>
            <w:tcW w:w="3520" w:type="dxa"/>
            <w:vAlign w:val="bottom"/>
            <w:gridSpan w:val="31"/>
            <w:vMerge w:val="restart"/>
          </w:tcPr>
          <w:p>
            <w:pPr>
              <w:jc w:val="center"/>
              <w:spacing w:after="0" w:line="201" w:lineRule="exact"/>
              <w:rPr>
                <w:sz w:val="20"/>
                <w:szCs w:val="20"/>
                <w:color w:val="auto"/>
              </w:rPr>
            </w:pPr>
            <w:r>
              <w:rPr>
                <w:rFonts w:ascii="Times New Roman" w:cs="Times New Roman" w:eastAsia="Times New Roman" w:hAnsi="Times New Roman"/>
                <w:sz w:val="20"/>
                <w:szCs w:val="20"/>
                <w:color w:val="0000FF"/>
                <w:w w:val="99"/>
              </w:rPr>
              <w:t xml:space="preserve">162 </w:t>
            </w:r>
            <w:r>
              <w:rPr>
                <w:rFonts w:ascii="Times New Roman" w:cs="Times New Roman" w:eastAsia="Times New Roman" w:hAnsi="Times New Roman"/>
                <w:sz w:val="20"/>
                <w:szCs w:val="20"/>
                <w:color w:val="000000"/>
                <w:w w:val="99"/>
              </w:rPr>
              <w:t>SECTION 12.11 Performance of Duties</w:t>
            </w:r>
          </w:p>
        </w:tc>
        <w:tc>
          <w:tcPr>
            <w:tcW w:w="40" w:type="dxa"/>
            <w:vAlign w:val="bottom"/>
            <w:shd w:val="clear" w:color="auto" w:fill="FF0000"/>
          </w:tcPr>
          <w:p>
            <w:pPr>
              <w:spacing w:after="0"/>
              <w:rPr>
                <w:sz w:val="2"/>
                <w:szCs w:val="2"/>
                <w:color w:val="auto"/>
              </w:rPr>
            </w:pPr>
          </w:p>
        </w:tc>
        <w:tc>
          <w:tcPr>
            <w:tcW w:w="160" w:type="dxa"/>
            <w:vAlign w:val="bottom"/>
            <w:shd w:val="clear" w:color="auto" w:fill="FF0000"/>
          </w:tcPr>
          <w:p>
            <w:pPr>
              <w:spacing w:after="0"/>
              <w:rPr>
                <w:sz w:val="2"/>
                <w:szCs w:val="2"/>
                <w:color w:val="auto"/>
              </w:rPr>
            </w:pPr>
          </w:p>
        </w:tc>
        <w:tc>
          <w:tcPr>
            <w:tcW w:w="140" w:type="dxa"/>
            <w:vAlign w:val="bottom"/>
            <w:shd w:val="clear" w:color="auto" w:fill="FF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right w:val="single" w:sz="8" w:color="0000FF"/>
            </w:tcBorders>
            <w:gridSpan w:val="3"/>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2020" w:type="dxa"/>
            <w:vAlign w:val="bottom"/>
            <w:gridSpan w:val="17"/>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1780" w:type="dxa"/>
            <w:vAlign w:val="bottom"/>
            <w:gridSpan w:val="6"/>
            <w:vMerge w:val="continue"/>
          </w:tcPr>
          <w:p>
            <w:pPr>
              <w:spacing w:after="0"/>
              <w:rPr>
                <w:sz w:val="15"/>
                <w:szCs w:val="15"/>
                <w:color w:val="auto"/>
              </w:rPr>
            </w:pPr>
          </w:p>
        </w:tc>
        <w:tc>
          <w:tcPr>
            <w:tcW w:w="1180" w:type="dxa"/>
            <w:vAlign w:val="bottom"/>
            <w:gridSpan w:val="11"/>
          </w:tcPr>
          <w:p>
            <w:pPr>
              <w:spacing w:after="0" w:line="174" w:lineRule="exact"/>
              <w:rPr>
                <w:sz w:val="20"/>
                <w:szCs w:val="20"/>
                <w:color w:val="auto"/>
              </w:rPr>
            </w:pPr>
            <w:r>
              <w:rPr>
                <w:rFonts w:ascii="Times New Roman" w:cs="Times New Roman" w:eastAsia="Times New Roman" w:hAnsi="Times New Roman"/>
                <w:sz w:val="20"/>
                <w:szCs w:val="20"/>
                <w:color w:val="auto"/>
                <w:w w:val="95"/>
              </w:rPr>
              <w:t>Confidentiality</w:t>
            </w:r>
          </w:p>
        </w:tc>
        <w:tc>
          <w:tcPr>
            <w:tcW w:w="6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gridSpan w:val="3"/>
            <w:vMerge w:val="continue"/>
          </w:tcPr>
          <w:p>
            <w:pPr>
              <w:spacing w:after="0"/>
              <w:rPr>
                <w:sz w:val="15"/>
                <w:szCs w:val="15"/>
                <w:color w:val="auto"/>
              </w:rPr>
            </w:pPr>
          </w:p>
        </w:tc>
        <w:tc>
          <w:tcPr>
            <w:tcW w:w="3520" w:type="dxa"/>
            <w:vAlign w:val="bottom"/>
            <w:gridSpan w:val="31"/>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gridSpan w:val="4"/>
          </w:tcPr>
          <w:p>
            <w:pPr>
              <w:jc w:val="right"/>
              <w:spacing w:after="0" w:line="174" w:lineRule="exact"/>
              <w:rPr>
                <w:sz w:val="20"/>
                <w:szCs w:val="20"/>
                <w:color w:val="auto"/>
              </w:rPr>
            </w:pPr>
            <w:r>
              <w:rPr>
                <w:rFonts w:ascii="Times New Roman" w:cs="Times New Roman" w:eastAsia="Times New Roman" w:hAnsi="Times New Roman"/>
                <w:sz w:val="20"/>
                <w:szCs w:val="20"/>
                <w:color w:val="FF0000"/>
                <w:strike w:val="1"/>
                <w:w w:val="93"/>
              </w:rPr>
              <w:t>161</w:t>
            </w:r>
          </w:p>
        </w:tc>
        <w:tc>
          <w:tcPr>
            <w:tcW w:w="2660" w:type="dxa"/>
            <w:vAlign w:val="bottom"/>
            <w:gridSpan w:val="23"/>
          </w:tcPr>
          <w:p>
            <w:pPr>
              <w:jc w:val="right"/>
              <w:spacing w:after="0" w:line="174" w:lineRule="exact"/>
              <w:rPr>
                <w:sz w:val="20"/>
                <w:szCs w:val="20"/>
                <w:color w:val="auto"/>
              </w:rPr>
            </w:pPr>
            <w:r>
              <w:rPr>
                <w:rFonts w:ascii="Times New Roman" w:cs="Times New Roman" w:eastAsia="Times New Roman" w:hAnsi="Times New Roman"/>
                <w:sz w:val="20"/>
                <w:szCs w:val="20"/>
                <w:color w:val="0000FF"/>
              </w:rPr>
              <w:t xml:space="preserve">163 </w:t>
            </w:r>
            <w:r>
              <w:rPr>
                <w:rFonts w:ascii="Times New Roman" w:cs="Times New Roman" w:eastAsia="Times New Roman" w:hAnsi="Times New Roman"/>
                <w:sz w:val="20"/>
                <w:szCs w:val="20"/>
                <w:color w:val="000000"/>
              </w:rPr>
              <w:t>SECTION 12.12 All Powers</w:t>
            </w:r>
          </w:p>
        </w:tc>
        <w:tc>
          <w:tcPr>
            <w:tcW w:w="0" w:type="dxa"/>
            <w:vAlign w:val="bottom"/>
          </w:tcPr>
          <w:p>
            <w:pPr>
              <w:spacing w:after="0"/>
              <w:rPr>
                <w:sz w:val="1"/>
                <w:szCs w:val="1"/>
                <w:color w:val="auto"/>
              </w:rPr>
            </w:pPr>
          </w:p>
        </w:tc>
      </w:tr>
      <w:tr>
        <w:trPr>
          <w:trHeight w:val="20"/>
        </w:trPr>
        <w:tc>
          <w:tcPr>
            <w:tcW w:w="1980" w:type="dxa"/>
            <w:vAlign w:val="bottom"/>
            <w:gridSpan w:val="8"/>
            <w:vMerge w:val="restart"/>
          </w:tcPr>
          <w:p>
            <w:pPr>
              <w:ind w:left="40"/>
              <w:spacing w:after="0" w:line="201" w:lineRule="exact"/>
              <w:rPr>
                <w:sz w:val="20"/>
                <w:szCs w:val="20"/>
                <w:color w:val="auto"/>
              </w:rPr>
            </w:pPr>
            <w:r>
              <w:rPr>
                <w:rFonts w:ascii="Times New Roman" w:cs="Times New Roman" w:eastAsia="Times New Roman" w:hAnsi="Times New Roman"/>
                <w:sz w:val="20"/>
                <w:szCs w:val="20"/>
                <w:color w:val="auto"/>
              </w:rPr>
              <w:t>Coupled with Interest</w:t>
            </w:r>
          </w:p>
        </w:tc>
        <w:tc>
          <w:tcPr>
            <w:tcW w:w="3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00" w:type="dxa"/>
            <w:vAlign w:val="bottom"/>
            <w:tcBorders>
              <w:right w:val="single" w:sz="8" w:color="auto"/>
            </w:tcBorders>
            <w:gridSpan w:val="4"/>
            <w:shd w:val="clear" w:color="auto" w:fill="000000"/>
          </w:tcPr>
          <w:p>
            <w:pPr>
              <w:spacing w:after="0" w:line="20" w:lineRule="exact"/>
              <w:rPr>
                <w:sz w:val="1"/>
                <w:szCs w:val="1"/>
                <w:color w:val="auto"/>
              </w:rPr>
            </w:pPr>
          </w:p>
        </w:tc>
        <w:tc>
          <w:tcPr>
            <w:tcW w:w="360" w:type="dxa"/>
            <w:vAlign w:val="bottom"/>
            <w:tcBorders>
              <w:right w:val="single" w:sz="8" w:color="0000FF"/>
            </w:tcBorders>
            <w:gridSpan w:val="3"/>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40" w:type="dxa"/>
            <w:vAlign w:val="bottom"/>
            <w:gridSpan w:val="10"/>
            <w:vMerge w:val="restart"/>
          </w:tcPr>
          <w:p>
            <w:pPr>
              <w:ind w:left="140"/>
              <w:spacing w:after="0" w:line="201" w:lineRule="exact"/>
              <w:rPr>
                <w:sz w:val="20"/>
                <w:szCs w:val="20"/>
                <w:color w:val="auto"/>
              </w:rPr>
            </w:pPr>
            <w:r>
              <w:rPr>
                <w:rFonts w:ascii="Times New Roman" w:cs="Times New Roman" w:eastAsia="Times New Roman" w:hAnsi="Times New Roman"/>
                <w:sz w:val="20"/>
                <w:szCs w:val="20"/>
                <w:color w:val="auto"/>
              </w:rPr>
              <w:t>Survival</w:t>
            </w:r>
          </w:p>
        </w:tc>
        <w:tc>
          <w:tcPr>
            <w:tcW w:w="300" w:type="dxa"/>
            <w:vAlign w:val="bottom"/>
            <w:gridSpan w:val="3"/>
            <w:vMerge w:val="restart"/>
          </w:tcPr>
          <w:p>
            <w:pPr>
              <w:spacing w:after="0" w:line="201" w:lineRule="exact"/>
              <w:rPr>
                <w:sz w:val="20"/>
                <w:szCs w:val="20"/>
                <w:color w:val="auto"/>
              </w:rPr>
            </w:pPr>
            <w:r>
              <w:rPr>
                <w:rFonts w:ascii="Times New Roman" w:cs="Times New Roman" w:eastAsia="Times New Roman" w:hAnsi="Times New Roman"/>
                <w:sz w:val="20"/>
                <w:szCs w:val="20"/>
                <w:color w:val="FF0000"/>
                <w:strike w:val="1"/>
                <w:w w:val="93"/>
              </w:rPr>
              <w:t>161</w:t>
            </w:r>
          </w:p>
        </w:tc>
        <w:tc>
          <w:tcPr>
            <w:tcW w:w="280" w:type="dxa"/>
            <w:vAlign w:val="bottom"/>
            <w:gridSpan w:val="4"/>
            <w:vMerge w:val="restart"/>
          </w:tcPr>
          <w:p>
            <w:pPr>
              <w:jc w:val="center"/>
              <w:spacing w:after="0" w:line="201" w:lineRule="exact"/>
              <w:rPr>
                <w:sz w:val="20"/>
                <w:szCs w:val="20"/>
                <w:color w:val="auto"/>
              </w:rPr>
            </w:pPr>
            <w:r>
              <w:rPr>
                <w:rFonts w:ascii="Times New Roman" w:cs="Times New Roman" w:eastAsia="Times New Roman" w:hAnsi="Times New Roman"/>
                <w:sz w:val="20"/>
                <w:szCs w:val="20"/>
                <w:color w:val="0000FF"/>
                <w:w w:val="93"/>
              </w:rPr>
              <w:t>163</w:t>
            </w:r>
          </w:p>
        </w:tc>
        <w:tc>
          <w:tcPr>
            <w:tcW w:w="1700" w:type="dxa"/>
            <w:vAlign w:val="bottom"/>
            <w:gridSpan w:val="12"/>
            <w:vMerge w:val="restart"/>
          </w:tcPr>
          <w:p>
            <w:pPr>
              <w:spacing w:after="0" w:line="20" w:lineRule="exact"/>
              <w:rPr>
                <w:sz w:val="1"/>
                <w:szCs w:val="1"/>
                <w:color w:val="auto"/>
              </w:rPr>
            </w:pPr>
          </w:p>
        </w:tc>
        <w:tc>
          <w:tcPr>
            <w:tcW w:w="160" w:type="dxa"/>
            <w:vAlign w:val="bottom"/>
            <w:shd w:val="clear" w:color="auto" w:fill="FF0000"/>
          </w:tcPr>
          <w:p>
            <w:pPr>
              <w:spacing w:after="0" w:line="20" w:lineRule="exact"/>
              <w:rPr>
                <w:sz w:val="1"/>
                <w:szCs w:val="1"/>
                <w:color w:val="auto"/>
              </w:rPr>
            </w:pPr>
          </w:p>
        </w:tc>
        <w:tc>
          <w:tcPr>
            <w:tcW w:w="140" w:type="dxa"/>
            <w:vAlign w:val="bottom"/>
            <w:shd w:val="clear" w:color="auto" w:fill="FF0000"/>
          </w:tcPr>
          <w:p>
            <w:pPr>
              <w:spacing w:after="0" w:line="20" w:lineRule="exact"/>
              <w:rPr>
                <w:sz w:val="1"/>
                <w:szCs w:val="1"/>
                <w:color w:val="auto"/>
              </w:rPr>
            </w:pPr>
          </w:p>
        </w:tc>
        <w:tc>
          <w:tcPr>
            <w:tcW w:w="100" w:type="dxa"/>
            <w:vAlign w:val="bottom"/>
            <w:shd w:val="clear" w:color="auto" w:fill="FF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980" w:type="dxa"/>
            <w:vAlign w:val="bottom"/>
            <w:gridSpan w:val="8"/>
            <w:vMerge w:val="continue"/>
          </w:tcPr>
          <w:p>
            <w:pPr>
              <w:spacing w:after="0"/>
              <w:rPr>
                <w:sz w:val="15"/>
                <w:szCs w:val="15"/>
                <w:color w:val="auto"/>
              </w:rPr>
            </w:pPr>
          </w:p>
        </w:tc>
        <w:tc>
          <w:tcPr>
            <w:tcW w:w="30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20"/>
                <w:szCs w:val="20"/>
                <w:color w:val="FF0000"/>
                <w:strike w:val="1"/>
                <w:w w:val="93"/>
              </w:rPr>
              <w:t>161</w:t>
            </w:r>
          </w:p>
        </w:tc>
        <w:tc>
          <w:tcPr>
            <w:tcW w:w="980" w:type="dxa"/>
            <w:vAlign w:val="bottom"/>
            <w:gridSpan w:val="10"/>
          </w:tcPr>
          <w:p>
            <w:pPr>
              <w:jc w:val="right"/>
              <w:spacing w:after="0" w:line="181" w:lineRule="exact"/>
              <w:rPr>
                <w:sz w:val="20"/>
                <w:szCs w:val="20"/>
                <w:color w:val="auto"/>
              </w:rPr>
            </w:pPr>
            <w:r>
              <w:rPr>
                <w:rFonts w:ascii="Times New Roman" w:cs="Times New Roman" w:eastAsia="Times New Roman" w:hAnsi="Times New Roman"/>
                <w:sz w:val="20"/>
                <w:szCs w:val="20"/>
                <w:color w:val="0000FF"/>
                <w:w w:val="80"/>
              </w:rPr>
              <w:t xml:space="preserve">163 </w:t>
            </w:r>
            <w:r>
              <w:rPr>
                <w:rFonts w:ascii="Times New Roman" w:cs="Times New Roman" w:eastAsia="Times New Roman" w:hAnsi="Times New Roman"/>
                <w:sz w:val="20"/>
                <w:szCs w:val="20"/>
                <w:color w:val="000000"/>
                <w:w w:val="80"/>
              </w:rPr>
              <w:t>SECTION</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w w:val="75"/>
              </w:rPr>
              <w:t>12.13</w:t>
            </w:r>
          </w:p>
        </w:tc>
        <w:tc>
          <w:tcPr>
            <w:tcW w:w="1040" w:type="dxa"/>
            <w:vAlign w:val="bottom"/>
            <w:gridSpan w:val="10"/>
            <w:vMerge w:val="continue"/>
          </w:tcPr>
          <w:p>
            <w:pPr>
              <w:spacing w:after="0"/>
              <w:rPr>
                <w:sz w:val="15"/>
                <w:szCs w:val="15"/>
                <w:color w:val="auto"/>
              </w:rPr>
            </w:pPr>
          </w:p>
        </w:tc>
        <w:tc>
          <w:tcPr>
            <w:tcW w:w="300" w:type="dxa"/>
            <w:vAlign w:val="bottom"/>
            <w:gridSpan w:val="3"/>
            <w:vMerge w:val="continue"/>
          </w:tcPr>
          <w:p>
            <w:pPr>
              <w:spacing w:after="0"/>
              <w:rPr>
                <w:sz w:val="15"/>
                <w:szCs w:val="15"/>
                <w:color w:val="auto"/>
              </w:rPr>
            </w:pPr>
          </w:p>
        </w:tc>
        <w:tc>
          <w:tcPr>
            <w:tcW w:w="280" w:type="dxa"/>
            <w:vAlign w:val="bottom"/>
            <w:gridSpan w:val="4"/>
            <w:vMerge w:val="continue"/>
          </w:tcPr>
          <w:p>
            <w:pPr>
              <w:spacing w:after="0"/>
              <w:rPr>
                <w:sz w:val="15"/>
                <w:szCs w:val="15"/>
                <w:color w:val="auto"/>
              </w:rPr>
            </w:pPr>
          </w:p>
        </w:tc>
        <w:tc>
          <w:tcPr>
            <w:tcW w:w="1700" w:type="dxa"/>
            <w:vAlign w:val="bottom"/>
            <w:gridSpan w:val="12"/>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40" w:type="dxa"/>
            <w:vAlign w:val="bottom"/>
            <w:gridSpan w:val="5"/>
          </w:tcPr>
          <w:p>
            <w:pPr>
              <w:spacing w:after="0" w:line="20" w:lineRule="exact"/>
              <w:rPr>
                <w:sz w:val="1"/>
                <w:szCs w:val="1"/>
                <w:color w:val="auto"/>
              </w:rPr>
            </w:pPr>
          </w:p>
        </w:tc>
        <w:tc>
          <w:tcPr>
            <w:tcW w:w="240" w:type="dxa"/>
            <w:vAlign w:val="bottom"/>
            <w:gridSpan w:val="3"/>
            <w:shd w:val="clear" w:color="auto" w:fill="FF0000"/>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40" w:type="dxa"/>
            <w:vAlign w:val="bottom"/>
            <w:tcBorders>
              <w:right w:val="single" w:sz="8" w:color="auto"/>
            </w:tcBorders>
            <w:gridSpan w:val="2"/>
            <w:shd w:val="clear" w:color="auto" w:fill="000000"/>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2320" w:type="dxa"/>
            <w:vAlign w:val="bottom"/>
            <w:gridSpan w:val="1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3620" w:type="dxa"/>
            <w:vAlign w:val="bottom"/>
            <w:gridSpan w:val="24"/>
          </w:tcPr>
          <w:p>
            <w:pPr>
              <w:ind w:left="680"/>
              <w:spacing w:after="0"/>
              <w:rPr>
                <w:sz w:val="20"/>
                <w:szCs w:val="20"/>
                <w:color w:val="auto"/>
              </w:rPr>
            </w:pPr>
            <w:r>
              <w:rPr>
                <w:rFonts w:ascii="Times New Roman" w:cs="Times New Roman" w:eastAsia="Times New Roman" w:hAnsi="Times New Roman"/>
                <w:sz w:val="20"/>
                <w:szCs w:val="20"/>
                <w:color w:val="auto"/>
                <w:w w:val="98"/>
              </w:rPr>
              <w:t>SECTION 12.14 Titles and Captions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FF0000"/>
                <w:strike w:val="1"/>
                <w:w w:val="93"/>
              </w:rPr>
              <w:t>161</w:t>
            </w:r>
          </w:p>
        </w:tc>
        <w:tc>
          <w:tcPr>
            <w:tcW w:w="3840" w:type="dxa"/>
            <w:vAlign w:val="bottom"/>
            <w:gridSpan w:val="34"/>
          </w:tcPr>
          <w:p>
            <w:pPr>
              <w:spacing w:after="0"/>
              <w:rPr>
                <w:sz w:val="20"/>
                <w:szCs w:val="20"/>
                <w:color w:val="auto"/>
              </w:rPr>
            </w:pPr>
            <w:r>
              <w:rPr>
                <w:rFonts w:ascii="Times New Roman" w:cs="Times New Roman" w:eastAsia="Times New Roman" w:hAnsi="Times New Roman"/>
                <w:sz w:val="20"/>
                <w:szCs w:val="20"/>
                <w:color w:val="0000FF"/>
                <w:w w:val="99"/>
              </w:rPr>
              <w:t xml:space="preserve">163 </w:t>
            </w:r>
            <w:r>
              <w:rPr>
                <w:rFonts w:ascii="Times New Roman" w:cs="Times New Roman" w:eastAsia="Times New Roman" w:hAnsi="Times New Roman"/>
                <w:sz w:val="20"/>
                <w:szCs w:val="20"/>
                <w:color w:val="000000"/>
                <w:w w:val="99"/>
              </w:rPr>
              <w:t>SECTION 12.15 Severability of Provisions</w:t>
            </w:r>
          </w:p>
        </w:tc>
        <w:tc>
          <w:tcPr>
            <w:tcW w:w="36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FF0000"/>
                <w:strike w:val="1"/>
                <w:w w:val="86"/>
              </w:rPr>
              <w:t>162</w:t>
            </w:r>
          </w:p>
        </w:tc>
        <w:tc>
          <w:tcPr>
            <w:tcW w:w="44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0000FF"/>
                <w:w w:val="86"/>
              </w:rPr>
              <w:t>163</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20" w:type="dxa"/>
            <w:vAlign w:val="bottom"/>
            <w:tcBorders>
              <w:right w:val="single" w:sz="8" w:color="auto"/>
            </w:tcBorders>
            <w:gridSpan w:val="24"/>
          </w:tcPr>
          <w:p>
            <w:pPr>
              <w:spacing w:after="0" w:line="20" w:lineRule="exact"/>
              <w:rPr>
                <w:sz w:val="1"/>
                <w:szCs w:val="1"/>
                <w:color w:val="auto"/>
              </w:rPr>
            </w:pPr>
          </w:p>
        </w:tc>
        <w:tc>
          <w:tcPr>
            <w:tcW w:w="480" w:type="dxa"/>
            <w:vAlign w:val="bottom"/>
            <w:tcBorders>
              <w:right w:val="single" w:sz="8" w:color="0000FF"/>
            </w:tcBorders>
            <w:gridSpan w:val="5"/>
            <w:shd w:val="clear" w:color="auto" w:fill="000000"/>
          </w:tcPr>
          <w:p>
            <w:pPr>
              <w:spacing w:after="0" w:line="20" w:lineRule="exact"/>
              <w:rPr>
                <w:sz w:val="1"/>
                <w:szCs w:val="1"/>
                <w:color w:val="auto"/>
              </w:rPr>
            </w:pPr>
          </w:p>
        </w:tc>
        <w:tc>
          <w:tcPr>
            <w:tcW w:w="3840" w:type="dxa"/>
            <w:vAlign w:val="bottom"/>
            <w:tcBorders>
              <w:right w:val="single" w:sz="8" w:color="auto"/>
            </w:tcBorders>
            <w:gridSpan w:val="34"/>
            <w:shd w:val="clear" w:color="auto" w:fill="0000FF"/>
          </w:tcPr>
          <w:p>
            <w:pPr>
              <w:spacing w:after="0" w:line="20" w:lineRule="exact"/>
              <w:rPr>
                <w:sz w:val="1"/>
                <w:szCs w:val="1"/>
                <w:color w:val="auto"/>
              </w:rPr>
            </w:pPr>
          </w:p>
        </w:tc>
        <w:tc>
          <w:tcPr>
            <w:tcW w:w="520" w:type="dxa"/>
            <w:vAlign w:val="bottom"/>
            <w:tcBorders>
              <w:left w:val="single" w:sz="8" w:color="auto"/>
              <w:right w:val="single" w:sz="8" w:color="0000FF"/>
            </w:tcBorders>
            <w:gridSpan w:val="5"/>
          </w:tcPr>
          <w:p>
            <w:pPr>
              <w:spacing w:after="0" w:line="20" w:lineRule="exact"/>
              <w:rPr>
                <w:sz w:val="1"/>
                <w:szCs w:val="1"/>
                <w:color w:val="auto"/>
              </w:rPr>
            </w:pPr>
          </w:p>
        </w:tc>
        <w:tc>
          <w:tcPr>
            <w:tcW w:w="2140" w:type="dxa"/>
            <w:vAlign w:val="bottom"/>
            <w:tcBorders>
              <w:left w:val="single" w:sz="8" w:color="0000FF"/>
            </w:tcBorders>
            <w:gridSpan w:val="18"/>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tabs>
          <w:tab w:leader="none" w:pos="300" w:val="left"/>
        </w:tabs>
        <w:rPr>
          <w:sz w:val="20"/>
          <w:szCs w:val="20"/>
          <w:color w:val="auto"/>
        </w:rPr>
      </w:pPr>
      <w:r>
        <w:rPr>
          <w:sz w:val="1"/>
          <w:szCs w:val="1"/>
          <w:color w:val="auto"/>
        </w:rPr>
        <w:drawing>
          <wp:inline distT="0" distB="0" distL="0" distR="0">
            <wp:extent cx="8255" cy="10160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98">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5</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ectPr>
          <w:pgSz w:w="11900" w:h="16838" w:orient="portrait"/>
          <w:cols w:equalWidth="0" w:num="1">
            <w:col w:w="11240"/>
          </w:cols>
          <w:pgMar w:left="320" w:top="1316" w:right="33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Page</w:t>
      </w:r>
    </w:p>
    <w:p>
      <w:pPr>
        <w:spacing w:after="0" w:line="200" w:lineRule="exact"/>
        <w:rPr>
          <w:sz w:val="20"/>
          <w:szCs w:val="20"/>
          <w:color w:val="auto"/>
        </w:rPr>
      </w:pPr>
    </w:p>
    <w:p>
      <w:pPr>
        <w:spacing w:after="0" w:line="24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 xml:space="preserve">SECTION 12.16 Counterparts; Integration; Effectiveness; Electronic Execution </w:t>
      </w:r>
      <w:r>
        <w:rPr>
          <w:rFonts w:ascii="Times New Roman" w:cs="Times New Roman" w:eastAsia="Times New Roman" w:hAnsi="Times New Roman"/>
          <w:sz w:val="20"/>
          <w:szCs w:val="20"/>
          <w:color w:val="FF0000"/>
          <w:strike w:val="1"/>
        </w:rPr>
        <w:t>162</w:t>
      </w:r>
      <w:r>
        <w:rPr>
          <w:rFonts w:ascii="Times New Roman" w:cs="Times New Roman" w:eastAsia="Times New Roman" w:hAnsi="Times New Roman"/>
          <w:sz w:val="20"/>
          <w:szCs w:val="20"/>
          <w:u w:val="single" w:color="auto"/>
          <w:color w:val="0000FF"/>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-12065</wp:posOffset>
            </wp:positionV>
            <wp:extent cx="3111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99">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tbl>
      <w:tblPr>
        <w:tblLayout w:type="fixed"/>
        <w:tblInd w:w="680" w:type="dxa"/>
        <w:tblCellMar>
          <w:top w:w="0" w:type="dxa"/>
          <w:left w:w="0" w:type="dxa"/>
          <w:bottom w:w="0" w:type="dxa"/>
          <w:right w:w="0" w:type="dxa"/>
        </w:tblCellMar>
      </w:tblPr>
      <w:tr>
        <w:trPr>
          <w:trHeight w:val="42"/>
        </w:trPr>
        <w:tc>
          <w:tcPr>
            <w:tcW w:w="2920" w:type="dxa"/>
            <w:vAlign w:val="bottom"/>
            <w:gridSpan w:val="11"/>
            <w:vMerge w:val="restart"/>
          </w:tcPr>
          <w:p>
            <w:pPr>
              <w:spacing w:after="0"/>
              <w:rPr>
                <w:sz w:val="20"/>
                <w:szCs w:val="20"/>
                <w:color w:val="auto"/>
              </w:rPr>
            </w:pPr>
            <w:r>
              <w:rPr>
                <w:rFonts w:ascii="Times New Roman" w:cs="Times New Roman" w:eastAsia="Times New Roman" w:hAnsi="Times New Roman"/>
                <w:sz w:val="20"/>
                <w:szCs w:val="20"/>
                <w:color w:val="auto"/>
                <w:w w:val="97"/>
              </w:rPr>
              <w:t>SECTION 12.17 Term of Agreement</w:t>
            </w:r>
          </w:p>
        </w:tc>
        <w:tc>
          <w:tcPr>
            <w:tcW w:w="240" w:type="dxa"/>
            <w:vAlign w:val="bottom"/>
            <w:vMerge w:val="restart"/>
          </w:tcPr>
          <w:p>
            <w:pPr>
              <w:spacing w:after="0"/>
              <w:rPr>
                <w:sz w:val="3"/>
                <w:szCs w:val="3"/>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93"/>
              </w:rPr>
              <w:t>163</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w w:val="86"/>
              </w:rPr>
              <w:t>164</w:t>
            </w:r>
          </w:p>
        </w:tc>
        <w:tc>
          <w:tcPr>
            <w:tcW w:w="1080" w:type="dxa"/>
            <w:vAlign w:val="bottom"/>
            <w:vMerge w:val="restart"/>
          </w:tcPr>
          <w:p>
            <w:pPr>
              <w:spacing w:after="0"/>
              <w:rPr>
                <w:sz w:val="3"/>
                <w:szCs w:val="3"/>
                <w:color w:val="auto"/>
              </w:rPr>
            </w:pPr>
          </w:p>
        </w:tc>
        <w:tc>
          <w:tcPr>
            <w:tcW w:w="240" w:type="dxa"/>
            <w:vAlign w:val="bottom"/>
            <w:vMerge w:val="restart"/>
          </w:tcPr>
          <w:p>
            <w:pPr>
              <w:spacing w:after="0"/>
              <w:rPr>
                <w:sz w:val="3"/>
                <w:szCs w:val="3"/>
                <w:color w:val="auto"/>
              </w:rPr>
            </w:pPr>
          </w:p>
        </w:tc>
        <w:tc>
          <w:tcPr>
            <w:tcW w:w="30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80" w:type="dxa"/>
            <w:vAlign w:val="bottom"/>
            <w:vMerge w:val="restart"/>
          </w:tcPr>
          <w:p>
            <w:pPr>
              <w:spacing w:after="0"/>
              <w:rPr>
                <w:sz w:val="3"/>
                <w:szCs w:val="3"/>
                <w:color w:val="auto"/>
              </w:rPr>
            </w:pPr>
          </w:p>
        </w:tc>
        <w:tc>
          <w:tcPr>
            <w:tcW w:w="140" w:type="dxa"/>
            <w:vAlign w:val="bottom"/>
            <w:vMerge w:val="restart"/>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2920" w:type="dxa"/>
            <w:vAlign w:val="bottom"/>
            <w:gridSpan w:val="11"/>
            <w:vMerge w:val="continue"/>
          </w:tcPr>
          <w:p>
            <w:pPr>
              <w:spacing w:after="0"/>
              <w:rPr>
                <w:sz w:val="16"/>
                <w:szCs w:val="16"/>
                <w:color w:val="auto"/>
              </w:rPr>
            </w:pPr>
          </w:p>
        </w:tc>
        <w:tc>
          <w:tcPr>
            <w:tcW w:w="240" w:type="dxa"/>
            <w:vAlign w:val="bottom"/>
            <w:tcBorders>
              <w:bottom w:val="single" w:sz="8" w:color="FF0000"/>
            </w:tcBorders>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280" w:type="dxa"/>
            <w:vAlign w:val="bottom"/>
            <w:tcBorders>
              <w:bottom w:val="single" w:sz="8" w:color="0000FF"/>
            </w:tcBorders>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480" w:type="dxa"/>
            <w:vAlign w:val="bottom"/>
            <w:gridSpan w:val="19"/>
          </w:tcPr>
          <w:p>
            <w:pPr>
              <w:spacing w:after="0" w:line="181" w:lineRule="exact"/>
              <w:rPr>
                <w:sz w:val="20"/>
                <w:szCs w:val="20"/>
                <w:color w:val="auto"/>
              </w:rPr>
            </w:pPr>
            <w:r>
              <w:rPr>
                <w:rFonts w:ascii="Times New Roman" w:cs="Times New Roman" w:eastAsia="Times New Roman" w:hAnsi="Times New Roman"/>
                <w:sz w:val="20"/>
                <w:szCs w:val="20"/>
                <w:color w:val="auto"/>
                <w:w w:val="97"/>
              </w:rPr>
              <w:t>SECTION 12.18 USA PATRIOT Act; Anti-Money Laundering Laws</w:t>
            </w:r>
          </w:p>
        </w:tc>
        <w:tc>
          <w:tcPr>
            <w:tcW w:w="220" w:type="dxa"/>
            <w:vAlign w:val="bottom"/>
            <w:gridSpan w:val="2"/>
          </w:tcPr>
          <w:p>
            <w:pPr>
              <w:spacing w:after="0"/>
              <w:rPr>
                <w:sz w:val="15"/>
                <w:szCs w:val="15"/>
                <w:color w:val="auto"/>
              </w:rPr>
            </w:pPr>
          </w:p>
        </w:tc>
        <w:tc>
          <w:tcPr>
            <w:tcW w:w="360" w:type="dxa"/>
            <w:vAlign w:val="bottom"/>
          </w:tcPr>
          <w:p>
            <w:pPr>
              <w:jc w:val="right"/>
              <w:spacing w:after="0" w:line="181" w:lineRule="exact"/>
              <w:rPr>
                <w:sz w:val="20"/>
                <w:szCs w:val="20"/>
                <w:color w:val="auto"/>
              </w:rPr>
            </w:pPr>
            <w:r>
              <w:rPr>
                <w:rFonts w:ascii="Times New Roman" w:cs="Times New Roman" w:eastAsia="Times New Roman" w:hAnsi="Times New Roman"/>
                <w:sz w:val="20"/>
                <w:szCs w:val="20"/>
                <w:color w:val="FF0000"/>
                <w:strike w:val="1"/>
                <w:w w:val="86"/>
              </w:rPr>
              <w:t>163</w:t>
            </w:r>
          </w:p>
        </w:tc>
        <w:tc>
          <w:tcPr>
            <w:tcW w:w="4500" w:type="dxa"/>
            <w:vAlign w:val="bottom"/>
            <w:gridSpan w:val="7"/>
          </w:tcPr>
          <w:p>
            <w:pPr>
              <w:spacing w:after="0" w:line="181" w:lineRule="exact"/>
              <w:rPr>
                <w:sz w:val="20"/>
                <w:szCs w:val="20"/>
                <w:color w:val="auto"/>
              </w:rPr>
            </w:pPr>
            <w:r>
              <w:rPr>
                <w:rFonts w:ascii="Times New Roman" w:cs="Times New Roman" w:eastAsia="Times New Roman" w:hAnsi="Times New Roman"/>
                <w:sz w:val="20"/>
                <w:szCs w:val="20"/>
                <w:color w:val="0000FF"/>
              </w:rPr>
              <w:t xml:space="preserve">164 </w:t>
            </w:r>
            <w:r>
              <w:rPr>
                <w:rFonts w:ascii="Times New Roman" w:cs="Times New Roman" w:eastAsia="Times New Roman" w:hAnsi="Times New Roman"/>
                <w:sz w:val="20"/>
                <w:szCs w:val="20"/>
                <w:color w:val="000000"/>
              </w:rPr>
              <w:t>SECTION 12.19 Independent Effect of Covenants</w:t>
            </w:r>
          </w:p>
        </w:tc>
        <w:tc>
          <w:tcPr>
            <w:tcW w:w="0" w:type="dxa"/>
            <w:vAlign w:val="bottom"/>
          </w:tcPr>
          <w:p>
            <w:pPr>
              <w:spacing w:after="0"/>
              <w:rPr>
                <w:sz w:val="1"/>
                <w:szCs w:val="1"/>
                <w:color w:val="auto"/>
              </w:rPr>
            </w:pPr>
          </w:p>
        </w:tc>
      </w:tr>
      <w:tr>
        <w:trPr>
          <w:trHeight w:val="20"/>
        </w:trPr>
        <w:tc>
          <w:tcPr>
            <w:tcW w:w="300" w:type="dxa"/>
            <w:vAlign w:val="bottom"/>
            <w:vMerge w:val="restart"/>
          </w:tcPr>
          <w:p>
            <w:pPr>
              <w:spacing w:after="0" w:line="201" w:lineRule="exact"/>
              <w:rPr>
                <w:sz w:val="20"/>
                <w:szCs w:val="20"/>
                <w:color w:val="auto"/>
              </w:rPr>
            </w:pPr>
            <w:r>
              <w:rPr>
                <w:rFonts w:ascii="Times New Roman" w:cs="Times New Roman" w:eastAsia="Times New Roman" w:hAnsi="Times New Roman"/>
                <w:sz w:val="20"/>
                <w:szCs w:val="20"/>
                <w:color w:val="FF0000"/>
                <w:strike w:val="1"/>
                <w:w w:val="93"/>
              </w:rPr>
              <w:t>163</w:t>
            </w:r>
          </w:p>
        </w:tc>
        <w:tc>
          <w:tcPr>
            <w:tcW w:w="5180" w:type="dxa"/>
            <w:vAlign w:val="bottom"/>
            <w:gridSpan w:val="18"/>
            <w:vMerge w:val="restart"/>
          </w:tcPr>
          <w:p>
            <w:pPr>
              <w:spacing w:after="0" w:line="201" w:lineRule="exact"/>
              <w:rPr>
                <w:sz w:val="20"/>
                <w:szCs w:val="20"/>
                <w:color w:val="auto"/>
              </w:rPr>
            </w:pPr>
            <w:r>
              <w:rPr>
                <w:rFonts w:ascii="Times New Roman" w:cs="Times New Roman" w:eastAsia="Times New Roman" w:hAnsi="Times New Roman"/>
                <w:sz w:val="20"/>
                <w:szCs w:val="20"/>
                <w:color w:val="0000FF"/>
              </w:rPr>
              <w:t xml:space="preserve">165 </w:t>
            </w:r>
            <w:r>
              <w:rPr>
                <w:rFonts w:ascii="Times New Roman" w:cs="Times New Roman" w:eastAsia="Times New Roman" w:hAnsi="Times New Roman"/>
                <w:sz w:val="20"/>
                <w:szCs w:val="20"/>
                <w:color w:val="000000"/>
              </w:rPr>
              <w:t>SECTION 12.20 No Advisory or Fiduciary Responsibility</w:t>
            </w:r>
          </w:p>
        </w:tc>
        <w:tc>
          <w:tcPr>
            <w:tcW w:w="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00" w:type="dxa"/>
            <w:vAlign w:val="bottom"/>
            <w:vMerge w:val="continue"/>
          </w:tcPr>
          <w:p>
            <w:pPr>
              <w:spacing w:after="0"/>
              <w:rPr>
                <w:sz w:val="15"/>
                <w:szCs w:val="15"/>
                <w:color w:val="auto"/>
              </w:rPr>
            </w:pPr>
          </w:p>
        </w:tc>
        <w:tc>
          <w:tcPr>
            <w:tcW w:w="5180" w:type="dxa"/>
            <w:vAlign w:val="bottom"/>
            <w:gridSpan w:val="18"/>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20"/>
                <w:szCs w:val="20"/>
                <w:color w:val="FF0000"/>
                <w:strike w:val="1"/>
                <w:w w:val="93"/>
              </w:rPr>
              <w:t>163</w:t>
            </w:r>
          </w:p>
        </w:tc>
        <w:tc>
          <w:tcPr>
            <w:tcW w:w="4120" w:type="dxa"/>
            <w:vAlign w:val="bottom"/>
            <w:gridSpan w:val="3"/>
          </w:tcPr>
          <w:p>
            <w:pPr>
              <w:spacing w:after="0" w:line="181" w:lineRule="exact"/>
              <w:rPr>
                <w:sz w:val="20"/>
                <w:szCs w:val="20"/>
                <w:color w:val="auto"/>
              </w:rPr>
            </w:pPr>
            <w:r>
              <w:rPr>
                <w:rFonts w:ascii="Times New Roman" w:cs="Times New Roman" w:eastAsia="Times New Roman" w:hAnsi="Times New Roman"/>
                <w:sz w:val="20"/>
                <w:szCs w:val="20"/>
                <w:color w:val="0000FF"/>
              </w:rPr>
              <w:t xml:space="preserve">165 </w:t>
            </w:r>
            <w:r>
              <w:rPr>
                <w:rFonts w:ascii="Times New Roman" w:cs="Times New Roman" w:eastAsia="Times New Roman" w:hAnsi="Times New Roman"/>
                <w:sz w:val="20"/>
                <w:szCs w:val="20"/>
                <w:color w:val="000000"/>
              </w:rPr>
              <w:t>SECTION 12.21 Inconsistencies with Other</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0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Borders>
              <w:right w:val="single" w:sz="8" w:color="FF0000"/>
            </w:tcBorders>
          </w:tcPr>
          <w:p>
            <w:pPr>
              <w:spacing w:after="0" w:line="20" w:lineRule="exact"/>
              <w:rPr>
                <w:sz w:val="1"/>
                <w:szCs w:val="1"/>
                <w:color w:val="auto"/>
              </w:rPr>
            </w:pPr>
          </w:p>
        </w:tc>
        <w:tc>
          <w:tcPr>
            <w:tcW w:w="360" w:type="dxa"/>
            <w:vAlign w:val="bottom"/>
            <w:tcBorders>
              <w:left w:val="single" w:sz="8" w:color="FF0000"/>
              <w:right w:val="single" w:sz="8" w:color="FF0000"/>
            </w:tcBorders>
            <w:shd w:val="clear" w:color="auto" w:fill="FF0000"/>
          </w:tcPr>
          <w:p>
            <w:pPr>
              <w:spacing w:after="0" w:line="20" w:lineRule="exact"/>
              <w:rPr>
                <w:sz w:val="1"/>
                <w:szCs w:val="1"/>
                <w:color w:val="auto"/>
              </w:rPr>
            </w:pPr>
          </w:p>
        </w:tc>
        <w:tc>
          <w:tcPr>
            <w:tcW w:w="80" w:type="dxa"/>
            <w:vAlign w:val="bottom"/>
            <w:shd w:val="clear" w:color="auto" w:fill="FF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900" w:type="dxa"/>
            <w:vAlign w:val="bottom"/>
            <w:gridSpan w:val="3"/>
          </w:tcPr>
          <w:p>
            <w:pPr>
              <w:spacing w:after="0" w:line="167" w:lineRule="exact"/>
              <w:rPr>
                <w:sz w:val="20"/>
                <w:szCs w:val="20"/>
                <w:color w:val="auto"/>
              </w:rPr>
            </w:pPr>
            <w:r>
              <w:rPr>
                <w:rFonts w:ascii="Times New Roman" w:cs="Times New Roman" w:eastAsia="Times New Roman" w:hAnsi="Times New Roman"/>
                <w:sz w:val="19"/>
                <w:szCs w:val="19"/>
                <w:color w:val="auto"/>
              </w:rPr>
              <w:t>Documents</w:t>
            </w:r>
          </w:p>
        </w:tc>
        <w:tc>
          <w:tcPr>
            <w:tcW w:w="240" w:type="dxa"/>
            <w:vAlign w:val="bottom"/>
            <w:tcBorders>
              <w:bottom w:val="single" w:sz="8" w:color="auto"/>
            </w:tcBorders>
          </w:tcPr>
          <w:p>
            <w:pPr>
              <w:spacing w:after="0"/>
              <w:rPr>
                <w:sz w:val="14"/>
                <w:szCs w:val="14"/>
                <w:color w:val="auto"/>
              </w:rPr>
            </w:pPr>
          </w:p>
        </w:tc>
        <w:tc>
          <w:tcPr>
            <w:tcW w:w="300" w:type="dxa"/>
            <w:vAlign w:val="bottom"/>
          </w:tcPr>
          <w:p>
            <w:pPr>
              <w:jc w:val="right"/>
              <w:spacing w:after="0" w:line="167" w:lineRule="exact"/>
              <w:rPr>
                <w:sz w:val="20"/>
                <w:szCs w:val="20"/>
                <w:color w:val="auto"/>
              </w:rPr>
            </w:pPr>
            <w:r>
              <w:rPr>
                <w:rFonts w:ascii="Times New Roman" w:cs="Times New Roman" w:eastAsia="Times New Roman" w:hAnsi="Times New Roman"/>
                <w:sz w:val="19"/>
                <w:szCs w:val="19"/>
                <w:color w:val="FF0000"/>
                <w:strike w:val="1"/>
                <w:w w:val="98"/>
              </w:rPr>
              <w:t>164</w:t>
            </w:r>
          </w:p>
        </w:tc>
        <w:tc>
          <w:tcPr>
            <w:tcW w:w="300" w:type="dxa"/>
            <w:vAlign w:val="bottom"/>
            <w:tcBorders>
              <w:bottom w:val="single" w:sz="8" w:color="0000FF"/>
            </w:tcBorders>
            <w:gridSpan w:val="3"/>
          </w:tcPr>
          <w:p>
            <w:pPr>
              <w:jc w:val="right"/>
              <w:spacing w:after="0" w:line="167" w:lineRule="exact"/>
              <w:rPr>
                <w:sz w:val="20"/>
                <w:szCs w:val="20"/>
                <w:color w:val="auto"/>
              </w:rPr>
            </w:pPr>
            <w:r>
              <w:rPr>
                <w:rFonts w:ascii="Times New Roman" w:cs="Times New Roman" w:eastAsia="Times New Roman" w:hAnsi="Times New Roman"/>
                <w:sz w:val="19"/>
                <w:szCs w:val="19"/>
                <w:color w:val="0000FF"/>
                <w:w w:val="98"/>
              </w:rPr>
              <w:t>165</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5"/>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9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SECTION</w:t>
            </w:r>
          </w:p>
        </w:tc>
        <w:tc>
          <w:tcPr>
            <w:tcW w:w="9660" w:type="dxa"/>
            <w:vAlign w:val="bottom"/>
            <w:gridSpan w:val="26"/>
          </w:tcPr>
          <w:p>
            <w:pPr>
              <w:spacing w:after="0"/>
              <w:rPr>
                <w:sz w:val="20"/>
                <w:szCs w:val="20"/>
                <w:color w:val="auto"/>
              </w:rPr>
            </w:pPr>
            <w:r>
              <w:rPr>
                <w:rFonts w:ascii="Times New Roman" w:cs="Times New Roman" w:eastAsia="Times New Roman" w:hAnsi="Times New Roman"/>
                <w:sz w:val="20"/>
                <w:szCs w:val="20"/>
                <w:color w:val="auto"/>
              </w:rPr>
              <w:t>12.22 Acknowledgement and Consent to Bail-In of Affected Financial</w:t>
            </w:r>
          </w:p>
        </w:tc>
        <w:tc>
          <w:tcPr>
            <w:tcW w:w="0" w:type="dxa"/>
            <w:vAlign w:val="bottom"/>
          </w:tcPr>
          <w:p>
            <w:pPr>
              <w:spacing w:after="0"/>
              <w:rPr>
                <w:sz w:val="1"/>
                <w:szCs w:val="1"/>
                <w:color w:val="auto"/>
              </w:rPr>
            </w:pPr>
          </w:p>
        </w:tc>
      </w:tr>
      <w:tr>
        <w:trPr>
          <w:trHeight w:val="213"/>
        </w:trPr>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5"/>
          </w:tcPr>
          <w:p>
            <w:pPr>
              <w:ind w:left="40"/>
              <w:spacing w:after="0" w:line="213" w:lineRule="exact"/>
              <w:rPr>
                <w:sz w:val="20"/>
                <w:szCs w:val="20"/>
                <w:color w:val="auto"/>
              </w:rPr>
            </w:pPr>
            <w:r>
              <w:rPr>
                <w:rFonts w:ascii="Times New Roman" w:cs="Times New Roman" w:eastAsia="Times New Roman" w:hAnsi="Times New Roman"/>
                <w:sz w:val="20"/>
                <w:szCs w:val="20"/>
                <w:color w:val="auto"/>
              </w:rPr>
              <w:t>Institutions</w:t>
            </w:r>
          </w:p>
        </w:tc>
        <w:tc>
          <w:tcPr>
            <w:tcW w:w="30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20"/>
                <w:szCs w:val="20"/>
                <w:color w:val="FF0000"/>
                <w:strike w:val="1"/>
                <w:w w:val="93"/>
              </w:rPr>
              <w:t>164</w:t>
            </w:r>
          </w:p>
        </w:tc>
        <w:tc>
          <w:tcPr>
            <w:tcW w:w="3680" w:type="dxa"/>
            <w:vAlign w:val="bottom"/>
            <w:gridSpan w:val="12"/>
          </w:tcPr>
          <w:p>
            <w:pPr>
              <w:jc w:val="right"/>
              <w:ind w:right="140"/>
              <w:spacing w:after="0" w:line="213" w:lineRule="exact"/>
              <w:rPr>
                <w:sz w:val="20"/>
                <w:szCs w:val="20"/>
                <w:color w:val="auto"/>
              </w:rPr>
            </w:pPr>
            <w:r>
              <w:rPr>
                <w:rFonts w:ascii="Times New Roman" w:cs="Times New Roman" w:eastAsia="Times New Roman" w:hAnsi="Times New Roman"/>
                <w:sz w:val="20"/>
                <w:szCs w:val="20"/>
                <w:color w:val="0000FF"/>
                <w:w w:val="97"/>
              </w:rPr>
              <w:t xml:space="preserve">166 </w:t>
            </w:r>
            <w:r>
              <w:rPr>
                <w:rFonts w:ascii="Times New Roman" w:cs="Times New Roman" w:eastAsia="Times New Roman" w:hAnsi="Times New Roman"/>
                <w:sz w:val="20"/>
                <w:szCs w:val="20"/>
                <w:color w:val="000000"/>
                <w:w w:val="97"/>
              </w:rPr>
              <w:t>SECTION 12.23 Certain ERISA Matters</w:t>
            </w:r>
          </w:p>
        </w:tc>
        <w:tc>
          <w:tcPr>
            <w:tcW w:w="360" w:type="dxa"/>
            <w:vAlign w:val="bottom"/>
          </w:tcPr>
          <w:p>
            <w:pPr>
              <w:jc w:val="right"/>
              <w:spacing w:after="0" w:line="213" w:lineRule="exact"/>
              <w:rPr>
                <w:sz w:val="20"/>
                <w:szCs w:val="20"/>
                <w:color w:val="auto"/>
              </w:rPr>
            </w:pPr>
            <w:r>
              <w:rPr>
                <w:rFonts w:ascii="Times New Roman" w:cs="Times New Roman" w:eastAsia="Times New Roman" w:hAnsi="Times New Roman"/>
                <w:sz w:val="20"/>
                <w:szCs w:val="20"/>
                <w:color w:val="FF0000"/>
                <w:strike w:val="1"/>
              </w:rPr>
              <w:t>164</w:t>
            </w:r>
          </w:p>
        </w:tc>
        <w:tc>
          <w:tcPr>
            <w:tcW w:w="300" w:type="dxa"/>
            <w:vAlign w:val="bottom"/>
            <w:gridSpan w:val="3"/>
          </w:tcPr>
          <w:p>
            <w:pPr>
              <w:jc w:val="right"/>
              <w:spacing w:after="0" w:line="213" w:lineRule="exact"/>
              <w:rPr>
                <w:sz w:val="20"/>
                <w:szCs w:val="20"/>
                <w:color w:val="auto"/>
              </w:rPr>
            </w:pPr>
            <w:r>
              <w:rPr>
                <w:rFonts w:ascii="Times New Roman" w:cs="Times New Roman" w:eastAsia="Times New Roman" w:hAnsi="Times New Roman"/>
                <w:sz w:val="20"/>
                <w:szCs w:val="20"/>
                <w:color w:val="0000FF"/>
                <w:w w:val="93"/>
              </w:rPr>
              <w:t>166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20" w:type="dxa"/>
            <w:vAlign w:val="bottom"/>
            <w:gridSpan w:val="6"/>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50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5700" w:type="dxa"/>
            <w:vAlign w:val="bottom"/>
            <w:gridSpan w:val="21"/>
          </w:tcPr>
          <w:p>
            <w:pPr>
              <w:spacing w:after="0"/>
              <w:rPr>
                <w:sz w:val="20"/>
                <w:szCs w:val="20"/>
                <w:color w:val="auto"/>
              </w:rPr>
            </w:pPr>
            <w:r>
              <w:rPr>
                <w:rFonts w:ascii="Times New Roman" w:cs="Times New Roman" w:eastAsia="Times New Roman" w:hAnsi="Times New Roman"/>
                <w:sz w:val="20"/>
                <w:szCs w:val="20"/>
                <w:color w:val="auto"/>
              </w:rPr>
              <w:t>SECTION 12.24 Acknowledgement Regarding Any Supported QFCs</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FF0000"/>
                <w:strike w:val="1"/>
                <w:w w:val="93"/>
              </w:rPr>
              <w:t>165</w:t>
            </w:r>
          </w:p>
        </w:tc>
        <w:tc>
          <w:tcPr>
            <w:tcW w:w="300" w:type="dxa"/>
            <w:vAlign w:val="bottom"/>
            <w:gridSpan w:val="3"/>
          </w:tcPr>
          <w:p>
            <w:pPr>
              <w:spacing w:after="0"/>
              <w:rPr>
                <w:sz w:val="20"/>
                <w:szCs w:val="20"/>
                <w:color w:val="auto"/>
              </w:rPr>
            </w:pPr>
            <w:r>
              <w:rPr>
                <w:rFonts w:ascii="Times New Roman" w:cs="Times New Roman" w:eastAsia="Times New Roman" w:hAnsi="Times New Roman"/>
                <w:sz w:val="20"/>
                <w:szCs w:val="20"/>
                <w:color w:val="0000FF"/>
                <w:w w:val="93"/>
              </w:rPr>
              <w:t>167</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20" w:type="dxa"/>
            <w:vAlign w:val="bottom"/>
            <w:gridSpan w:val="1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auto"/>
            </w:tcBorders>
            <w:gridSpan w:val="3"/>
            <w:shd w:val="clear" w:color="auto" w:fill="000000"/>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820" w:type="dxa"/>
            <w:vAlign w:val="bottom"/>
            <w:gridSpan w:val="15"/>
          </w:tcPr>
          <w:p>
            <w:pPr>
              <w:spacing w:after="0" w:line="167" w:lineRule="exact"/>
              <w:rPr>
                <w:sz w:val="20"/>
                <w:szCs w:val="20"/>
                <w:color w:val="auto"/>
              </w:rPr>
            </w:pPr>
            <w:r>
              <w:rPr>
                <w:rFonts w:ascii="Times New Roman" w:cs="Times New Roman" w:eastAsia="Times New Roman" w:hAnsi="Times New Roman"/>
                <w:sz w:val="19"/>
                <w:szCs w:val="19"/>
                <w:color w:val="auto"/>
              </w:rPr>
              <w:t>SECTION 12.25 Amendment and Restatement; No Novation</w:t>
            </w:r>
          </w:p>
        </w:tc>
        <w:tc>
          <w:tcPr>
            <w:tcW w:w="240" w:type="dxa"/>
            <w:vAlign w:val="bottom"/>
            <w:tcBorders>
              <w:bottom w:val="single" w:sz="8" w:color="FF0000"/>
            </w:tcBorders>
          </w:tcPr>
          <w:p>
            <w:pPr>
              <w:spacing w:after="0"/>
              <w:rPr>
                <w:sz w:val="14"/>
                <w:szCs w:val="14"/>
                <w:color w:val="auto"/>
              </w:rPr>
            </w:pPr>
          </w:p>
        </w:tc>
        <w:tc>
          <w:tcPr>
            <w:tcW w:w="300" w:type="dxa"/>
            <w:vAlign w:val="bottom"/>
          </w:tcPr>
          <w:p>
            <w:pPr>
              <w:jc w:val="right"/>
              <w:spacing w:after="0" w:line="167" w:lineRule="exact"/>
              <w:rPr>
                <w:sz w:val="20"/>
                <w:szCs w:val="20"/>
                <w:color w:val="auto"/>
              </w:rPr>
            </w:pPr>
            <w:r>
              <w:rPr>
                <w:rFonts w:ascii="Times New Roman" w:cs="Times New Roman" w:eastAsia="Times New Roman" w:hAnsi="Times New Roman"/>
                <w:sz w:val="19"/>
                <w:szCs w:val="19"/>
                <w:color w:val="FF0000"/>
                <w:strike w:val="1"/>
                <w:w w:val="98"/>
              </w:rPr>
              <w:t>166</w:t>
            </w:r>
          </w:p>
        </w:tc>
        <w:tc>
          <w:tcPr>
            <w:tcW w:w="340" w:type="dxa"/>
            <w:vAlign w:val="bottom"/>
            <w:tcBorders>
              <w:bottom w:val="single" w:sz="8" w:color="0000FF"/>
            </w:tcBorders>
            <w:gridSpan w:val="4"/>
          </w:tcPr>
          <w:p>
            <w:pPr>
              <w:jc w:val="right"/>
              <w:ind w:right="60"/>
              <w:spacing w:after="0" w:line="167" w:lineRule="exact"/>
              <w:rPr>
                <w:sz w:val="20"/>
                <w:szCs w:val="20"/>
                <w:color w:val="auto"/>
              </w:rPr>
            </w:pPr>
            <w:r>
              <w:rPr>
                <w:rFonts w:ascii="Times New Roman" w:cs="Times New Roman" w:eastAsia="Times New Roman" w:hAnsi="Times New Roman"/>
                <w:sz w:val="19"/>
                <w:szCs w:val="19"/>
                <w:color w:val="0000FF"/>
                <w:w w:val="91"/>
              </w:rPr>
              <w:t>168</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300" w:val="left"/>
        </w:tabs>
        <w:rPr>
          <w:sz w:val="20"/>
          <w:szCs w:val="20"/>
          <w:color w:val="auto"/>
        </w:rPr>
      </w:pPr>
      <w:r>
        <w:rPr>
          <w:sz w:val="1"/>
          <w:szCs w:val="1"/>
          <w:color w:val="auto"/>
        </w:rPr>
        <w:drawing>
          <wp:inline distT="0" distB="0" distL="0" distR="0">
            <wp:extent cx="8255" cy="101600"/>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300">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6</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ectPr>
          <w:pgSz w:w="11900" w:h="16838" w:orient="portrait"/>
          <w:cols w:equalWidth="0" w:num="1">
            <w:col w:w="11240"/>
          </w:cols>
          <w:pgMar w:left="320" w:top="1316" w:right="339" w:bottom="1440" w:gutter="0" w:footer="0" w:header="0"/>
        </w:sectPr>
      </w:pPr>
    </w:p>
    <w:bookmarkStart w:id="146" w:name="page147"/>
    <w:bookmarkEnd w:id="146"/>
    <w:p>
      <w:pPr>
        <w:ind w:left="780"/>
        <w:spacing w:after="0"/>
        <w:rPr>
          <w:sz w:val="20"/>
          <w:szCs w:val="20"/>
          <w:color w:val="auto"/>
        </w:rPr>
      </w:pPr>
      <w:r>
        <w:rPr>
          <w:rFonts w:ascii="Times New Roman" w:cs="Times New Roman" w:eastAsia="Times New Roman" w:hAnsi="Times New Roman"/>
          <w:sz w:val="20"/>
          <w:szCs w:val="20"/>
          <w:u w:val="single" w:color="auto"/>
          <w:color w:val="auto"/>
        </w:rPr>
        <w:t>EXHIBITS</w:t>
      </w:r>
    </w:p>
    <w:p>
      <w:pPr>
        <w:spacing w:after="0" w:line="6" w:lineRule="exact"/>
        <w:rPr>
          <w:sz w:val="20"/>
          <w:szCs w:val="20"/>
          <w:color w:val="auto"/>
        </w:rPr>
      </w:pPr>
    </w:p>
    <w:p>
      <w:pPr>
        <w:jc w:val="right"/>
        <w:ind w:right="481"/>
        <w:spacing w:after="0"/>
        <w:rPr>
          <w:sz w:val="20"/>
          <w:szCs w:val="20"/>
          <w:color w:val="auto"/>
        </w:rPr>
      </w:pPr>
      <w:r>
        <w:rPr>
          <w:rFonts w:ascii="Times New Roman" w:cs="Times New Roman" w:eastAsia="Times New Roman" w:hAnsi="Times New Roman"/>
          <w:sz w:val="20"/>
          <w:szCs w:val="20"/>
          <w:color w:val="auto"/>
        </w:rPr>
        <w:t>Exhibit A-1</w:t>
      </w:r>
    </w:p>
    <w:p>
      <w:pPr>
        <w:spacing w:after="0" w:line="3" w:lineRule="exact"/>
        <w:rPr>
          <w:sz w:val="20"/>
          <w:szCs w:val="20"/>
          <w:color w:val="auto"/>
        </w:rPr>
      </w:pPr>
    </w:p>
    <w:p>
      <w:pPr>
        <w:jc w:val="right"/>
        <w:ind w:right="481"/>
        <w:spacing w:after="0"/>
        <w:rPr>
          <w:sz w:val="20"/>
          <w:szCs w:val="20"/>
          <w:color w:val="auto"/>
        </w:rPr>
      </w:pPr>
      <w:r>
        <w:rPr>
          <w:rFonts w:ascii="Times New Roman" w:cs="Times New Roman" w:eastAsia="Times New Roman" w:hAnsi="Times New Roman"/>
          <w:sz w:val="20"/>
          <w:szCs w:val="20"/>
          <w:color w:val="auto"/>
        </w:rPr>
        <w:t>Exhibit A-2</w:t>
      </w:r>
    </w:p>
    <w:p>
      <w:pPr>
        <w:spacing w:after="0" w:line="11" w:lineRule="exact"/>
        <w:rPr>
          <w:sz w:val="20"/>
          <w:szCs w:val="20"/>
          <w:color w:val="auto"/>
        </w:rPr>
      </w:pPr>
    </w:p>
    <w:p>
      <w:pPr>
        <w:jc w:val="right"/>
        <w:ind w:right="481"/>
        <w:spacing w:after="0"/>
        <w:rPr>
          <w:sz w:val="20"/>
          <w:szCs w:val="20"/>
          <w:color w:val="auto"/>
        </w:rPr>
      </w:pPr>
      <w:r>
        <w:rPr>
          <w:rFonts w:ascii="Times New Roman" w:cs="Times New Roman" w:eastAsia="Times New Roman" w:hAnsi="Times New Roman"/>
          <w:sz w:val="20"/>
          <w:szCs w:val="20"/>
          <w:color w:val="auto"/>
        </w:rPr>
        <w:t>Exhibit A-3</w:t>
      </w:r>
    </w:p>
    <w:p>
      <w:pPr>
        <w:spacing w:after="0" w:line="5" w:lineRule="exact"/>
        <w:rPr>
          <w:sz w:val="20"/>
          <w:szCs w:val="20"/>
          <w:color w:val="auto"/>
        </w:rPr>
      </w:pPr>
    </w:p>
    <w:p>
      <w:pPr>
        <w:jc w:val="right"/>
        <w:ind w:right="481"/>
        <w:spacing w:after="0"/>
        <w:rPr>
          <w:sz w:val="20"/>
          <w:szCs w:val="20"/>
          <w:color w:val="auto"/>
        </w:rPr>
      </w:pPr>
      <w:r>
        <w:rPr>
          <w:rFonts w:ascii="Times New Roman" w:cs="Times New Roman" w:eastAsia="Times New Roman" w:hAnsi="Times New Roman"/>
          <w:sz w:val="20"/>
          <w:szCs w:val="20"/>
          <w:color w:val="auto"/>
        </w:rPr>
        <w:t>Exhibit A-4</w:t>
      </w:r>
    </w:p>
    <w:p>
      <w:pPr>
        <w:spacing w:after="0" w:line="3" w:lineRule="exact"/>
        <w:rPr>
          <w:sz w:val="20"/>
          <w:szCs w:val="20"/>
          <w:color w:val="auto"/>
        </w:rPr>
      </w:pPr>
    </w:p>
    <w:p>
      <w:pPr>
        <w:jc w:val="right"/>
        <w:ind w:right="481"/>
        <w:spacing w:after="0"/>
        <w:rPr>
          <w:sz w:val="20"/>
          <w:szCs w:val="20"/>
          <w:color w:val="auto"/>
        </w:rPr>
      </w:pPr>
      <w:r>
        <w:rPr>
          <w:rFonts w:ascii="Times New Roman" w:cs="Times New Roman" w:eastAsia="Times New Roman" w:hAnsi="Times New Roman"/>
          <w:sz w:val="20"/>
          <w:szCs w:val="20"/>
          <w:color w:val="auto"/>
        </w:rPr>
        <w:t>Exhibit A-5</w:t>
      </w:r>
    </w:p>
    <w:p>
      <w:pPr>
        <w:spacing w:after="0" w:line="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9"/>
          <w:szCs w:val="19"/>
          <w:color w:val="auto"/>
        </w:rPr>
        <w:t>Exhibit A-6</w:t>
      </w:r>
    </w:p>
    <w:p>
      <w:pPr>
        <w:spacing w:after="0" w:line="1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color w:val="auto"/>
        </w:rPr>
        <w:t>Exhibit B</w:t>
      </w:r>
    </w:p>
    <w:p>
      <w:pPr>
        <w:spacing w:after="0" w:line="1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color w:val="auto"/>
        </w:rPr>
        <w:t>Exhibit C</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301">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14"/>
          <w:szCs w:val="14"/>
          <w:color w:val="FF0000"/>
          <w:strike w:val="1"/>
        </w:rPr>
        <w:t xml:space="preserve"> 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259" w:hanging="259"/>
        <w:spacing w:after="0"/>
        <w:tabs>
          <w:tab w:leader="none" w:pos="259"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Form of US Revolving Credit Note</w:t>
      </w:r>
    </w:p>
    <w:p>
      <w:pPr>
        <w:spacing w:after="0" w:line="19" w:lineRule="exact"/>
        <w:rPr>
          <w:rFonts w:ascii="Times New Roman" w:cs="Times New Roman" w:eastAsia="Times New Roman" w:hAnsi="Times New Roman"/>
          <w:sz w:val="20"/>
          <w:szCs w:val="20"/>
          <w:color w:val="auto"/>
        </w:rPr>
      </w:pPr>
    </w:p>
    <w:p>
      <w:pPr>
        <w:ind w:left="259" w:hanging="259"/>
        <w:spacing w:after="0"/>
        <w:tabs>
          <w:tab w:leader="none" w:pos="259"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Form of Canadian Revolving Credit Note</w:t>
      </w:r>
    </w:p>
    <w:p>
      <w:pPr>
        <w:spacing w:after="0" w:line="8" w:lineRule="exact"/>
        <w:rPr>
          <w:rFonts w:ascii="Times New Roman" w:cs="Times New Roman" w:eastAsia="Times New Roman" w:hAnsi="Times New Roman"/>
          <w:sz w:val="19"/>
          <w:szCs w:val="19"/>
          <w:color w:val="auto"/>
        </w:rPr>
      </w:pPr>
    </w:p>
    <w:p>
      <w:pPr>
        <w:ind w:left="259" w:hanging="259"/>
        <w:spacing w:after="0" w:line="237" w:lineRule="auto"/>
        <w:tabs>
          <w:tab w:leader="none" w:pos="259"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Form of US Swingline Note</w:t>
      </w:r>
    </w:p>
    <w:p>
      <w:pPr>
        <w:ind w:left="259" w:hanging="259"/>
        <w:spacing w:after="0" w:line="223" w:lineRule="auto"/>
        <w:tabs>
          <w:tab w:leader="none" w:pos="259"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Form of Canadian Swingline Note</w:t>
      </w:r>
    </w:p>
    <w:p>
      <w:pPr>
        <w:ind w:left="259" w:hanging="259"/>
        <w:spacing w:after="0" w:line="237" w:lineRule="auto"/>
        <w:tabs>
          <w:tab w:leader="none" w:pos="259"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Form of US Term Loan Note</w:t>
      </w:r>
    </w:p>
    <w:p>
      <w:pPr>
        <w:ind w:left="259" w:hanging="259"/>
        <w:spacing w:after="0" w:line="237" w:lineRule="auto"/>
        <w:tabs>
          <w:tab w:leader="none" w:pos="259"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Form of Canadian Term Loan Note</w:t>
      </w:r>
    </w:p>
    <w:p>
      <w:pPr>
        <w:ind w:left="259" w:hanging="259"/>
        <w:spacing w:after="0" w:line="237" w:lineRule="auto"/>
        <w:tabs>
          <w:tab w:leader="none" w:pos="259"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Form of Notice of Borrowing</w:t>
      </w:r>
    </w:p>
    <w:p>
      <w:pPr>
        <w:ind w:left="259" w:hanging="259"/>
        <w:spacing w:after="0"/>
        <w:tabs>
          <w:tab w:leader="none" w:pos="259"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Form of Notice of Account Designation</w:t>
      </w:r>
    </w:p>
    <w:p>
      <w:pPr>
        <w:sectPr>
          <w:pgSz w:w="11900" w:h="16838" w:orient="portrait"/>
          <w:cols w:equalWidth="0" w:num="2">
            <w:col w:w="2201" w:space="720"/>
            <w:col w:w="7218"/>
          </w:cols>
          <w:pgMar w:left="320" w:top="1400" w:right="1440" w:bottom="1440" w:gutter="0" w:footer="0" w:header="0"/>
        </w:sectPr>
      </w:pPr>
    </w:p>
    <w:bookmarkStart w:id="147" w:name="page148"/>
    <w:bookmarkEnd w:id="147"/>
    <w:tbl>
      <w:tblPr>
        <w:tblLayout w:type="fixed"/>
        <w:tblInd w:w="78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Exhibit D</w:t>
            </w:r>
          </w:p>
        </w:tc>
        <w:tc>
          <w:tcPr>
            <w:tcW w:w="30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76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Form of Notice of Prepayment</w:t>
            </w:r>
          </w:p>
        </w:tc>
        <w:tc>
          <w:tcPr>
            <w:tcW w:w="0" w:type="dxa"/>
            <w:vAlign w:val="bottom"/>
          </w:tcPr>
          <w:p>
            <w:pPr>
              <w:spacing w:after="0"/>
              <w:rPr>
                <w:sz w:val="1"/>
                <w:szCs w:val="1"/>
                <w:color w:val="auto"/>
              </w:rPr>
            </w:pPr>
          </w:p>
        </w:tc>
      </w:tr>
      <w:tr>
        <w:trPr>
          <w:trHeight w:val="214"/>
        </w:trPr>
        <w:tc>
          <w:tcPr>
            <w:tcW w:w="84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Exhibit E</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340" w:type="dxa"/>
            <w:vAlign w:val="bottom"/>
          </w:tcPr>
          <w:p>
            <w:pPr>
              <w:ind w:left="740"/>
              <w:spacing w:after="0" w:line="214" w:lineRule="exact"/>
              <w:rPr>
                <w:sz w:val="20"/>
                <w:szCs w:val="20"/>
                <w:color w:val="auto"/>
              </w:rPr>
            </w:pPr>
            <w:r>
              <w:rPr>
                <w:rFonts w:ascii="Times New Roman" w:cs="Times New Roman" w:eastAsia="Times New Roman" w:hAnsi="Times New Roman"/>
                <w:sz w:val="20"/>
                <w:szCs w:val="20"/>
                <w:color w:val="auto"/>
              </w:rPr>
              <w:t>-  Form of Notice of Conversion/Continuation</w:t>
            </w:r>
          </w:p>
        </w:tc>
        <w:tc>
          <w:tcPr>
            <w:tcW w:w="0" w:type="dxa"/>
            <w:vAlign w:val="bottom"/>
          </w:tcPr>
          <w:p>
            <w:pPr>
              <w:spacing w:after="0"/>
              <w:rPr>
                <w:sz w:val="1"/>
                <w:szCs w:val="1"/>
                <w:color w:val="auto"/>
              </w:rPr>
            </w:pPr>
          </w:p>
        </w:tc>
      </w:tr>
      <w:tr>
        <w:trPr>
          <w:trHeight w:val="227"/>
        </w:trPr>
        <w:tc>
          <w:tcPr>
            <w:tcW w:w="1400" w:type="dxa"/>
            <w:vAlign w:val="bottom"/>
            <w:gridSpan w:val="3"/>
          </w:tcPr>
          <w:p>
            <w:pPr>
              <w:spacing w:after="0" w:line="228" w:lineRule="exact"/>
              <w:rPr>
                <w:sz w:val="20"/>
                <w:szCs w:val="20"/>
                <w:color w:val="auto"/>
              </w:rPr>
            </w:pPr>
            <w:r>
              <w:rPr>
                <w:rFonts w:ascii="Times New Roman" w:cs="Times New Roman" w:eastAsia="Times New Roman" w:hAnsi="Times New Roman"/>
                <w:sz w:val="20"/>
                <w:szCs w:val="20"/>
                <w:color w:val="auto"/>
                <w:w w:val="99"/>
              </w:rPr>
              <w:t>Exhibit F Exhibit</w:t>
            </w:r>
          </w:p>
        </w:tc>
        <w:tc>
          <w:tcPr>
            <w:tcW w:w="7340" w:type="dxa"/>
            <w:vAlign w:val="bottom"/>
          </w:tcPr>
          <w:p>
            <w:pPr>
              <w:ind w:left="740"/>
              <w:spacing w:after="0" w:line="228" w:lineRule="exact"/>
              <w:rPr>
                <w:sz w:val="20"/>
                <w:szCs w:val="20"/>
                <w:color w:val="auto"/>
              </w:rPr>
            </w:pPr>
            <w:r>
              <w:rPr>
                <w:rFonts w:ascii="Times New Roman" w:cs="Times New Roman" w:eastAsia="Times New Roman" w:hAnsi="Times New Roman"/>
                <w:sz w:val="20"/>
                <w:szCs w:val="20"/>
                <w:color w:val="auto"/>
              </w:rPr>
              <w:t>-  Form of Officer’s Compliance Certificate</w:t>
            </w:r>
          </w:p>
        </w:tc>
        <w:tc>
          <w:tcPr>
            <w:tcW w:w="0" w:type="dxa"/>
            <w:vAlign w:val="bottom"/>
          </w:tcPr>
          <w:p>
            <w:pPr>
              <w:spacing w:after="0"/>
              <w:rPr>
                <w:sz w:val="1"/>
                <w:szCs w:val="1"/>
                <w:color w:val="auto"/>
              </w:rPr>
            </w:pPr>
          </w:p>
        </w:tc>
      </w:tr>
      <w:tr>
        <w:trPr>
          <w:trHeight w:val="227"/>
        </w:trPr>
        <w:tc>
          <w:tcPr>
            <w:tcW w:w="114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w w:val="97"/>
              </w:rPr>
              <w:t>G Exhibit H-1</w:t>
            </w:r>
          </w:p>
        </w:tc>
        <w:tc>
          <w:tcPr>
            <w:tcW w:w="260" w:type="dxa"/>
            <w:vAlign w:val="bottom"/>
          </w:tcPr>
          <w:p>
            <w:pPr>
              <w:spacing w:after="0"/>
              <w:rPr>
                <w:sz w:val="19"/>
                <w:szCs w:val="19"/>
                <w:color w:val="auto"/>
              </w:rPr>
            </w:pPr>
          </w:p>
        </w:tc>
        <w:tc>
          <w:tcPr>
            <w:tcW w:w="7340" w:type="dxa"/>
            <w:vAlign w:val="bottom"/>
          </w:tcPr>
          <w:p>
            <w:pPr>
              <w:ind w:left="740"/>
              <w:spacing w:after="0" w:line="228" w:lineRule="exact"/>
              <w:rPr>
                <w:sz w:val="20"/>
                <w:szCs w:val="20"/>
                <w:color w:val="auto"/>
              </w:rPr>
            </w:pPr>
            <w:r>
              <w:rPr>
                <w:rFonts w:ascii="Times New Roman" w:cs="Times New Roman" w:eastAsia="Times New Roman" w:hAnsi="Times New Roman"/>
                <w:sz w:val="20"/>
                <w:szCs w:val="20"/>
                <w:color w:val="auto"/>
              </w:rPr>
              <w:t>-  Form of Assignment and Assumption</w:t>
            </w:r>
          </w:p>
        </w:tc>
        <w:tc>
          <w:tcPr>
            <w:tcW w:w="0" w:type="dxa"/>
            <w:vAlign w:val="bottom"/>
          </w:tcPr>
          <w:p>
            <w:pPr>
              <w:spacing w:after="0"/>
              <w:rPr>
                <w:sz w:val="1"/>
                <w:szCs w:val="1"/>
                <w:color w:val="auto"/>
              </w:rPr>
            </w:pPr>
          </w:p>
        </w:tc>
      </w:tr>
      <w:tr>
        <w:trPr>
          <w:trHeight w:val="241"/>
        </w:trPr>
        <w:tc>
          <w:tcPr>
            <w:tcW w:w="8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Exhibit</w:t>
            </w:r>
          </w:p>
        </w:tc>
        <w:tc>
          <w:tcPr>
            <w:tcW w:w="560" w:type="dxa"/>
            <w:vAlign w:val="bottom"/>
            <w:gridSpan w:val="2"/>
            <w:vMerge w:val="restart"/>
          </w:tcPr>
          <w:p>
            <w:pPr>
              <w:ind w:left="180"/>
              <w:spacing w:after="0"/>
              <w:rPr>
                <w:sz w:val="20"/>
                <w:szCs w:val="20"/>
                <w:color w:val="auto"/>
              </w:rPr>
            </w:pPr>
            <w:r>
              <w:rPr>
                <w:rFonts w:ascii="Times New Roman" w:cs="Times New Roman" w:eastAsia="Times New Roman" w:hAnsi="Times New Roman"/>
                <w:sz w:val="20"/>
                <w:szCs w:val="20"/>
                <w:color w:val="auto"/>
              </w:rPr>
              <w:t>H-2</w:t>
            </w:r>
          </w:p>
        </w:tc>
        <w:tc>
          <w:tcPr>
            <w:tcW w:w="73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  Form of U.S. Tax Compliance Certificate (Non-Partnership Foreign Lenders)</w:t>
            </w:r>
          </w:p>
        </w:tc>
        <w:tc>
          <w:tcPr>
            <w:tcW w:w="0" w:type="dxa"/>
            <w:vAlign w:val="bottom"/>
          </w:tcPr>
          <w:p>
            <w:pPr>
              <w:spacing w:after="0"/>
              <w:rPr>
                <w:sz w:val="1"/>
                <w:szCs w:val="1"/>
                <w:color w:val="auto"/>
              </w:rPr>
            </w:pPr>
          </w:p>
        </w:tc>
      </w:tr>
      <w:tr>
        <w:trPr>
          <w:trHeight w:val="161"/>
        </w:trPr>
        <w:tc>
          <w:tcPr>
            <w:tcW w:w="840" w:type="dxa"/>
            <w:vAlign w:val="bottom"/>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7340" w:type="dxa"/>
            <w:vAlign w:val="bottom"/>
            <w:vMerge w:val="restart"/>
          </w:tcPr>
          <w:p>
            <w:pPr>
              <w:ind w:left="740"/>
              <w:spacing w:after="0" w:line="228" w:lineRule="exact"/>
              <w:rPr>
                <w:sz w:val="20"/>
                <w:szCs w:val="20"/>
                <w:color w:val="auto"/>
              </w:rPr>
            </w:pPr>
            <w:r>
              <w:rPr>
                <w:rFonts w:ascii="Times New Roman" w:cs="Times New Roman" w:eastAsia="Times New Roman" w:hAnsi="Times New Roman"/>
                <w:sz w:val="20"/>
                <w:szCs w:val="20"/>
                <w:color w:val="auto"/>
                <w:w w:val="98"/>
              </w:rPr>
              <w:t>-  Form of U.S. Tax Compliance Certificate (Non-Partnership Foreign Participants)</w:t>
            </w:r>
          </w:p>
        </w:tc>
        <w:tc>
          <w:tcPr>
            <w:tcW w:w="0" w:type="dxa"/>
            <w:vAlign w:val="bottom"/>
          </w:tcPr>
          <w:p>
            <w:pPr>
              <w:spacing w:after="0"/>
              <w:rPr>
                <w:sz w:val="1"/>
                <w:szCs w:val="1"/>
                <w:color w:val="auto"/>
              </w:rPr>
            </w:pPr>
          </w:p>
        </w:tc>
      </w:tr>
      <w:tr>
        <w:trPr>
          <w:trHeight w:val="66"/>
        </w:trPr>
        <w:tc>
          <w:tcPr>
            <w:tcW w:w="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8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Exhibit</w:t>
            </w:r>
          </w:p>
        </w:tc>
        <w:tc>
          <w:tcPr>
            <w:tcW w:w="560" w:type="dxa"/>
            <w:vAlign w:val="bottom"/>
            <w:gridSpan w:val="2"/>
            <w:vMerge w:val="restart"/>
          </w:tcPr>
          <w:p>
            <w:pPr>
              <w:ind w:left="180"/>
              <w:spacing w:after="0"/>
              <w:rPr>
                <w:sz w:val="20"/>
                <w:szCs w:val="20"/>
                <w:color w:val="auto"/>
              </w:rPr>
            </w:pPr>
            <w:r>
              <w:rPr>
                <w:rFonts w:ascii="Times New Roman" w:cs="Times New Roman" w:eastAsia="Times New Roman" w:hAnsi="Times New Roman"/>
                <w:sz w:val="20"/>
                <w:szCs w:val="20"/>
                <w:color w:val="auto"/>
              </w:rPr>
              <w:t>H-3</w:t>
            </w:r>
          </w:p>
        </w:tc>
        <w:tc>
          <w:tcPr>
            <w:tcW w:w="73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  Form of U.S. Tax Compliance Certificate (Foreign Participant Partnerships)</w:t>
            </w:r>
          </w:p>
        </w:tc>
        <w:tc>
          <w:tcPr>
            <w:tcW w:w="0" w:type="dxa"/>
            <w:vAlign w:val="bottom"/>
          </w:tcPr>
          <w:p>
            <w:pPr>
              <w:spacing w:after="0"/>
              <w:rPr>
                <w:sz w:val="1"/>
                <w:szCs w:val="1"/>
                <w:color w:val="auto"/>
              </w:rPr>
            </w:pPr>
          </w:p>
        </w:tc>
      </w:tr>
      <w:tr>
        <w:trPr>
          <w:trHeight w:val="148"/>
        </w:trPr>
        <w:tc>
          <w:tcPr>
            <w:tcW w:w="840" w:type="dxa"/>
            <w:vAlign w:val="bottom"/>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7340" w:type="dxa"/>
            <w:vAlign w:val="bottom"/>
            <w:vMerge w:val="restart"/>
          </w:tcPr>
          <w:p>
            <w:pPr>
              <w:ind w:left="740"/>
              <w:spacing w:after="0" w:line="228" w:lineRule="exact"/>
              <w:rPr>
                <w:sz w:val="20"/>
                <w:szCs w:val="20"/>
                <w:color w:val="auto"/>
              </w:rPr>
            </w:pPr>
            <w:r>
              <w:rPr>
                <w:rFonts w:ascii="Times New Roman" w:cs="Times New Roman" w:eastAsia="Times New Roman" w:hAnsi="Times New Roman"/>
                <w:sz w:val="20"/>
                <w:szCs w:val="20"/>
                <w:color w:val="auto"/>
              </w:rPr>
              <w:t>-  Form of U.S. Tax Compliance Certificate (Foreign Lender Partnerships)</w:t>
            </w:r>
          </w:p>
        </w:tc>
        <w:tc>
          <w:tcPr>
            <w:tcW w:w="0" w:type="dxa"/>
            <w:vAlign w:val="bottom"/>
          </w:tcPr>
          <w:p>
            <w:pPr>
              <w:spacing w:after="0"/>
              <w:rPr>
                <w:sz w:val="1"/>
                <w:szCs w:val="1"/>
                <w:color w:val="auto"/>
              </w:rPr>
            </w:pPr>
          </w:p>
        </w:tc>
      </w:tr>
      <w:tr>
        <w:trPr>
          <w:trHeight w:val="80"/>
        </w:trPr>
        <w:tc>
          <w:tcPr>
            <w:tcW w:w="8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8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Exhibit</w:t>
            </w:r>
          </w:p>
        </w:tc>
        <w:tc>
          <w:tcPr>
            <w:tcW w:w="560" w:type="dxa"/>
            <w:vAlign w:val="bottom"/>
            <w:gridSpan w:val="2"/>
            <w:vMerge w:val="restart"/>
          </w:tcPr>
          <w:p>
            <w:pPr>
              <w:ind w:left="180"/>
              <w:spacing w:after="0"/>
              <w:rPr>
                <w:sz w:val="20"/>
                <w:szCs w:val="20"/>
                <w:color w:val="auto"/>
              </w:rPr>
            </w:pPr>
            <w:r>
              <w:rPr>
                <w:rFonts w:ascii="Times New Roman" w:cs="Times New Roman" w:eastAsia="Times New Roman" w:hAnsi="Times New Roman"/>
                <w:sz w:val="20"/>
                <w:szCs w:val="20"/>
                <w:color w:val="auto"/>
              </w:rPr>
              <w:t>H-4</w:t>
            </w:r>
          </w:p>
        </w:tc>
        <w:tc>
          <w:tcPr>
            <w:tcW w:w="73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  Additional Borrower Request and Assumption Agreement</w:t>
            </w:r>
          </w:p>
        </w:tc>
        <w:tc>
          <w:tcPr>
            <w:tcW w:w="0" w:type="dxa"/>
            <w:vAlign w:val="bottom"/>
          </w:tcPr>
          <w:p>
            <w:pPr>
              <w:spacing w:after="0"/>
              <w:rPr>
                <w:sz w:val="1"/>
                <w:szCs w:val="1"/>
                <w:color w:val="auto"/>
              </w:rPr>
            </w:pPr>
          </w:p>
        </w:tc>
      </w:tr>
      <w:tr>
        <w:trPr>
          <w:trHeight w:val="107"/>
        </w:trPr>
        <w:tc>
          <w:tcPr>
            <w:tcW w:w="840" w:type="dxa"/>
            <w:vAlign w:val="bottom"/>
            <w:vMerge w:val="continue"/>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7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5"/>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Exhibit I</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Exhibit J</w:t>
            </w:r>
          </w:p>
        </w:tc>
        <w:tc>
          <w:tcPr>
            <w:tcW w:w="30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7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Additional Borrower Notice</w:t>
            </w:r>
          </w:p>
        </w:tc>
        <w:tc>
          <w:tcPr>
            <w:tcW w:w="0" w:type="dxa"/>
            <w:vAlign w:val="bottom"/>
          </w:tcPr>
          <w:p>
            <w:pPr>
              <w:spacing w:after="0"/>
              <w:rPr>
                <w:sz w:val="1"/>
                <w:szCs w:val="1"/>
                <w:color w:val="auto"/>
              </w:rPr>
            </w:pPr>
          </w:p>
        </w:tc>
      </w:tr>
      <w:tr>
        <w:trPr>
          <w:trHeight w:val="397"/>
        </w:trPr>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96"/>
              </w:rPr>
              <w:t>SCHEDULES</w:t>
            </w:r>
          </w:p>
        </w:tc>
        <w:tc>
          <w:tcPr>
            <w:tcW w:w="260" w:type="dxa"/>
            <w:vAlign w:val="bottom"/>
          </w:tcPr>
          <w:p>
            <w:pPr>
              <w:spacing w:after="0"/>
              <w:rPr>
                <w:sz w:val="24"/>
                <w:szCs w:val="24"/>
                <w:color w:val="auto"/>
              </w:rPr>
            </w:pPr>
          </w:p>
        </w:tc>
        <w:tc>
          <w:tcPr>
            <w:tcW w:w="73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Commitments and Commitment Percentages</w:t>
            </w:r>
          </w:p>
        </w:tc>
        <w:tc>
          <w:tcPr>
            <w:tcW w:w="0" w:type="dxa"/>
            <w:vAlign w:val="bottom"/>
          </w:tcPr>
          <w:p>
            <w:pPr>
              <w:spacing w:after="0"/>
              <w:rPr>
                <w:sz w:val="1"/>
                <w:szCs w:val="1"/>
                <w:color w:val="auto"/>
              </w:rPr>
            </w:pPr>
          </w:p>
        </w:tc>
      </w:tr>
      <w:tr>
        <w:trPr>
          <w:trHeight w:val="225"/>
        </w:trPr>
        <w:tc>
          <w:tcPr>
            <w:tcW w:w="1400" w:type="dxa"/>
            <w:vAlign w:val="bottom"/>
            <w:gridSpan w:val="3"/>
          </w:tcPr>
          <w:p>
            <w:pPr>
              <w:spacing w:after="0" w:line="225" w:lineRule="exact"/>
              <w:rPr>
                <w:sz w:val="20"/>
                <w:szCs w:val="20"/>
                <w:color w:val="auto"/>
              </w:rPr>
            </w:pPr>
            <w:r>
              <w:rPr>
                <w:rFonts w:ascii="Times New Roman" w:cs="Times New Roman" w:eastAsia="Times New Roman" w:hAnsi="Times New Roman"/>
                <w:sz w:val="20"/>
                <w:szCs w:val="20"/>
                <w:color w:val="auto"/>
              </w:rPr>
              <w:t>Schedule 1.1(a)</w:t>
            </w:r>
          </w:p>
        </w:tc>
        <w:tc>
          <w:tcPr>
            <w:tcW w:w="7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00" w:type="dxa"/>
            <w:vAlign w:val="bottom"/>
            <w:gridSpan w:val="3"/>
          </w:tcPr>
          <w:p>
            <w:pPr>
              <w:spacing w:after="0" w:line="224" w:lineRule="exact"/>
              <w:rPr>
                <w:sz w:val="20"/>
                <w:szCs w:val="20"/>
                <w:color w:val="auto"/>
              </w:rPr>
            </w:pPr>
            <w:r>
              <w:rPr>
                <w:rFonts w:ascii="Times New Roman" w:cs="Times New Roman" w:eastAsia="Times New Roman" w:hAnsi="Times New Roman"/>
                <w:sz w:val="20"/>
                <w:szCs w:val="20"/>
                <w:color w:val="auto"/>
              </w:rPr>
              <w:t>Schedule 1.1(b)</w:t>
            </w:r>
          </w:p>
        </w:tc>
        <w:tc>
          <w:tcPr>
            <w:tcW w:w="7340" w:type="dxa"/>
            <w:vAlign w:val="bottom"/>
          </w:tcPr>
          <w:p>
            <w:pPr>
              <w:ind w:left="40"/>
              <w:spacing w:after="0" w:line="224" w:lineRule="exact"/>
              <w:rPr>
                <w:sz w:val="20"/>
                <w:szCs w:val="20"/>
                <w:color w:val="auto"/>
              </w:rPr>
            </w:pPr>
            <w:r>
              <w:rPr>
                <w:rFonts w:ascii="Times New Roman" w:cs="Times New Roman" w:eastAsia="Times New Roman" w:hAnsi="Times New Roman"/>
                <w:sz w:val="20"/>
                <w:szCs w:val="20"/>
                <w:color w:val="auto"/>
              </w:rPr>
              <w:t>-  Existing Letters of Credit</w:t>
            </w:r>
          </w:p>
        </w:tc>
        <w:tc>
          <w:tcPr>
            <w:tcW w:w="0" w:type="dxa"/>
            <w:vAlign w:val="bottom"/>
          </w:tcPr>
          <w:p>
            <w:pPr>
              <w:spacing w:after="0"/>
              <w:rPr>
                <w:sz w:val="1"/>
                <w:szCs w:val="1"/>
                <w:color w:val="auto"/>
              </w:rPr>
            </w:pPr>
          </w:p>
        </w:tc>
      </w:tr>
      <w:tr>
        <w:trPr>
          <w:trHeight w:val="218"/>
        </w:trPr>
        <w:tc>
          <w:tcPr>
            <w:tcW w:w="1400" w:type="dxa"/>
            <w:vAlign w:val="bottom"/>
            <w:gridSpan w:val="3"/>
          </w:tcPr>
          <w:p>
            <w:pPr>
              <w:spacing w:after="0" w:line="218" w:lineRule="exact"/>
              <w:rPr>
                <w:sz w:val="20"/>
                <w:szCs w:val="20"/>
                <w:color w:val="auto"/>
              </w:rPr>
            </w:pPr>
            <w:r>
              <w:rPr>
                <w:rFonts w:ascii="Times New Roman" w:cs="Times New Roman" w:eastAsia="Times New Roman" w:hAnsi="Times New Roman"/>
                <w:sz w:val="20"/>
                <w:szCs w:val="20"/>
                <w:color w:val="auto"/>
              </w:rPr>
              <w:t>Schedule 1.1(c)</w:t>
            </w:r>
          </w:p>
        </w:tc>
        <w:tc>
          <w:tcPr>
            <w:tcW w:w="7340" w:type="dxa"/>
            <w:vAlign w:val="bottom"/>
          </w:tcPr>
          <w:p>
            <w:pPr>
              <w:ind w:left="20"/>
              <w:spacing w:after="0" w:line="218" w:lineRule="exact"/>
              <w:rPr>
                <w:sz w:val="20"/>
                <w:szCs w:val="20"/>
                <w:color w:val="auto"/>
              </w:rPr>
            </w:pP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Historical Financial Covenant Amounts</w:t>
            </w:r>
          </w:p>
        </w:tc>
        <w:tc>
          <w:tcPr>
            <w:tcW w:w="0" w:type="dxa"/>
            <w:vAlign w:val="bottom"/>
          </w:tcPr>
          <w:p>
            <w:pPr>
              <w:spacing w:after="0"/>
              <w:rPr>
                <w:sz w:val="1"/>
                <w:szCs w:val="1"/>
                <w:color w:val="auto"/>
              </w:rPr>
            </w:pPr>
          </w:p>
        </w:tc>
      </w:tr>
      <w:tr>
        <w:trPr>
          <w:trHeight w:val="227"/>
        </w:trPr>
        <w:tc>
          <w:tcPr>
            <w:tcW w:w="1400" w:type="dxa"/>
            <w:vAlign w:val="bottom"/>
            <w:gridSpan w:val="3"/>
          </w:tcPr>
          <w:p>
            <w:pPr>
              <w:spacing w:after="0" w:line="228" w:lineRule="exact"/>
              <w:rPr>
                <w:sz w:val="20"/>
                <w:szCs w:val="20"/>
                <w:color w:val="auto"/>
              </w:rPr>
            </w:pPr>
            <w:r>
              <w:rPr>
                <w:rFonts w:ascii="Times New Roman" w:cs="Times New Roman" w:eastAsia="Times New Roman" w:hAnsi="Times New Roman"/>
                <w:sz w:val="20"/>
                <w:szCs w:val="20"/>
                <w:color w:val="auto"/>
              </w:rPr>
              <w:t>Schedule 1.1(d)</w:t>
            </w:r>
          </w:p>
        </w:tc>
        <w:tc>
          <w:tcPr>
            <w:tcW w:w="7340" w:type="dxa"/>
            <w:vAlign w:val="bottom"/>
          </w:tcPr>
          <w:p>
            <w:pPr>
              <w:ind w:left="40"/>
              <w:spacing w:after="0" w:line="228" w:lineRule="exact"/>
              <w:rPr>
                <w:sz w:val="20"/>
                <w:szCs w:val="20"/>
                <w:color w:val="auto"/>
              </w:rPr>
            </w:pPr>
            <w:r>
              <w:rPr>
                <w:rFonts w:ascii="Times New Roman" w:cs="Times New Roman" w:eastAsia="Times New Roman" w:hAnsi="Times New Roman"/>
                <w:sz w:val="20"/>
                <w:szCs w:val="20"/>
                <w:color w:val="auto"/>
              </w:rPr>
              <w:t>-  Initial Issuing Lender Commitments</w:t>
            </w:r>
          </w:p>
        </w:tc>
        <w:tc>
          <w:tcPr>
            <w:tcW w:w="0" w:type="dxa"/>
            <w:vAlign w:val="bottom"/>
          </w:tcPr>
          <w:p>
            <w:pPr>
              <w:spacing w:after="0"/>
              <w:rPr>
                <w:sz w:val="1"/>
                <w:szCs w:val="1"/>
                <w:color w:val="auto"/>
              </w:rPr>
            </w:pPr>
          </w:p>
        </w:tc>
      </w:tr>
      <w:tr>
        <w:trPr>
          <w:trHeight w:val="227"/>
        </w:trPr>
        <w:tc>
          <w:tcPr>
            <w:tcW w:w="114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Schedule 7.1</w:t>
            </w:r>
          </w:p>
        </w:tc>
        <w:tc>
          <w:tcPr>
            <w:tcW w:w="260" w:type="dxa"/>
            <w:vAlign w:val="bottom"/>
          </w:tcPr>
          <w:p>
            <w:pPr>
              <w:ind w:left="60"/>
              <w:spacing w:after="0" w:line="228" w:lineRule="exact"/>
              <w:rPr>
                <w:sz w:val="20"/>
                <w:szCs w:val="20"/>
                <w:color w:val="auto"/>
              </w:rPr>
            </w:pPr>
            <w:r>
              <w:rPr>
                <w:rFonts w:ascii="Times New Roman" w:cs="Times New Roman" w:eastAsia="Times New Roman" w:hAnsi="Times New Roman"/>
                <w:sz w:val="20"/>
                <w:szCs w:val="20"/>
                <w:color w:val="auto"/>
              </w:rPr>
              <w:t>-</w:t>
            </w:r>
          </w:p>
        </w:tc>
        <w:tc>
          <w:tcPr>
            <w:tcW w:w="7340" w:type="dxa"/>
            <w:vAlign w:val="bottom"/>
          </w:tcPr>
          <w:p>
            <w:pPr>
              <w:ind w:left="80"/>
              <w:spacing w:after="0" w:line="228" w:lineRule="exact"/>
              <w:rPr>
                <w:sz w:val="20"/>
                <w:szCs w:val="20"/>
                <w:color w:val="auto"/>
              </w:rPr>
            </w:pPr>
            <w:r>
              <w:rPr>
                <w:rFonts w:ascii="Times New Roman" w:cs="Times New Roman" w:eastAsia="Times New Roman" w:hAnsi="Times New Roman"/>
                <w:sz w:val="20"/>
                <w:szCs w:val="20"/>
                <w:color w:val="auto"/>
              </w:rPr>
              <w:t>Jurisdictions of Organization and Qualification</w:t>
            </w:r>
          </w:p>
        </w:tc>
        <w:tc>
          <w:tcPr>
            <w:tcW w:w="0" w:type="dxa"/>
            <w:vAlign w:val="bottom"/>
          </w:tcPr>
          <w:p>
            <w:pPr>
              <w:spacing w:after="0"/>
              <w:rPr>
                <w:sz w:val="1"/>
                <w:szCs w:val="1"/>
                <w:color w:val="auto"/>
              </w:rPr>
            </w:pPr>
          </w:p>
        </w:tc>
      </w:tr>
      <w:tr>
        <w:trPr>
          <w:trHeight w:val="227"/>
        </w:trPr>
        <w:tc>
          <w:tcPr>
            <w:tcW w:w="114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Schedule 7.2</w:t>
            </w:r>
          </w:p>
        </w:tc>
        <w:tc>
          <w:tcPr>
            <w:tcW w:w="260" w:type="dxa"/>
            <w:vAlign w:val="bottom"/>
          </w:tcPr>
          <w:p>
            <w:pPr>
              <w:ind w:left="60"/>
              <w:spacing w:after="0" w:line="228" w:lineRule="exact"/>
              <w:rPr>
                <w:sz w:val="20"/>
                <w:szCs w:val="20"/>
                <w:color w:val="auto"/>
              </w:rPr>
            </w:pPr>
            <w:r>
              <w:rPr>
                <w:rFonts w:ascii="Times New Roman" w:cs="Times New Roman" w:eastAsia="Times New Roman" w:hAnsi="Times New Roman"/>
                <w:sz w:val="20"/>
                <w:szCs w:val="20"/>
                <w:color w:val="auto"/>
              </w:rPr>
              <w:t>-</w:t>
            </w:r>
          </w:p>
        </w:tc>
        <w:tc>
          <w:tcPr>
            <w:tcW w:w="7340" w:type="dxa"/>
            <w:vAlign w:val="bottom"/>
          </w:tcPr>
          <w:p>
            <w:pPr>
              <w:ind w:left="80"/>
              <w:spacing w:after="0" w:line="228" w:lineRule="exact"/>
              <w:rPr>
                <w:sz w:val="20"/>
                <w:szCs w:val="20"/>
                <w:color w:val="auto"/>
              </w:rPr>
            </w:pPr>
            <w:r>
              <w:rPr>
                <w:rFonts w:ascii="Times New Roman" w:cs="Times New Roman" w:eastAsia="Times New Roman" w:hAnsi="Times New Roman"/>
                <w:sz w:val="20"/>
                <w:szCs w:val="20"/>
                <w:color w:val="auto"/>
              </w:rPr>
              <w:t>Subsidiaries and Capitalization</w:t>
            </w:r>
          </w:p>
        </w:tc>
        <w:tc>
          <w:tcPr>
            <w:tcW w:w="0" w:type="dxa"/>
            <w:vAlign w:val="bottom"/>
          </w:tcPr>
          <w:p>
            <w:pPr>
              <w:spacing w:after="0"/>
              <w:rPr>
                <w:sz w:val="1"/>
                <w:szCs w:val="1"/>
                <w:color w:val="auto"/>
              </w:rPr>
            </w:pPr>
          </w:p>
        </w:tc>
      </w:tr>
      <w:tr>
        <w:trPr>
          <w:trHeight w:val="227"/>
        </w:trPr>
        <w:tc>
          <w:tcPr>
            <w:tcW w:w="114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Schedule 7.6</w:t>
            </w:r>
          </w:p>
        </w:tc>
        <w:tc>
          <w:tcPr>
            <w:tcW w:w="260" w:type="dxa"/>
            <w:vAlign w:val="bottom"/>
          </w:tcPr>
          <w:p>
            <w:pPr>
              <w:ind w:left="60"/>
              <w:spacing w:after="0" w:line="228" w:lineRule="exact"/>
              <w:rPr>
                <w:sz w:val="20"/>
                <w:szCs w:val="20"/>
                <w:color w:val="auto"/>
              </w:rPr>
            </w:pPr>
            <w:r>
              <w:rPr>
                <w:rFonts w:ascii="Times New Roman" w:cs="Times New Roman" w:eastAsia="Times New Roman" w:hAnsi="Times New Roman"/>
                <w:sz w:val="20"/>
                <w:szCs w:val="20"/>
                <w:color w:val="auto"/>
              </w:rPr>
              <w:t>-</w:t>
            </w:r>
          </w:p>
        </w:tc>
        <w:tc>
          <w:tcPr>
            <w:tcW w:w="7340" w:type="dxa"/>
            <w:vAlign w:val="bottom"/>
          </w:tcPr>
          <w:p>
            <w:pPr>
              <w:ind w:left="60"/>
              <w:spacing w:after="0" w:line="228" w:lineRule="exact"/>
              <w:rPr>
                <w:sz w:val="20"/>
                <w:szCs w:val="20"/>
                <w:color w:val="auto"/>
              </w:rPr>
            </w:pPr>
            <w:r>
              <w:rPr>
                <w:rFonts w:ascii="Times New Roman" w:cs="Times New Roman" w:eastAsia="Times New Roman" w:hAnsi="Times New Roman"/>
                <w:sz w:val="20"/>
                <w:szCs w:val="20"/>
                <w:color w:val="auto"/>
              </w:rPr>
              <w:t>Tax Matters</w:t>
            </w:r>
          </w:p>
        </w:tc>
        <w:tc>
          <w:tcPr>
            <w:tcW w:w="0" w:type="dxa"/>
            <w:vAlign w:val="bottom"/>
          </w:tcPr>
          <w:p>
            <w:pPr>
              <w:spacing w:after="0"/>
              <w:rPr>
                <w:sz w:val="1"/>
                <w:szCs w:val="1"/>
                <w:color w:val="auto"/>
              </w:rPr>
            </w:pPr>
          </w:p>
        </w:tc>
      </w:tr>
      <w:tr>
        <w:trPr>
          <w:trHeight w:val="214"/>
        </w:trPr>
        <w:tc>
          <w:tcPr>
            <w:tcW w:w="1140" w:type="dxa"/>
            <w:vAlign w:val="bottom"/>
            <w:gridSpan w:val="2"/>
          </w:tcPr>
          <w:p>
            <w:pPr>
              <w:spacing w:after="0" w:line="214" w:lineRule="exact"/>
              <w:rPr>
                <w:sz w:val="20"/>
                <w:szCs w:val="20"/>
                <w:color w:val="auto"/>
              </w:rPr>
            </w:pPr>
            <w:r>
              <w:rPr>
                <w:rFonts w:ascii="Times New Roman" w:cs="Times New Roman" w:eastAsia="Times New Roman" w:hAnsi="Times New Roman"/>
                <w:sz w:val="20"/>
                <w:szCs w:val="20"/>
                <w:color w:val="auto"/>
              </w:rPr>
              <w:t>Schedule 7.9</w:t>
            </w:r>
          </w:p>
        </w:tc>
        <w:tc>
          <w:tcPr>
            <w:tcW w:w="260" w:type="dxa"/>
            <w:vAlign w:val="bottom"/>
          </w:tcPr>
          <w:p>
            <w:pPr>
              <w:ind w:left="60"/>
              <w:spacing w:after="0" w:line="214" w:lineRule="exact"/>
              <w:rPr>
                <w:sz w:val="20"/>
                <w:szCs w:val="20"/>
                <w:color w:val="auto"/>
              </w:rPr>
            </w:pPr>
            <w:r>
              <w:rPr>
                <w:rFonts w:ascii="Times New Roman" w:cs="Times New Roman" w:eastAsia="Times New Roman" w:hAnsi="Times New Roman"/>
                <w:sz w:val="20"/>
                <w:szCs w:val="20"/>
                <w:color w:val="auto"/>
              </w:rPr>
              <w:t>-</w:t>
            </w:r>
          </w:p>
        </w:tc>
        <w:tc>
          <w:tcPr>
            <w:tcW w:w="7340" w:type="dxa"/>
            <w:vAlign w:val="bottom"/>
          </w:tcPr>
          <w:p>
            <w:pPr>
              <w:ind w:left="80"/>
              <w:spacing w:after="0" w:line="214" w:lineRule="exact"/>
              <w:rPr>
                <w:sz w:val="20"/>
                <w:szCs w:val="20"/>
                <w:color w:val="auto"/>
              </w:rPr>
            </w:pPr>
            <w:r>
              <w:rPr>
                <w:rFonts w:ascii="Times New Roman" w:cs="Times New Roman" w:eastAsia="Times New Roman" w:hAnsi="Times New Roman"/>
                <w:sz w:val="20"/>
                <w:szCs w:val="20"/>
                <w:color w:val="auto"/>
              </w:rPr>
              <w:t>ERISA Plans</w:t>
            </w:r>
          </w:p>
        </w:tc>
        <w:tc>
          <w:tcPr>
            <w:tcW w:w="0" w:type="dxa"/>
            <w:vAlign w:val="bottom"/>
          </w:tcPr>
          <w:p>
            <w:pPr>
              <w:spacing w:after="0"/>
              <w:rPr>
                <w:sz w:val="1"/>
                <w:szCs w:val="1"/>
                <w:color w:val="auto"/>
              </w:rPr>
            </w:pPr>
          </w:p>
        </w:tc>
      </w:tr>
      <w:tr>
        <w:trPr>
          <w:trHeight w:val="227"/>
        </w:trPr>
        <w:tc>
          <w:tcPr>
            <w:tcW w:w="114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w w:val="98"/>
              </w:rPr>
              <w:t>Schedule 7.13</w:t>
            </w:r>
          </w:p>
        </w:tc>
        <w:tc>
          <w:tcPr>
            <w:tcW w:w="260" w:type="dxa"/>
            <w:vAlign w:val="bottom"/>
          </w:tcPr>
          <w:p>
            <w:pPr>
              <w:ind w:left="160"/>
              <w:spacing w:after="0" w:line="228" w:lineRule="exact"/>
              <w:rPr>
                <w:sz w:val="20"/>
                <w:szCs w:val="20"/>
                <w:color w:val="auto"/>
              </w:rPr>
            </w:pPr>
            <w:r>
              <w:rPr>
                <w:rFonts w:ascii="Times New Roman" w:cs="Times New Roman" w:eastAsia="Times New Roman" w:hAnsi="Times New Roman"/>
                <w:sz w:val="20"/>
                <w:szCs w:val="20"/>
                <w:color w:val="auto"/>
              </w:rPr>
              <w:t>-</w:t>
            </w:r>
          </w:p>
        </w:tc>
        <w:tc>
          <w:tcPr>
            <w:tcW w:w="7340" w:type="dxa"/>
            <w:vAlign w:val="bottom"/>
          </w:tcPr>
          <w:p>
            <w:pPr>
              <w:ind w:left="160"/>
              <w:spacing w:after="0" w:line="228" w:lineRule="exact"/>
              <w:rPr>
                <w:sz w:val="20"/>
                <w:szCs w:val="20"/>
                <w:color w:val="auto"/>
              </w:rPr>
            </w:pPr>
            <w:r>
              <w:rPr>
                <w:rFonts w:ascii="Times New Roman" w:cs="Times New Roman" w:eastAsia="Times New Roman" w:hAnsi="Times New Roman"/>
                <w:sz w:val="20"/>
                <w:szCs w:val="20"/>
                <w:color w:val="auto"/>
              </w:rPr>
              <w:t>Labor and Collective Bargaining Agreements</w:t>
            </w:r>
          </w:p>
        </w:tc>
        <w:tc>
          <w:tcPr>
            <w:tcW w:w="0" w:type="dxa"/>
            <w:vAlign w:val="bottom"/>
          </w:tcPr>
          <w:p>
            <w:pPr>
              <w:spacing w:after="0"/>
              <w:rPr>
                <w:sz w:val="1"/>
                <w:szCs w:val="1"/>
                <w:color w:val="auto"/>
              </w:rPr>
            </w:pPr>
          </w:p>
        </w:tc>
      </w:tr>
      <w:tr>
        <w:trPr>
          <w:trHeight w:val="227"/>
        </w:trPr>
        <w:tc>
          <w:tcPr>
            <w:tcW w:w="114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w w:val="98"/>
              </w:rPr>
              <w:t>Schedule 7.18</w:t>
            </w:r>
          </w:p>
        </w:tc>
        <w:tc>
          <w:tcPr>
            <w:tcW w:w="260" w:type="dxa"/>
            <w:vAlign w:val="bottom"/>
          </w:tcPr>
          <w:p>
            <w:pPr>
              <w:ind w:left="160"/>
              <w:spacing w:after="0" w:line="228" w:lineRule="exact"/>
              <w:rPr>
                <w:sz w:val="20"/>
                <w:szCs w:val="20"/>
                <w:color w:val="auto"/>
              </w:rPr>
            </w:pPr>
            <w:r>
              <w:rPr>
                <w:rFonts w:ascii="Times New Roman" w:cs="Times New Roman" w:eastAsia="Times New Roman" w:hAnsi="Times New Roman"/>
                <w:sz w:val="20"/>
                <w:szCs w:val="20"/>
                <w:color w:val="auto"/>
              </w:rPr>
              <w:t>-</w:t>
            </w:r>
          </w:p>
        </w:tc>
        <w:tc>
          <w:tcPr>
            <w:tcW w:w="7340" w:type="dxa"/>
            <w:vAlign w:val="bottom"/>
          </w:tcPr>
          <w:p>
            <w:pPr>
              <w:ind w:left="160"/>
              <w:spacing w:after="0" w:line="228" w:lineRule="exact"/>
              <w:rPr>
                <w:sz w:val="20"/>
                <w:szCs w:val="20"/>
                <w:color w:val="auto"/>
              </w:rPr>
            </w:pPr>
            <w:r>
              <w:rPr>
                <w:rFonts w:ascii="Times New Roman" w:cs="Times New Roman" w:eastAsia="Times New Roman" w:hAnsi="Times New Roman"/>
                <w:sz w:val="20"/>
                <w:szCs w:val="20"/>
                <w:color w:val="auto"/>
              </w:rPr>
              <w:t>Real Property</w:t>
            </w:r>
          </w:p>
        </w:tc>
        <w:tc>
          <w:tcPr>
            <w:tcW w:w="0" w:type="dxa"/>
            <w:vAlign w:val="bottom"/>
          </w:tcPr>
          <w:p>
            <w:pPr>
              <w:spacing w:after="0"/>
              <w:rPr>
                <w:sz w:val="1"/>
                <w:szCs w:val="1"/>
                <w:color w:val="auto"/>
              </w:rPr>
            </w:pPr>
          </w:p>
        </w:tc>
      </w:tr>
      <w:tr>
        <w:trPr>
          <w:trHeight w:val="227"/>
        </w:trPr>
        <w:tc>
          <w:tcPr>
            <w:tcW w:w="114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w w:val="98"/>
              </w:rPr>
              <w:t>Schedule 8.19</w:t>
            </w:r>
          </w:p>
        </w:tc>
        <w:tc>
          <w:tcPr>
            <w:tcW w:w="260" w:type="dxa"/>
            <w:vAlign w:val="bottom"/>
          </w:tcPr>
          <w:p>
            <w:pPr>
              <w:ind w:left="160"/>
              <w:spacing w:after="0" w:line="228" w:lineRule="exact"/>
              <w:rPr>
                <w:sz w:val="20"/>
                <w:szCs w:val="20"/>
                <w:color w:val="auto"/>
              </w:rPr>
            </w:pPr>
            <w:r>
              <w:rPr>
                <w:rFonts w:ascii="Times New Roman" w:cs="Times New Roman" w:eastAsia="Times New Roman" w:hAnsi="Times New Roman"/>
                <w:sz w:val="20"/>
                <w:szCs w:val="20"/>
                <w:color w:val="auto"/>
              </w:rPr>
              <w:t>-</w:t>
            </w:r>
          </w:p>
        </w:tc>
        <w:tc>
          <w:tcPr>
            <w:tcW w:w="7340" w:type="dxa"/>
            <w:vAlign w:val="bottom"/>
          </w:tcPr>
          <w:p>
            <w:pPr>
              <w:ind w:left="160"/>
              <w:spacing w:after="0" w:line="228" w:lineRule="exact"/>
              <w:rPr>
                <w:sz w:val="20"/>
                <w:szCs w:val="20"/>
                <w:color w:val="auto"/>
              </w:rPr>
            </w:pPr>
            <w:r>
              <w:rPr>
                <w:rFonts w:ascii="Times New Roman" w:cs="Times New Roman" w:eastAsia="Times New Roman" w:hAnsi="Times New Roman"/>
                <w:sz w:val="20"/>
                <w:szCs w:val="20"/>
                <w:color w:val="auto"/>
              </w:rPr>
              <w:t>Post-Closing Matters</w:t>
            </w:r>
          </w:p>
        </w:tc>
        <w:tc>
          <w:tcPr>
            <w:tcW w:w="0" w:type="dxa"/>
            <w:vAlign w:val="bottom"/>
          </w:tcPr>
          <w:p>
            <w:pPr>
              <w:spacing w:after="0"/>
              <w:rPr>
                <w:sz w:val="1"/>
                <w:szCs w:val="1"/>
                <w:color w:val="auto"/>
              </w:rPr>
            </w:pPr>
          </w:p>
        </w:tc>
      </w:tr>
      <w:tr>
        <w:trPr>
          <w:trHeight w:val="227"/>
        </w:trPr>
        <w:tc>
          <w:tcPr>
            <w:tcW w:w="114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Schedule 9.1</w:t>
            </w:r>
          </w:p>
        </w:tc>
        <w:tc>
          <w:tcPr>
            <w:tcW w:w="260" w:type="dxa"/>
            <w:vAlign w:val="bottom"/>
          </w:tcPr>
          <w:p>
            <w:pPr>
              <w:ind w:left="60"/>
              <w:spacing w:after="0" w:line="228" w:lineRule="exact"/>
              <w:rPr>
                <w:sz w:val="20"/>
                <w:szCs w:val="20"/>
                <w:color w:val="auto"/>
              </w:rPr>
            </w:pPr>
            <w:r>
              <w:rPr>
                <w:rFonts w:ascii="Times New Roman" w:cs="Times New Roman" w:eastAsia="Times New Roman" w:hAnsi="Times New Roman"/>
                <w:sz w:val="20"/>
                <w:szCs w:val="20"/>
                <w:color w:val="auto"/>
              </w:rPr>
              <w:t>-</w:t>
            </w:r>
          </w:p>
        </w:tc>
        <w:tc>
          <w:tcPr>
            <w:tcW w:w="7340" w:type="dxa"/>
            <w:vAlign w:val="bottom"/>
          </w:tcPr>
          <w:p>
            <w:pPr>
              <w:ind w:left="80"/>
              <w:spacing w:after="0" w:line="228" w:lineRule="exact"/>
              <w:rPr>
                <w:sz w:val="20"/>
                <w:szCs w:val="20"/>
                <w:color w:val="auto"/>
              </w:rPr>
            </w:pPr>
            <w:r>
              <w:rPr>
                <w:rFonts w:ascii="Times New Roman" w:cs="Times New Roman" w:eastAsia="Times New Roman" w:hAnsi="Times New Roman"/>
                <w:sz w:val="20"/>
                <w:szCs w:val="20"/>
                <w:color w:val="auto"/>
              </w:rPr>
              <w:t>Existing Indebtedness</w:t>
            </w:r>
          </w:p>
        </w:tc>
        <w:tc>
          <w:tcPr>
            <w:tcW w:w="0" w:type="dxa"/>
            <w:vAlign w:val="bottom"/>
          </w:tcPr>
          <w:p>
            <w:pPr>
              <w:spacing w:after="0"/>
              <w:rPr>
                <w:sz w:val="1"/>
                <w:szCs w:val="1"/>
                <w:color w:val="auto"/>
              </w:rPr>
            </w:pPr>
          </w:p>
        </w:tc>
      </w:tr>
      <w:tr>
        <w:trPr>
          <w:trHeight w:val="214"/>
        </w:trPr>
        <w:tc>
          <w:tcPr>
            <w:tcW w:w="1140" w:type="dxa"/>
            <w:vAlign w:val="bottom"/>
            <w:gridSpan w:val="2"/>
          </w:tcPr>
          <w:p>
            <w:pPr>
              <w:spacing w:after="0" w:line="214" w:lineRule="exact"/>
              <w:rPr>
                <w:sz w:val="20"/>
                <w:szCs w:val="20"/>
                <w:color w:val="auto"/>
              </w:rPr>
            </w:pPr>
            <w:r>
              <w:rPr>
                <w:rFonts w:ascii="Times New Roman" w:cs="Times New Roman" w:eastAsia="Times New Roman" w:hAnsi="Times New Roman"/>
                <w:sz w:val="20"/>
                <w:szCs w:val="20"/>
                <w:color w:val="auto"/>
              </w:rPr>
              <w:t>Schedule 9.2</w:t>
            </w:r>
          </w:p>
        </w:tc>
        <w:tc>
          <w:tcPr>
            <w:tcW w:w="260" w:type="dxa"/>
            <w:vAlign w:val="bottom"/>
          </w:tcPr>
          <w:p>
            <w:pPr>
              <w:ind w:left="60"/>
              <w:spacing w:after="0" w:line="214" w:lineRule="exact"/>
              <w:rPr>
                <w:sz w:val="20"/>
                <w:szCs w:val="20"/>
                <w:color w:val="auto"/>
              </w:rPr>
            </w:pPr>
            <w:r>
              <w:rPr>
                <w:rFonts w:ascii="Times New Roman" w:cs="Times New Roman" w:eastAsia="Times New Roman" w:hAnsi="Times New Roman"/>
                <w:sz w:val="20"/>
                <w:szCs w:val="20"/>
                <w:color w:val="auto"/>
              </w:rPr>
              <w:t>-</w:t>
            </w:r>
          </w:p>
        </w:tc>
        <w:tc>
          <w:tcPr>
            <w:tcW w:w="7340" w:type="dxa"/>
            <w:vAlign w:val="bottom"/>
          </w:tcPr>
          <w:p>
            <w:pPr>
              <w:ind w:left="80"/>
              <w:spacing w:after="0" w:line="214" w:lineRule="exact"/>
              <w:rPr>
                <w:sz w:val="20"/>
                <w:szCs w:val="20"/>
                <w:color w:val="auto"/>
              </w:rPr>
            </w:pPr>
            <w:r>
              <w:rPr>
                <w:rFonts w:ascii="Times New Roman" w:cs="Times New Roman" w:eastAsia="Times New Roman" w:hAnsi="Times New Roman"/>
                <w:sz w:val="20"/>
                <w:szCs w:val="20"/>
                <w:color w:val="auto"/>
              </w:rPr>
              <w:t>Existing Liens</w:t>
            </w:r>
          </w:p>
        </w:tc>
        <w:tc>
          <w:tcPr>
            <w:tcW w:w="0" w:type="dxa"/>
            <w:vAlign w:val="bottom"/>
          </w:tcPr>
          <w:p>
            <w:pPr>
              <w:spacing w:after="0"/>
              <w:rPr>
                <w:sz w:val="1"/>
                <w:szCs w:val="1"/>
                <w:color w:val="auto"/>
              </w:rPr>
            </w:pPr>
          </w:p>
        </w:tc>
      </w:tr>
      <w:tr>
        <w:trPr>
          <w:trHeight w:val="227"/>
        </w:trPr>
        <w:tc>
          <w:tcPr>
            <w:tcW w:w="114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Schedule 9.3</w:t>
            </w:r>
          </w:p>
        </w:tc>
        <w:tc>
          <w:tcPr>
            <w:tcW w:w="260" w:type="dxa"/>
            <w:vAlign w:val="bottom"/>
          </w:tcPr>
          <w:p>
            <w:pPr>
              <w:ind w:left="60"/>
              <w:spacing w:after="0" w:line="228" w:lineRule="exact"/>
              <w:rPr>
                <w:sz w:val="20"/>
                <w:szCs w:val="20"/>
                <w:color w:val="auto"/>
              </w:rPr>
            </w:pPr>
            <w:r>
              <w:rPr>
                <w:rFonts w:ascii="Times New Roman" w:cs="Times New Roman" w:eastAsia="Times New Roman" w:hAnsi="Times New Roman"/>
                <w:sz w:val="20"/>
                <w:szCs w:val="20"/>
                <w:color w:val="auto"/>
              </w:rPr>
              <w:t>-</w:t>
            </w:r>
          </w:p>
        </w:tc>
        <w:tc>
          <w:tcPr>
            <w:tcW w:w="7340" w:type="dxa"/>
            <w:vAlign w:val="bottom"/>
          </w:tcPr>
          <w:p>
            <w:pPr>
              <w:ind w:left="80"/>
              <w:spacing w:after="0" w:line="228" w:lineRule="exact"/>
              <w:rPr>
                <w:sz w:val="20"/>
                <w:szCs w:val="20"/>
                <w:color w:val="auto"/>
              </w:rPr>
            </w:pPr>
            <w:r>
              <w:rPr>
                <w:rFonts w:ascii="Times New Roman" w:cs="Times New Roman" w:eastAsia="Times New Roman" w:hAnsi="Times New Roman"/>
                <w:sz w:val="20"/>
                <w:szCs w:val="20"/>
                <w:color w:val="auto"/>
              </w:rPr>
              <w:t>Existing Loans, Advances and Investments</w:t>
            </w:r>
          </w:p>
        </w:tc>
        <w:tc>
          <w:tcPr>
            <w:tcW w:w="0" w:type="dxa"/>
            <w:vAlign w:val="bottom"/>
          </w:tcPr>
          <w:p>
            <w:pPr>
              <w:spacing w:after="0"/>
              <w:rPr>
                <w:sz w:val="1"/>
                <w:szCs w:val="1"/>
                <w:color w:val="auto"/>
              </w:rPr>
            </w:pPr>
          </w:p>
        </w:tc>
      </w:tr>
      <w:tr>
        <w:trPr>
          <w:trHeight w:val="255"/>
        </w:trPr>
        <w:tc>
          <w:tcPr>
            <w:tcW w:w="1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9.7</w:t>
            </w:r>
          </w:p>
        </w:tc>
        <w:tc>
          <w:tcPr>
            <w:tcW w:w="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73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Transactions with Affiliates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0"/>
          <w:szCs w:val="20"/>
          <w:color w:val="auto"/>
        </w:rPr>
        <w:t>i</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02">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14"/>
          <w:szCs w:val="14"/>
          <w:color w:val="FF0000"/>
          <w:strike w:val="1"/>
        </w:rPr>
        <w:t xml:space="preserve"> 186545342_4</w:t>
      </w:r>
      <w:r>
        <w:rPr>
          <w:rFonts w:ascii="Times New Roman" w:cs="Times New Roman" w:eastAsia="Times New Roman" w:hAnsi="Times New Roman"/>
          <w:sz w:val="14"/>
          <w:szCs w:val="14"/>
          <w:u w:val="single" w:color="auto"/>
          <w:color w:val="0000FF"/>
          <w:strike w:val="1"/>
        </w:rPr>
        <w:t>187749669_2</w:t>
      </w:r>
    </w:p>
    <w:p>
      <w:pPr>
        <w:sectPr>
          <w:pgSz w:w="11900" w:h="16838" w:orient="portrait"/>
          <w:cols w:equalWidth="0" w:num="1">
            <w:col w:w="10139"/>
          </w:cols>
          <w:pgMar w:left="320" w:top="676" w:right="1440" w:bottom="1440" w:gutter="0" w:footer="0" w:header="0"/>
        </w:sectPr>
      </w:pPr>
    </w:p>
    <w:bookmarkStart w:id="148" w:name="page149"/>
    <w:bookmarkEnd w:id="148"/>
    <w:p>
      <w:pPr>
        <w:ind w:left="1320"/>
        <w:spacing w:after="0"/>
        <w:rPr>
          <w:sz w:val="20"/>
          <w:szCs w:val="20"/>
          <w:color w:val="auto"/>
        </w:rPr>
      </w:pPr>
      <w:r>
        <w:rPr>
          <w:rFonts w:ascii="Times New Roman" w:cs="Times New Roman" w:eastAsia="Times New Roman" w:hAnsi="Times New Roman"/>
          <w:sz w:val="20"/>
          <w:szCs w:val="20"/>
          <w:color w:val="auto"/>
        </w:rPr>
        <w:t>SECOND AMENDED AND RESTATED CREDIT AGREEMENT, dated as of August 27,</w:t>
      </w:r>
    </w:p>
    <w:p>
      <w:pPr>
        <w:spacing w:after="0" w:line="6" w:lineRule="exact"/>
        <w:rPr>
          <w:sz w:val="20"/>
          <w:szCs w:val="20"/>
          <w:color w:val="auto"/>
        </w:rPr>
      </w:pPr>
    </w:p>
    <w:p>
      <w:pPr>
        <w:jc w:val="both"/>
        <w:ind w:left="680"/>
        <w:spacing w:after="0" w:line="246" w:lineRule="auto"/>
        <w:rPr>
          <w:sz w:val="20"/>
          <w:szCs w:val="20"/>
          <w:color w:val="auto"/>
        </w:rPr>
      </w:pPr>
      <w:r>
        <w:rPr>
          <w:rFonts w:ascii="Times New Roman" w:cs="Times New Roman" w:eastAsia="Times New Roman" w:hAnsi="Times New Roman"/>
          <w:sz w:val="20"/>
          <w:szCs w:val="20"/>
          <w:color w:val="auto"/>
        </w:rPr>
        <w:t xml:space="preserve">2021, by and among CENTURI GROUP, INC., a Nevada corporation, and each Additional Borrower that becomes a party hereto in accordance with </w:t>
      </w:r>
      <w:r>
        <w:rPr>
          <w:rFonts w:ascii="Times New Roman" w:cs="Times New Roman" w:eastAsia="Times New Roman" w:hAnsi="Times New Roman"/>
          <w:sz w:val="20"/>
          <w:szCs w:val="20"/>
          <w:u w:val="single" w:color="auto"/>
          <w:color w:val="auto"/>
        </w:rPr>
        <w:t>Section 5.17</w:t>
      </w:r>
      <w:r>
        <w:rPr>
          <w:rFonts w:ascii="Times New Roman" w:cs="Times New Roman" w:eastAsia="Times New Roman" w:hAnsi="Times New Roman"/>
          <w:sz w:val="20"/>
          <w:szCs w:val="20"/>
          <w:color w:val="auto"/>
        </w:rPr>
        <w:t xml:space="preserve">, as US Borrowers, CENTURI CANADA DIVISION INC., a corporation organized under the laws of the Province of Ontario, Canada, and each Additional Borrower that becomes a party hereto in accordance with </w:t>
      </w:r>
      <w:r>
        <w:rPr>
          <w:rFonts w:ascii="Times New Roman" w:cs="Times New Roman" w:eastAsia="Times New Roman" w:hAnsi="Times New Roman"/>
          <w:sz w:val="20"/>
          <w:szCs w:val="20"/>
          <w:u w:val="single" w:color="auto"/>
          <w:color w:val="auto"/>
        </w:rPr>
        <w:t>Section 5.17</w:t>
      </w:r>
      <w:r>
        <w:rPr>
          <w:rFonts w:ascii="Times New Roman" w:cs="Times New Roman" w:eastAsia="Times New Roman" w:hAnsi="Times New Roman"/>
          <w:sz w:val="20"/>
          <w:szCs w:val="20"/>
          <w:color w:val="auto"/>
        </w:rPr>
        <w:t>, as Canadian Borrowers, the lenders who are party to this Agreement and the lenders who may become a party to this Agreement pursuant to the terms hereof, as Lenders, and WELLS FARGO BANK, NATIONAL ASSOCIATION, a national banking association, as Administrative Agent for the Lenders.</w:t>
      </w:r>
    </w:p>
    <w:p>
      <w:pPr>
        <w:spacing w:after="0" w:line="18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u w:val="single" w:color="auto"/>
          <w:color w:val="auto"/>
        </w:rPr>
        <w:t>STATEMENT OF PURPOSE</w:t>
      </w:r>
    </w:p>
    <w:p>
      <w:pPr>
        <w:spacing w:after="0" w:line="225" w:lineRule="exact"/>
        <w:rPr>
          <w:sz w:val="20"/>
          <w:szCs w:val="20"/>
          <w:color w:val="auto"/>
        </w:rPr>
      </w:pPr>
    </w:p>
    <w:p>
      <w:pPr>
        <w:jc w:val="both"/>
        <w:ind w:left="680" w:right="40" w:firstLine="642"/>
        <w:spacing w:after="0" w:line="255" w:lineRule="auto"/>
        <w:rPr>
          <w:sz w:val="20"/>
          <w:szCs w:val="20"/>
          <w:color w:val="auto"/>
        </w:rPr>
      </w:pPr>
      <w:r>
        <w:rPr>
          <w:rFonts w:ascii="Times New Roman" w:cs="Times New Roman" w:eastAsia="Times New Roman" w:hAnsi="Times New Roman"/>
          <w:sz w:val="20"/>
          <w:szCs w:val="20"/>
          <w:color w:val="auto"/>
        </w:rPr>
        <w:t>Certain of the Borrowers, certain financial institutions party thereto (the “</w:t>
      </w:r>
      <w:r>
        <w:rPr>
          <w:rFonts w:ascii="Times New Roman" w:cs="Times New Roman" w:eastAsia="Times New Roman" w:hAnsi="Times New Roman"/>
          <w:sz w:val="20"/>
          <w:szCs w:val="20"/>
          <w:u w:val="single" w:color="auto"/>
          <w:color w:val="auto"/>
        </w:rPr>
        <w:t>Existing Lenders</w:t>
      </w:r>
      <w:r>
        <w:rPr>
          <w:rFonts w:ascii="Times New Roman" w:cs="Times New Roman" w:eastAsia="Times New Roman" w:hAnsi="Times New Roman"/>
          <w:sz w:val="20"/>
          <w:szCs w:val="20"/>
          <w:color w:val="auto"/>
        </w:rPr>
        <w:t>”) and the Administrative Agent are parties to that certain Amended and Restated Credit Agreement dated as of November 7, 2017 (as amended, restated, supplemented or otherwise modified prior to the date hereof, the “</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pursuant to which the Existing Lenders extended senior credit facilities to certain of the Borrowers.</w:t>
      </w:r>
    </w:p>
    <w:p>
      <w:pPr>
        <w:spacing w:after="0" w:line="173" w:lineRule="exact"/>
        <w:rPr>
          <w:sz w:val="20"/>
          <w:szCs w:val="20"/>
          <w:color w:val="auto"/>
        </w:rPr>
      </w:pPr>
    </w:p>
    <w:p>
      <w:pPr>
        <w:jc w:val="both"/>
        <w:ind w:left="680" w:right="40" w:firstLine="642"/>
        <w:spacing w:after="0" w:line="257" w:lineRule="auto"/>
        <w:rPr>
          <w:sz w:val="20"/>
          <w:szCs w:val="20"/>
          <w:color w:val="auto"/>
        </w:rPr>
      </w:pPr>
      <w:r>
        <w:rPr>
          <w:rFonts w:ascii="Times New Roman" w:cs="Times New Roman" w:eastAsia="Times New Roman" w:hAnsi="Times New Roman"/>
          <w:sz w:val="20"/>
          <w:szCs w:val="20"/>
          <w:color w:val="auto"/>
        </w:rPr>
        <w:t>The Borrowers have requested, and subject to the terms and conditions set forth in this Agreement, the Administrative Agent and the Lenders have agreed, upon the terms and subject to the conditions set forth herein, to amend and restate the Existing Credit Agreement as set forth herein and extend senior credit facilities to the Borrowers as set forth herein.</w:t>
      </w:r>
    </w:p>
    <w:p>
      <w:pPr>
        <w:spacing w:after="0" w:line="184" w:lineRule="exact"/>
        <w:rPr>
          <w:sz w:val="20"/>
          <w:szCs w:val="20"/>
          <w:color w:val="auto"/>
        </w:rPr>
      </w:pPr>
    </w:p>
    <w:p>
      <w:pPr>
        <w:jc w:val="both"/>
        <w:ind w:left="680" w:right="40" w:firstLine="642"/>
        <w:spacing w:after="0" w:line="257" w:lineRule="auto"/>
        <w:rPr>
          <w:sz w:val="20"/>
          <w:szCs w:val="20"/>
          <w:color w:val="auto"/>
        </w:rPr>
      </w:pPr>
      <w:r>
        <w:rPr>
          <w:rFonts w:ascii="Times New Roman" w:cs="Times New Roman" w:eastAsia="Times New Roman" w:hAnsi="Times New Roman"/>
          <w:sz w:val="20"/>
          <w:szCs w:val="20"/>
          <w:color w:val="auto"/>
        </w:rPr>
        <w:t>It is the intent of the parties hereto that this Agreement not constitute a novation of the obligations and liabilities of the parties under the Existing Credit Agreement and that this Agreement amend and restate the Existing Credit Agreement in its entirety.</w:t>
      </w:r>
    </w:p>
    <w:p>
      <w:pPr>
        <w:spacing w:after="0" w:line="171" w:lineRule="exact"/>
        <w:rPr>
          <w:sz w:val="20"/>
          <w:szCs w:val="20"/>
          <w:color w:val="auto"/>
        </w:rPr>
      </w:pPr>
    </w:p>
    <w:p>
      <w:pPr>
        <w:jc w:val="both"/>
        <w:ind w:left="680" w:right="40" w:firstLine="642"/>
        <w:spacing w:after="0" w:line="277" w:lineRule="auto"/>
        <w:rPr>
          <w:sz w:val="20"/>
          <w:szCs w:val="20"/>
          <w:color w:val="auto"/>
        </w:rPr>
      </w:pPr>
      <w:r>
        <w:rPr>
          <w:rFonts w:ascii="Times New Roman" w:cs="Times New Roman" w:eastAsia="Times New Roman" w:hAnsi="Times New Roman"/>
          <w:sz w:val="20"/>
          <w:szCs w:val="20"/>
          <w:color w:val="auto"/>
        </w:rPr>
        <w:t>NOW, THEREFORE, for good and valuable consideration, the receipt and sufficiency of which are hereby acknowledged by the parties hereto, such parties hereby agree as follows:</w:t>
      </w:r>
    </w:p>
    <w:p>
      <w:pPr>
        <w:spacing w:after="0" w:line="25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ARTICLE I DEFINITIONS</w:t>
      </w:r>
    </w:p>
    <w:p>
      <w:pPr>
        <w:spacing w:after="0" w:line="11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 xml:space="preserve">SECTION 1.1 </w:t>
      </w: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The following terms when used in this Agreement shall have the meanings assigned to them</w:t>
      </w:r>
    </w:p>
    <w:p>
      <w:pPr>
        <w:spacing w:after="0" w:line="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below:</w:t>
      </w:r>
    </w:p>
    <w:p>
      <w:pPr>
        <w:spacing w:after="0" w:line="184" w:lineRule="exact"/>
        <w:rPr>
          <w:sz w:val="20"/>
          <w:szCs w:val="20"/>
          <w:color w:val="auto"/>
        </w:rPr>
      </w:pPr>
    </w:p>
    <w:p>
      <w:pPr>
        <w:jc w:val="both"/>
        <w:ind w:left="680" w:firstLine="642"/>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Acceptable Intercreditor Agreement</w:t>
      </w:r>
      <w:r>
        <w:rPr>
          <w:rFonts w:ascii="Times New Roman" w:cs="Times New Roman" w:eastAsia="Times New Roman" w:hAnsi="Times New Roman"/>
          <w:sz w:val="19"/>
          <w:szCs w:val="19"/>
          <w:color w:val="auto"/>
        </w:rPr>
        <w:t>” means an intercreditor agreement, the terms of which are consistent with market terms governing security arrangements for the sharing of liens and/or arrangements relating to the distribution of payments, as applicable, (a) to the extent executed in connection with the incurrence of Indebtedness secured by Collateral intended to rank equal in priority to the Liens on the Collateral securing the Obligations, on a pari passu basis, (b) to the extent executed in connection with the incurrence of Indebtedness secured by Collateral intended to rank junior in priority to the Liens on the Collateral securing the Obligations, on a junior basis, and/or (c) to the extent executed in connection with the incurrence of Indebtedness intended to rank junior in rights to payment to the Obligations, on a junior basis, in each case at the time such intercreditor agreement is proposed to be established, as determined by the Administrative Agent and the Borrower in the exercise of reasonable judgment, among the Administrative Agent and one or more representatives for the holders of any such Indebtedness.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03">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14"/>
          <w:szCs w:val="14"/>
          <w:color w:val="FF0000"/>
          <w:strike w:val="1"/>
        </w:rPr>
        <w:t xml:space="preserve"> 186545342_4</w:t>
      </w:r>
      <w:r>
        <w:rPr>
          <w:rFonts w:ascii="Times New Roman" w:cs="Times New Roman" w:eastAsia="Times New Roman" w:hAnsi="Times New Roman"/>
          <w:sz w:val="14"/>
          <w:szCs w:val="14"/>
          <w:u w:val="single" w:color="auto"/>
          <w:color w:val="0000FF"/>
          <w:strike w:val="1"/>
        </w:rPr>
        <w:t>187749669_2</w:t>
      </w:r>
    </w:p>
    <w:p>
      <w:pPr>
        <w:sectPr>
          <w:pgSz w:w="11900" w:h="16838" w:orient="portrait"/>
          <w:cols w:equalWidth="0" w:num="1">
            <w:col w:w="11100"/>
          </w:cols>
          <w:pgMar w:left="320" w:top="1400" w:right="479" w:bottom="1440" w:gutter="0" w:footer="0" w:header="0"/>
        </w:sectPr>
      </w:pPr>
    </w:p>
    <w:bookmarkStart w:id="149" w:name="page150"/>
    <w:bookmarkEnd w:id="149"/>
    <w:p>
      <w:pPr>
        <w:spacing w:after="0" w:line="81" w:lineRule="exact"/>
        <w:rPr>
          <w:sz w:val="20"/>
          <w:szCs w:val="20"/>
          <w:color w:val="auto"/>
        </w:rPr>
      </w:pPr>
    </w:p>
    <w:p>
      <w:pPr>
        <w:ind w:left="680" w:firstLine="642"/>
        <w:spacing w:after="0" w:line="27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Acquisition</w:t>
      </w:r>
      <w:r>
        <w:rPr>
          <w:rFonts w:ascii="Times New Roman" w:cs="Times New Roman" w:eastAsia="Times New Roman" w:hAnsi="Times New Roman"/>
          <w:sz w:val="20"/>
          <w:szCs w:val="20"/>
          <w:color w:val="auto"/>
        </w:rPr>
        <w:t>” means any transaction, or any series of related transactions, consummated on or after the date of this Agreement, by which any Consolidated Company (a) acquires any going business or</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04">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14"/>
          <w:szCs w:val="14"/>
          <w:color w:val="FF0000"/>
          <w:strike w:val="1"/>
        </w:rPr>
        <w:t xml:space="preserve"> 186545342_4</w:t>
      </w:r>
      <w:r>
        <w:rPr>
          <w:rFonts w:ascii="Times New Roman" w:cs="Times New Roman" w:eastAsia="Times New Roman" w:hAnsi="Times New Roman"/>
          <w:sz w:val="14"/>
          <w:szCs w:val="14"/>
          <w:u w:val="single" w:color="auto"/>
          <w:color w:val="0000FF"/>
          <w:strike w:val="1"/>
        </w:rPr>
        <w:t>187749669_2</w:t>
      </w:r>
    </w:p>
    <w:p>
      <w:pPr>
        <w:sectPr>
          <w:pgSz w:w="11900" w:h="16838" w:orient="portrait"/>
          <w:cols w:equalWidth="0" w:num="1">
            <w:col w:w="11060"/>
          </w:cols>
          <w:pgMar w:left="320" w:top="1440" w:right="519" w:bottom="1440" w:gutter="0" w:footer="0" w:header="0"/>
        </w:sectPr>
      </w:pPr>
    </w:p>
    <w:bookmarkStart w:id="150" w:name="page151"/>
    <w:bookmarkEnd w:id="150"/>
    <w:p>
      <w:pPr>
        <w:jc w:val="both"/>
        <w:ind w:left="620" w:right="40"/>
        <w:spacing w:after="0" w:line="250" w:lineRule="auto"/>
        <w:rPr>
          <w:sz w:val="20"/>
          <w:szCs w:val="20"/>
          <w:color w:val="auto"/>
        </w:rPr>
      </w:pPr>
      <w:r>
        <w:rPr>
          <w:rFonts w:ascii="Times New Roman" w:cs="Times New Roman" w:eastAsia="Times New Roman" w:hAnsi="Times New Roman"/>
          <w:sz w:val="20"/>
          <w:szCs w:val="20"/>
          <w:color w:val="auto"/>
        </w:rPr>
        <w:t>all or substantially all of the assets of any firm, corporation or limited liability company, or division thereof, whether through purchase of assets, merger, amalgamation or otherwise or (b) directly or indirectly acquires (in one transaction or as the most recent transaction in a series of transactions) at least a majority (in number of votes) of the securities of a corporation which have ordinary voting power for the election of directors (other than securities having such power only by reason of the happening of a contingency) or a majority (by percentage or voting power) of the outstanding ownership interests of a partnership or limited liability company.</w:t>
      </w:r>
    </w:p>
    <w:p>
      <w:pPr>
        <w:spacing w:after="0" w:line="181" w:lineRule="exact"/>
        <w:rPr>
          <w:sz w:val="20"/>
          <w:szCs w:val="20"/>
          <w:color w:val="auto"/>
        </w:rPr>
      </w:pPr>
    </w:p>
    <w:p>
      <w:pPr>
        <w:jc w:val="both"/>
        <w:ind w:left="620" w:right="40" w:firstLine="642"/>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Borrower</w:t>
      </w:r>
      <w:r>
        <w:rPr>
          <w:rFonts w:ascii="Times New Roman" w:cs="Times New Roman" w:eastAsia="Times New Roman" w:hAnsi="Times New Roman"/>
          <w:sz w:val="20"/>
          <w:szCs w:val="20"/>
          <w:color w:val="auto"/>
        </w:rPr>
        <w:t xml:space="preserve">” means certain Wholly-Owned US Subsidiaries and Wholly-Owned Canadian Subsidiaries of Centuri from time to time accepted as a Borrower to be party hereto pursuant to </w:t>
      </w:r>
      <w:r>
        <w:rPr>
          <w:rFonts w:ascii="Times New Roman" w:cs="Times New Roman" w:eastAsia="Times New Roman" w:hAnsi="Times New Roman"/>
          <w:sz w:val="20"/>
          <w:szCs w:val="20"/>
          <w:u w:val="single" w:color="auto"/>
          <w:color w:val="auto"/>
        </w:rPr>
        <w:t>Section 5.17</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Borrower Notice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5.17</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Borrower Request and Assumption Agreement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5.17</w:t>
      </w:r>
      <w:r>
        <w:rPr>
          <w:rFonts w:ascii="Times New Roman" w:cs="Times New Roman" w:eastAsia="Times New Roman" w:hAnsi="Times New Roman"/>
          <w:sz w:val="20"/>
          <w:szCs w:val="20"/>
          <w:color w:val="auto"/>
        </w:rPr>
        <w:t>.</w:t>
      </w:r>
    </w:p>
    <w:p>
      <w:pPr>
        <w:spacing w:after="0" w:line="225" w:lineRule="exact"/>
        <w:rPr>
          <w:sz w:val="20"/>
          <w:szCs w:val="20"/>
          <w:color w:val="auto"/>
        </w:rPr>
      </w:pPr>
    </w:p>
    <w:p>
      <w:pPr>
        <w:jc w:val="both"/>
        <w:ind w:left="620" w:right="60" w:firstLine="642"/>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Consolidated Net Income</w:t>
      </w:r>
      <w:r>
        <w:rPr>
          <w:rFonts w:ascii="Times New Roman" w:cs="Times New Roman" w:eastAsia="Times New Roman" w:hAnsi="Times New Roman"/>
          <w:sz w:val="20"/>
          <w:szCs w:val="20"/>
          <w:color w:val="auto"/>
        </w:rPr>
        <w:t>” means Consolidated Net Income for the applicable period, but excluding in calculating Consolidated Net Income (solely to the extent Consolidated Net Income for such period is greater than $0) the following items accrued for the applicable period of the calculation,</w:t>
      </w:r>
    </w:p>
    <w:p>
      <w:pPr>
        <w:ind w:left="620"/>
        <w:spacing w:after="0"/>
        <w:rPr>
          <w:sz w:val="20"/>
          <w:szCs w:val="20"/>
          <w:color w:val="auto"/>
        </w:rPr>
      </w:pPr>
      <w:r>
        <w:rPr>
          <w:rFonts w:ascii="Times New Roman" w:cs="Times New Roman" w:eastAsia="Times New Roman" w:hAnsi="Times New Roman"/>
          <w:sz w:val="20"/>
          <w:szCs w:val="20"/>
          <w:color w:val="auto"/>
        </w:rPr>
        <w:t>(a) amortization of goodwill, (b) impairment charges with respect to goodwill and other intangible assets,</w:t>
      </w:r>
    </w:p>
    <w:p>
      <w:pPr>
        <w:ind w:left="620" w:right="60" w:firstLine="4"/>
        <w:spacing w:after="0" w:line="254" w:lineRule="auto"/>
        <w:tabs>
          <w:tab w:leader="none" w:pos="892"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non-cash charges related to deferred taxes and valuation allowances on deferred tax assets and (d) non-amortized fees related to Indebtedness that are written off.</w:t>
      </w:r>
    </w:p>
    <w:p>
      <w:pPr>
        <w:spacing w:after="0" w:line="173" w:lineRule="exact"/>
        <w:rPr>
          <w:sz w:val="20"/>
          <w:szCs w:val="20"/>
          <w:color w:val="auto"/>
        </w:rPr>
      </w:pPr>
    </w:p>
    <w:p>
      <w:pPr>
        <w:jc w:val="both"/>
        <w:ind w:left="620" w:firstLine="642"/>
        <w:spacing w:after="0" w:line="257" w:lineRule="auto"/>
        <w:rPr>
          <w:sz w:val="20"/>
          <w:szCs w:val="20"/>
          <w:color w:val="auto"/>
        </w:rPr>
      </w:pPr>
      <w:r>
        <w:rPr>
          <w:rFonts w:ascii="Times New Roman" w:cs="Times New Roman" w:eastAsia="Times New Roman" w:hAnsi="Times New Roman"/>
          <w:sz w:val="20"/>
          <w:szCs w:val="20"/>
          <w:u w:val="single" w:color="auto"/>
          <w:color w:val="0000FF"/>
        </w:rPr>
        <w:t xml:space="preserve">“Adjusted Term CORRA” means, </w:t>
      </w:r>
      <w:r>
        <w:rPr>
          <w:rFonts w:ascii="Times New Roman" w:cs="Times New Roman" w:eastAsia="Times New Roman" w:hAnsi="Times New Roman"/>
          <w:sz w:val="20"/>
          <w:szCs w:val="20"/>
          <w:u w:val="single" w:color="auto"/>
          <w:color w:val="007F00"/>
        </w:rPr>
        <w:t>for purposes of</w:t>
      </w:r>
      <w:r>
        <w:rPr>
          <w:rFonts w:ascii="Times New Roman" w:cs="Times New Roman" w:eastAsia="Times New Roman" w:hAnsi="Times New Roman"/>
          <w:sz w:val="20"/>
          <w:szCs w:val="20"/>
          <w:u w:val="single" w:color="auto"/>
          <w:color w:val="0000FF"/>
        </w:rPr>
        <w:t xml:space="preserve"> any calculation, the rate per annum equal to (a) Term CORRA for such calculation plus (b) the Term CORRA Adjustment; provided that if Adjusted Term CORRA as so determined shall ever </w:t>
      </w:r>
      <w:r>
        <w:rPr>
          <w:rFonts w:ascii="Times New Roman" w:cs="Times New Roman" w:eastAsia="Times New Roman" w:hAnsi="Times New Roman"/>
          <w:sz w:val="20"/>
          <w:szCs w:val="20"/>
          <w:u w:val="single" w:color="auto"/>
          <w:color w:val="007F00"/>
        </w:rPr>
        <w:t>be less than</w:t>
      </w:r>
      <w:r>
        <w:rPr>
          <w:rFonts w:ascii="Times New Roman" w:cs="Times New Roman" w:eastAsia="Times New Roman" w:hAnsi="Times New Roman"/>
          <w:sz w:val="20"/>
          <w:szCs w:val="20"/>
          <w:u w:val="single" w:color="auto"/>
          <w:color w:val="0000FF"/>
        </w:rPr>
        <w:t xml:space="preserve"> the Floor, then Adjusted Term CORRA shall </w:t>
      </w:r>
      <w:r>
        <w:rPr>
          <w:rFonts w:ascii="Times New Roman" w:cs="Times New Roman" w:eastAsia="Times New Roman" w:hAnsi="Times New Roman"/>
          <w:sz w:val="20"/>
          <w:szCs w:val="20"/>
          <w:u w:val="single" w:color="auto"/>
          <w:color w:val="007F00"/>
        </w:rPr>
        <w:t>be deemed to be</w:t>
      </w:r>
      <w:r>
        <w:rPr>
          <w:rFonts w:ascii="Times New Roman" w:cs="Times New Roman" w:eastAsia="Times New Roman" w:hAnsi="Times New Roman"/>
          <w:sz w:val="20"/>
          <w:szCs w:val="20"/>
          <w:u w:val="single" w:color="auto"/>
          <w:color w:val="0000FF"/>
        </w:rPr>
        <w:t xml:space="preserve"> the Floor.</w:t>
      </w:r>
    </w:p>
    <w:p>
      <w:pPr>
        <w:spacing w:after="0" w:line="184" w:lineRule="exact"/>
        <w:rPr>
          <w:sz w:val="20"/>
          <w:szCs w:val="20"/>
          <w:color w:val="auto"/>
        </w:rPr>
      </w:pPr>
    </w:p>
    <w:p>
      <w:pPr>
        <w:jc w:val="both"/>
        <w:ind w:left="620" w:right="60" w:firstLine="642"/>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Term SOFR</w:t>
      </w:r>
      <w:r>
        <w:rPr>
          <w:rFonts w:ascii="Times New Roman" w:cs="Times New Roman" w:eastAsia="Times New Roman" w:hAnsi="Times New Roman"/>
          <w:sz w:val="20"/>
          <w:szCs w:val="20"/>
          <w:color w:val="auto"/>
        </w:rPr>
        <w:t xml:space="preserve">” means, for purposes of any calculation, the rate per annum equal to (a) Term SOFR for such calculation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the Term SOFR Adjustment;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Adjusted Term SOFR as so determined shall ever be less than the Floor, then Adjusted Term SOFR shall be deemed to be the Floor.</w:t>
      </w:r>
    </w:p>
    <w:p>
      <w:pPr>
        <w:spacing w:after="0" w:line="171" w:lineRule="exact"/>
        <w:rPr>
          <w:sz w:val="20"/>
          <w:szCs w:val="20"/>
          <w:color w:val="auto"/>
        </w:rPr>
      </w:pPr>
    </w:p>
    <w:p>
      <w:pPr>
        <w:jc w:val="both"/>
        <w:ind w:left="620" w:right="60" w:firstLine="642"/>
        <w:spacing w:after="0" w:line="27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xml:space="preserve">” means Wells Fargo, in its capacity as Administrative Agent hereunder, and any successor thereto appointed pursuant to </w:t>
      </w:r>
      <w:r>
        <w:rPr>
          <w:rFonts w:ascii="Times New Roman" w:cs="Times New Roman" w:eastAsia="Times New Roman" w:hAnsi="Times New Roman"/>
          <w:sz w:val="20"/>
          <w:szCs w:val="20"/>
          <w:u w:val="single" w:color="auto"/>
          <w:color w:val="auto"/>
        </w:rPr>
        <w:t>Section 11.6</w:t>
      </w:r>
      <w:r>
        <w:rPr>
          <w:rFonts w:ascii="Times New Roman" w:cs="Times New Roman" w:eastAsia="Times New Roman" w:hAnsi="Times New Roman"/>
          <w:sz w:val="20"/>
          <w:szCs w:val="20"/>
          <w:color w:val="auto"/>
        </w:rPr>
        <w:t>.</w:t>
      </w:r>
    </w:p>
    <w:p>
      <w:pPr>
        <w:spacing w:after="0" w:line="151" w:lineRule="exact"/>
        <w:rPr>
          <w:sz w:val="20"/>
          <w:szCs w:val="20"/>
          <w:color w:val="auto"/>
        </w:rPr>
      </w:pPr>
    </w:p>
    <w:p>
      <w:pPr>
        <w:jc w:val="both"/>
        <w:ind w:left="620" w:right="60" w:firstLine="642"/>
        <w:spacing w:after="0" w:line="27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Agent’s Office</w:t>
      </w:r>
      <w:r>
        <w:rPr>
          <w:rFonts w:ascii="Times New Roman" w:cs="Times New Roman" w:eastAsia="Times New Roman" w:hAnsi="Times New Roman"/>
          <w:sz w:val="20"/>
          <w:szCs w:val="20"/>
          <w:color w:val="auto"/>
        </w:rPr>
        <w:t xml:space="preserve">” means the office of the Administrative Agent specified in or determined in accordance with the provisions of </w:t>
      </w:r>
      <w:r>
        <w:rPr>
          <w:rFonts w:ascii="Times New Roman" w:cs="Times New Roman" w:eastAsia="Times New Roman" w:hAnsi="Times New Roman"/>
          <w:sz w:val="20"/>
          <w:szCs w:val="20"/>
          <w:u w:val="single" w:color="auto"/>
          <w:color w:val="auto"/>
        </w:rPr>
        <w:t>Section 12.1(c)</w:t>
      </w:r>
      <w:r>
        <w:rPr>
          <w:rFonts w:ascii="Times New Roman" w:cs="Times New Roman" w:eastAsia="Times New Roman" w:hAnsi="Times New Roman"/>
          <w:sz w:val="20"/>
          <w:szCs w:val="20"/>
          <w:color w:val="auto"/>
        </w:rPr>
        <w:t>.</w:t>
      </w:r>
    </w:p>
    <w:p>
      <w:pPr>
        <w:spacing w:after="0" w:line="15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Questionnaire</w:t>
      </w:r>
      <w:r>
        <w:rPr>
          <w:rFonts w:ascii="Times New Roman" w:cs="Times New Roman" w:eastAsia="Times New Roman" w:hAnsi="Times New Roman"/>
          <w:sz w:val="20"/>
          <w:szCs w:val="20"/>
          <w:color w:val="auto"/>
        </w:rPr>
        <w:t>” means an administrative questionnaire in a form supplied by the Administrative Agent.</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Financial Institution</w:t>
      </w:r>
      <w:r>
        <w:rPr>
          <w:rFonts w:ascii="Times New Roman" w:cs="Times New Roman" w:eastAsia="Times New Roman" w:hAnsi="Times New Roman"/>
          <w:sz w:val="20"/>
          <w:szCs w:val="20"/>
          <w:color w:val="auto"/>
        </w:rPr>
        <w:t>” means (a) any EEA Financial Institution or (b) any UK Financial Institution.</w:t>
      </w:r>
    </w:p>
    <w:p>
      <w:pPr>
        <w:spacing w:after="0" w:line="211" w:lineRule="exact"/>
        <w:rPr>
          <w:sz w:val="20"/>
          <w:szCs w:val="20"/>
          <w:color w:val="auto"/>
        </w:rPr>
      </w:pPr>
    </w:p>
    <w:p>
      <w:pPr>
        <w:jc w:val="both"/>
        <w:ind w:left="620" w:right="60" w:firstLine="642"/>
        <w:spacing w:after="0" w:line="27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with respect to a specified Person, another Person that directly, or indirectly through one or more intermediaries, Controls or is Controlled by or is under common Control with the Person 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2</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-34290</wp:posOffset>
            </wp:positionV>
            <wp:extent cx="8255" cy="1016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05">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1060"/>
          </w:cols>
          <w:pgMar w:left="380" w:top="1401" w:right="459" w:bottom="1440" w:gutter="0" w:footer="0" w:header="0"/>
        </w:sectPr>
      </w:pPr>
    </w:p>
    <w:bookmarkStart w:id="151" w:name="page152"/>
    <w:bookmarkEnd w:id="151"/>
    <w:p>
      <w:pPr>
        <w:spacing w:after="0" w:line="202" w:lineRule="exact"/>
        <w:rPr>
          <w:sz w:val="20"/>
          <w:szCs w:val="20"/>
          <w:color w:val="auto"/>
        </w:rPr>
      </w:pPr>
    </w:p>
    <w:p>
      <w:pPr>
        <w:jc w:val="both"/>
        <w:ind w:left="620" w:right="20" w:firstLine="642"/>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Agents</w:t>
      </w:r>
      <w:r>
        <w:rPr>
          <w:rFonts w:ascii="Times New Roman" w:cs="Times New Roman" w:eastAsia="Times New Roman" w:hAnsi="Times New Roman"/>
          <w:sz w:val="20"/>
          <w:szCs w:val="20"/>
          <w:color w:val="auto"/>
        </w:rPr>
        <w:t>” means, collectively, the Administrative Agent, the Arrangers and the syndication agent and the documentation agents listed on the cover page hereto.</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Agent Parties</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12.1(e)</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means this Credit Agreement, as amended, restated, supplemented or otherwise modified from time to time.</w:t>
      </w:r>
    </w:p>
    <w:p>
      <w:pPr>
        <w:spacing w:after="0" w:line="225" w:lineRule="exact"/>
        <w:rPr>
          <w:sz w:val="20"/>
          <w:szCs w:val="20"/>
          <w:color w:val="auto"/>
        </w:rPr>
      </w:pPr>
    </w:p>
    <w:p>
      <w:pPr>
        <w:jc w:val="both"/>
        <w:ind w:left="620" w:firstLine="642"/>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All-In Yield</w:t>
      </w:r>
      <w:r>
        <w:rPr>
          <w:rFonts w:ascii="Times New Roman" w:cs="Times New Roman" w:eastAsia="Times New Roman" w:hAnsi="Times New Roman"/>
          <w:sz w:val="20"/>
          <w:szCs w:val="20"/>
          <w:color w:val="auto"/>
        </w:rPr>
        <w:t>” means, as to any Indebtedness, the effective all-in yield applicable thereto as reasonably determined by the Administrative Agent in consultation with the Borrowers in a manner consistent with generally accepted financial practices, taking into account: (a) interest rate margins, (b) original issue discount (“</w:t>
      </w:r>
      <w:r>
        <w:rPr>
          <w:rFonts w:ascii="Times New Roman" w:cs="Times New Roman" w:eastAsia="Times New Roman" w:hAnsi="Times New Roman"/>
          <w:sz w:val="20"/>
          <w:szCs w:val="20"/>
          <w:u w:val="single" w:color="auto"/>
          <w:color w:val="auto"/>
        </w:rPr>
        <w:t>OID</w:t>
      </w:r>
      <w:r>
        <w:rPr>
          <w:rFonts w:ascii="Times New Roman" w:cs="Times New Roman" w:eastAsia="Times New Roman" w:hAnsi="Times New Roman"/>
          <w:sz w:val="20"/>
          <w:szCs w:val="20"/>
          <w:color w:val="auto"/>
        </w:rPr>
        <w:t xml:space="preserve">”) and upfront or similar fees (which shall be deemed to constitute like amounts of OID) payable by the Borrowers or any of their respective Subsidiaries or Affiliates to the lenders under, or holders of, such Indebtedness in the initial primary syndication thereof (with OID and upfront fees being equated to interest based on assumed four-year life to maturity (or, if less, the stated Weighted Average Life to Maturity at the time of its incurrence of the applicable Indebtedness)), and (c) any interest rate floor, but excluding (i) any arrangement, commitment, structuring, agency or underwriting fees that are not paid to or shared with all relevant lenders generally in connection with the commitment or syndication of such Indebtedness, (ii) any ticking, unused line or similar fees or (iii) any other fee that is not paid directly by the Borrowers generally to all relevant lenders ratably in the primary syndication of such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to the extent that any interest rate specified for such Indebtedness that is subject to a floor (in each case, without giving effect to any such floor on the date on which the All-In Yield is being calculated) is less than such floor, the amount of such difference will be deemed added to the interest rate margin applicable to such Indebtedness for purposes of calculating the All-In Yield and (B) to the extent that any interest rate specified for such Indebtedness that is subject to a floor (in each case, without giving effect to any such floor on the date on which the All-In Yield is being calculated) is equal to or greater than such floor, the floor will be disregarded in calculating the All-In Yield.</w:t>
      </w:r>
    </w:p>
    <w:p>
      <w:pPr>
        <w:spacing w:after="0" w:line="172" w:lineRule="exact"/>
        <w:rPr>
          <w:sz w:val="20"/>
          <w:szCs w:val="20"/>
          <w:color w:val="auto"/>
        </w:rPr>
      </w:pPr>
    </w:p>
    <w:p>
      <w:pPr>
        <w:jc w:val="both"/>
        <w:ind w:left="620" w:right="20" w:firstLine="642"/>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Anti-Corruption Laws</w:t>
      </w:r>
      <w:r>
        <w:rPr>
          <w:rFonts w:ascii="Times New Roman" w:cs="Times New Roman" w:eastAsia="Times New Roman" w:hAnsi="Times New Roman"/>
          <w:sz w:val="20"/>
          <w:szCs w:val="20"/>
          <w:color w:val="auto"/>
        </w:rPr>
        <w:t>” means all laws, rules, and regulations of any jurisdiction applicable to the Borrowers or their respective Subsidiaries from time to time concerning or relating to bribery or corruption, including, without limitation, the United States Foreign Corrupt Practices Act of 1977, as amended, and the rules and regulations thereunder.</w:t>
      </w:r>
    </w:p>
    <w:p>
      <w:pPr>
        <w:spacing w:after="0" w:line="171" w:lineRule="exact"/>
        <w:rPr>
          <w:sz w:val="20"/>
          <w:szCs w:val="20"/>
          <w:color w:val="auto"/>
        </w:rPr>
      </w:pPr>
    </w:p>
    <w:p>
      <w:pPr>
        <w:jc w:val="both"/>
        <w:ind w:left="620" w:right="20" w:firstLine="642"/>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Anti-Money Laundering Laws</w:t>
      </w:r>
      <w:r>
        <w:rPr>
          <w:rFonts w:ascii="Times New Roman" w:cs="Times New Roman" w:eastAsia="Times New Roman" w:hAnsi="Times New Roman"/>
          <w:sz w:val="19"/>
          <w:szCs w:val="19"/>
          <w:color w:val="auto"/>
        </w:rPr>
        <w:t>” means any and all laws, statutes, regulations or obligatory government decrees, orders, ordinances or rules applicable to the Borrowers or their respective Subsidiaries or Affiliates related to terrorism financing or money laundering including any applicable provision of the PATRIOT Act and The Currency and Foreign Transactions Reporting Act (also known as the “Bank Secrecy Act,” 31 U.S.C. §§ 5311-5330 and 12 U.S.C. §§ 1818(s), 1820(b) and 1951-1959).</w:t>
      </w:r>
    </w:p>
    <w:p>
      <w:pPr>
        <w:spacing w:after="0" w:line="160" w:lineRule="exact"/>
        <w:rPr>
          <w:sz w:val="20"/>
          <w:szCs w:val="20"/>
          <w:color w:val="auto"/>
        </w:rPr>
      </w:pPr>
    </w:p>
    <w:p>
      <w:pPr>
        <w:jc w:val="both"/>
        <w:ind w:left="620" w:right="20" w:firstLine="642"/>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Designee</w:t>
      </w:r>
      <w:r>
        <w:rPr>
          <w:rFonts w:ascii="Times New Roman" w:cs="Times New Roman" w:eastAsia="Times New Roman" w:hAnsi="Times New Roman"/>
          <w:sz w:val="20"/>
          <w:szCs w:val="20"/>
          <w:color w:val="auto"/>
        </w:rPr>
        <w:t>” means any office, branch or Affiliate of a Lender designated thereby from time to time by written notice to the Administrative Agent and Centuri to fund all or any portion of such Lender’s Canadian Revolving Credit Loans and, to the extent applicable, any Incremental Term Loan made to any Canadian Borrower under this Agreement. Notwithstanding the designation by any Lender of an Applicable Designee, the Borrowers and the Administrative Agent shall be permitted to deal solely and directly with such Lender in connection with such Lender’s rights and obligations under this Agreement, and no such designation shall relieve any such Lender of its obligations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3</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-43180</wp:posOffset>
            </wp:positionV>
            <wp:extent cx="8255" cy="1016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06">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1020"/>
          </w:cols>
          <w:pgMar w:left="380" w:top="1440" w:right="499" w:bottom="1440" w:gutter="0" w:footer="0" w:header="0"/>
        </w:sectPr>
      </w:pPr>
    </w:p>
    <w:bookmarkStart w:id="152" w:name="page153"/>
    <w:bookmarkEnd w:id="152"/>
    <w:p>
      <w:pPr>
        <w:spacing w:after="0" w:line="202" w:lineRule="exact"/>
        <w:rPr>
          <w:sz w:val="20"/>
          <w:szCs w:val="20"/>
          <w:color w:val="auto"/>
        </w:rPr>
      </w:pPr>
    </w:p>
    <w:p>
      <w:pPr>
        <w:jc w:val="both"/>
        <w:ind w:left="620" w:right="60" w:firstLine="642"/>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Law</w:t>
      </w:r>
      <w:r>
        <w:rPr>
          <w:rFonts w:ascii="Times New Roman" w:cs="Times New Roman" w:eastAsia="Times New Roman" w:hAnsi="Times New Roman"/>
          <w:sz w:val="20"/>
          <w:szCs w:val="20"/>
          <w:color w:val="auto"/>
        </w:rPr>
        <w:t>” means all applicable provisions of constitutions, laws, statutes, ordinances, rules, treaties, regulations, permits, licenses, approvals, interpretations and orders of courts or Governmental Authorities and all orders and decrees of all courts and arbitrators.</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Margin</w:t>
      </w:r>
      <w:r>
        <w:rPr>
          <w:rFonts w:ascii="Times New Roman" w:cs="Times New Roman" w:eastAsia="Times New Roman" w:hAnsi="Times New Roman"/>
          <w:sz w:val="20"/>
          <w:szCs w:val="20"/>
          <w:color w:val="auto"/>
        </w:rPr>
        <w:t>” means:</w:t>
      </w:r>
    </w:p>
    <w:p>
      <w:pPr>
        <w:spacing w:after="0" w:line="225" w:lineRule="exact"/>
        <w:rPr>
          <w:sz w:val="20"/>
          <w:szCs w:val="20"/>
          <w:color w:val="auto"/>
        </w:rPr>
      </w:pPr>
    </w:p>
    <w:p>
      <w:pPr>
        <w:ind w:left="1880" w:hanging="614"/>
        <w:spacing w:after="0"/>
        <w:tabs>
          <w:tab w:leader="none" w:pos="18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Initial Term Loans, (i) for SOFR Loans, 2.50% per annum and (ii) for Base Rate Loans, 1.50%</w:t>
      </w:r>
    </w:p>
    <w:p>
      <w:pPr>
        <w:spacing w:after="0" w:line="19" w:lineRule="exact"/>
        <w:rPr>
          <w:rFonts w:ascii="Times New Roman" w:cs="Times New Roman" w:eastAsia="Times New Roman" w:hAnsi="Times New Roman"/>
          <w:sz w:val="20"/>
          <w:szCs w:val="20"/>
          <w:color w:val="auto"/>
        </w:rPr>
      </w:pPr>
    </w:p>
    <w:p>
      <w:pPr>
        <w:ind w:left="6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 annum; and</w:t>
      </w:r>
    </w:p>
    <w:p>
      <w:pPr>
        <w:spacing w:after="0" w:line="202" w:lineRule="exact"/>
        <w:rPr>
          <w:rFonts w:ascii="Times New Roman" w:cs="Times New Roman" w:eastAsia="Times New Roman" w:hAnsi="Times New Roman"/>
          <w:sz w:val="20"/>
          <w:szCs w:val="20"/>
          <w:color w:val="auto"/>
        </w:rPr>
      </w:pPr>
    </w:p>
    <w:p>
      <w:pPr>
        <w:ind w:left="620" w:right="40" w:firstLine="646"/>
        <w:spacing w:after="0" w:line="263" w:lineRule="auto"/>
        <w:tabs>
          <w:tab w:leader="none" w:pos="1865"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Revolving Credit Facility, the corresponding percentages per annum as set forth below based on the Consolidated Net Leverage Ratio:</w:t>
      </w:r>
    </w:p>
    <w:p>
      <w:pPr>
        <w:spacing w:after="0" w:line="234" w:lineRule="exact"/>
        <w:rPr>
          <w:sz w:val="20"/>
          <w:szCs w:val="20"/>
          <w:color w:val="auto"/>
        </w:rPr>
      </w:pPr>
    </w:p>
    <w:tbl>
      <w:tblPr>
        <w:tblLayout w:type="fixed"/>
        <w:tblInd w:w="610" w:type="dxa"/>
        <w:tblCellMar>
          <w:top w:w="0" w:type="dxa"/>
          <w:left w:w="0" w:type="dxa"/>
          <w:bottom w:w="0" w:type="dxa"/>
          <w:right w:w="0" w:type="dxa"/>
        </w:tblCellMar>
      </w:tblPr>
      <w:tr>
        <w:trPr>
          <w:trHeight w:val="232"/>
        </w:trPr>
        <w:tc>
          <w:tcPr>
            <w:tcW w:w="1260" w:type="dxa"/>
            <w:vAlign w:val="bottom"/>
            <w:tcBorders>
              <w:top w:val="single" w:sz="8" w:color="010101"/>
              <w:left w:val="single" w:sz="8" w:color="auto"/>
              <w:right w:val="single" w:sz="8" w:color="010101"/>
            </w:tcBorders>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9"/>
              </w:rPr>
              <w:t>Pricing</w:t>
            </w:r>
          </w:p>
        </w:tc>
        <w:tc>
          <w:tcPr>
            <w:tcW w:w="3560" w:type="dxa"/>
            <w:vAlign w:val="bottom"/>
            <w:tcBorders>
              <w:top w:val="single" w:sz="8" w:color="010101"/>
              <w:right w:val="single" w:sz="8" w:color="010101"/>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Consolidated Net Leverage Ratio</w:t>
            </w:r>
          </w:p>
        </w:tc>
        <w:tc>
          <w:tcPr>
            <w:tcW w:w="1540" w:type="dxa"/>
            <w:vAlign w:val="bottom"/>
            <w:tcBorders>
              <w:top w:val="single" w:sz="8" w:color="auto"/>
              <w:right w:val="single" w:sz="8" w:color="010101"/>
            </w:tcBorders>
            <w:gridSpan w:val="6"/>
          </w:tcPr>
          <w:p>
            <w:pPr>
              <w:ind w:left="200"/>
              <w:spacing w:after="0"/>
              <w:rPr>
                <w:sz w:val="20"/>
                <w:szCs w:val="20"/>
                <w:color w:val="auto"/>
              </w:rPr>
            </w:pPr>
            <w:r>
              <w:rPr>
                <w:rFonts w:ascii="Times New Roman" w:cs="Times New Roman" w:eastAsia="Times New Roman" w:hAnsi="Times New Roman"/>
                <w:sz w:val="18"/>
                <w:szCs w:val="18"/>
                <w:b w:val="1"/>
                <w:bCs w:val="1"/>
                <w:color w:val="auto"/>
              </w:rPr>
              <w:t>Adjusted Term</w:t>
            </w:r>
          </w:p>
        </w:tc>
        <w:tc>
          <w:tcPr>
            <w:tcW w:w="1700" w:type="dxa"/>
            <w:vAlign w:val="bottom"/>
            <w:tcBorders>
              <w:top w:val="single" w:sz="8" w:color="auto"/>
              <w:right w:val="single" w:sz="8" w:color="010101"/>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Base Rate and</w:t>
            </w:r>
          </w:p>
        </w:tc>
        <w:tc>
          <w:tcPr>
            <w:tcW w:w="1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Commitment Fee</w:t>
            </w:r>
          </w:p>
        </w:tc>
      </w:tr>
      <w:tr>
        <w:trPr>
          <w:trHeight w:val="214"/>
        </w:trPr>
        <w:tc>
          <w:tcPr>
            <w:tcW w:w="1260" w:type="dxa"/>
            <w:vAlign w:val="bottom"/>
            <w:tcBorders>
              <w:left w:val="single" w:sz="8" w:color="auto"/>
              <w:right w:val="single" w:sz="8" w:color="010101"/>
            </w:tcBorders>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5"/>
              </w:rPr>
              <w:t>Level</w:t>
            </w:r>
          </w:p>
        </w:tc>
        <w:tc>
          <w:tcPr>
            <w:tcW w:w="3560" w:type="dxa"/>
            <w:vAlign w:val="bottom"/>
            <w:tcBorders>
              <w:right w:val="single" w:sz="8" w:color="010101"/>
            </w:tcBorders>
          </w:tcPr>
          <w:p>
            <w:pPr>
              <w:spacing w:after="0"/>
              <w:rPr>
                <w:sz w:val="18"/>
                <w:szCs w:val="18"/>
                <w:color w:val="auto"/>
              </w:rPr>
            </w:pPr>
          </w:p>
        </w:tc>
        <w:tc>
          <w:tcPr>
            <w:tcW w:w="9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SOFR and</w:t>
            </w:r>
          </w:p>
        </w:tc>
        <w:tc>
          <w:tcPr>
            <w:tcW w:w="620" w:type="dxa"/>
            <w:vAlign w:val="bottom"/>
            <w:tcBorders>
              <w:right w:val="single" w:sz="8" w:color="010101"/>
            </w:tcBorders>
            <w:gridSpan w:val="3"/>
          </w:tcPr>
          <w:p>
            <w:pPr>
              <w:spacing w:after="0"/>
              <w:rPr>
                <w:sz w:val="20"/>
                <w:szCs w:val="20"/>
                <w:color w:val="auto"/>
              </w:rPr>
            </w:pPr>
            <w:r>
              <w:rPr>
                <w:rFonts w:ascii="Times New Roman" w:cs="Times New Roman" w:eastAsia="Times New Roman" w:hAnsi="Times New Roman"/>
                <w:sz w:val="18"/>
                <w:szCs w:val="18"/>
                <w:b w:val="1"/>
                <w:bCs w:val="1"/>
                <w:color w:val="FF0000"/>
                <w:strike w:val="1"/>
              </w:rPr>
              <w:t>CDOR</w:t>
            </w:r>
          </w:p>
        </w:tc>
        <w:tc>
          <w:tcPr>
            <w:tcW w:w="1700" w:type="dxa"/>
            <w:vAlign w:val="bottom"/>
            <w:tcBorders>
              <w:right w:val="single" w:sz="8" w:color="010101"/>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Canadian Base</w:t>
            </w:r>
          </w:p>
        </w:tc>
        <w:tc>
          <w:tcPr>
            <w:tcW w:w="1700" w:type="dxa"/>
            <w:vAlign w:val="bottom"/>
            <w:tcBorders>
              <w:right w:val="single" w:sz="8" w:color="auto"/>
            </w:tcBorders>
          </w:tcPr>
          <w:p>
            <w:pPr>
              <w:spacing w:after="0"/>
              <w:rPr>
                <w:sz w:val="18"/>
                <w:szCs w:val="18"/>
                <w:color w:val="auto"/>
              </w:rPr>
            </w:pPr>
          </w:p>
        </w:tc>
      </w:tr>
      <w:tr>
        <w:trPr>
          <w:trHeight w:val="196"/>
        </w:trPr>
        <w:tc>
          <w:tcPr>
            <w:tcW w:w="1260" w:type="dxa"/>
            <w:vAlign w:val="bottom"/>
            <w:tcBorders>
              <w:left w:val="single" w:sz="8" w:color="auto"/>
              <w:right w:val="single" w:sz="8" w:color="010101"/>
            </w:tcBorders>
          </w:tcPr>
          <w:p>
            <w:pPr>
              <w:spacing w:after="0"/>
              <w:rPr>
                <w:sz w:val="17"/>
                <w:szCs w:val="17"/>
                <w:color w:val="auto"/>
              </w:rPr>
            </w:pPr>
          </w:p>
        </w:tc>
        <w:tc>
          <w:tcPr>
            <w:tcW w:w="3560" w:type="dxa"/>
            <w:vAlign w:val="bottom"/>
            <w:tcBorders>
              <w:right w:val="single" w:sz="8" w:color="010101"/>
            </w:tcBorders>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94"/>
              </w:rPr>
              <w:t>Rate</w:t>
            </w:r>
          </w:p>
        </w:tc>
        <w:tc>
          <w:tcPr>
            <w:tcW w:w="940" w:type="dxa"/>
            <w:vAlign w:val="bottom"/>
            <w:tcBorders>
              <w:right w:val="single" w:sz="8" w:color="010101"/>
            </w:tcBorders>
            <w:gridSpan w:val="4"/>
          </w:tcPr>
          <w:p>
            <w:pPr>
              <w:spacing w:after="0" w:line="196" w:lineRule="exact"/>
              <w:rPr>
                <w:sz w:val="20"/>
                <w:szCs w:val="20"/>
                <w:color w:val="auto"/>
              </w:rPr>
            </w:pPr>
            <w:r>
              <w:rPr>
                <w:rFonts w:ascii="Times New Roman" w:cs="Times New Roman" w:eastAsia="Times New Roman" w:hAnsi="Times New Roman"/>
                <w:sz w:val="18"/>
                <w:szCs w:val="18"/>
                <w:b w:val="1"/>
                <w:bCs w:val="1"/>
                <w:color w:val="0000FF"/>
              </w:rPr>
              <w:t>Adjusted</w:t>
            </w:r>
          </w:p>
        </w:tc>
        <w:tc>
          <w:tcPr>
            <w:tcW w:w="1700" w:type="dxa"/>
            <w:vAlign w:val="bottom"/>
            <w:tcBorders>
              <w:right w:val="single" w:sz="8" w:color="010101"/>
            </w:tcBorders>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8"/>
              </w:rPr>
              <w:t>Rate +</w:t>
            </w:r>
          </w:p>
        </w:tc>
        <w:tc>
          <w:tcPr>
            <w:tcW w:w="1700" w:type="dxa"/>
            <w:vAlign w:val="bottom"/>
            <w:tcBorders>
              <w:right w:val="single" w:sz="8" w:color="auto"/>
            </w:tcBorders>
          </w:tcPr>
          <w:p>
            <w:pPr>
              <w:spacing w:after="0"/>
              <w:rPr>
                <w:sz w:val="17"/>
                <w:szCs w:val="17"/>
                <w:color w:val="auto"/>
              </w:rPr>
            </w:pPr>
          </w:p>
        </w:tc>
      </w:tr>
      <w:tr>
        <w:trPr>
          <w:trHeight w:val="20"/>
        </w:trPr>
        <w:tc>
          <w:tcPr>
            <w:tcW w:w="1260" w:type="dxa"/>
            <w:vAlign w:val="bottom"/>
            <w:tcBorders>
              <w:left w:val="single" w:sz="8" w:color="auto"/>
              <w:right w:val="single" w:sz="8" w:color="010101"/>
            </w:tcBorders>
          </w:tcPr>
          <w:p>
            <w:pPr>
              <w:spacing w:after="0" w:line="20" w:lineRule="exact"/>
              <w:rPr>
                <w:sz w:val="1"/>
                <w:szCs w:val="1"/>
                <w:color w:val="auto"/>
              </w:rPr>
            </w:pPr>
          </w:p>
        </w:tc>
        <w:tc>
          <w:tcPr>
            <w:tcW w:w="3560" w:type="dxa"/>
            <w:vAlign w:val="bottom"/>
            <w:tcBorders>
              <w:right w:val="single" w:sz="8" w:color="010101"/>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right w:val="single" w:sz="8" w:color="010101"/>
            </w:tcBorders>
          </w:tcPr>
          <w:p>
            <w:pPr>
              <w:spacing w:after="0" w:line="20" w:lineRule="exact"/>
              <w:rPr>
                <w:sz w:val="1"/>
                <w:szCs w:val="1"/>
                <w:color w:val="auto"/>
              </w:rPr>
            </w:pPr>
          </w:p>
        </w:tc>
        <w:tc>
          <w:tcPr>
            <w:tcW w:w="1700" w:type="dxa"/>
            <w:vAlign w:val="bottom"/>
            <w:tcBorders>
              <w:right w:val="single" w:sz="8" w:color="010101"/>
            </w:tcBorders>
          </w:tcPr>
          <w:p>
            <w:pPr>
              <w:spacing w:after="0" w:line="20" w:lineRule="exact"/>
              <w:rPr>
                <w:sz w:val="1"/>
                <w:szCs w:val="1"/>
                <w:color w:val="auto"/>
              </w:rPr>
            </w:pPr>
          </w:p>
        </w:tc>
        <w:tc>
          <w:tcPr>
            <w:tcW w:w="1700" w:type="dxa"/>
            <w:vAlign w:val="bottom"/>
            <w:tcBorders>
              <w:right w:val="single" w:sz="8" w:color="auto"/>
            </w:tcBorders>
          </w:tcPr>
          <w:p>
            <w:pPr>
              <w:spacing w:after="0" w:line="20" w:lineRule="exact"/>
              <w:rPr>
                <w:sz w:val="1"/>
                <w:szCs w:val="1"/>
                <w:color w:val="auto"/>
              </w:rPr>
            </w:pPr>
          </w:p>
        </w:tc>
      </w:tr>
      <w:tr>
        <w:trPr>
          <w:trHeight w:val="194"/>
        </w:trPr>
        <w:tc>
          <w:tcPr>
            <w:tcW w:w="1260" w:type="dxa"/>
            <w:vAlign w:val="bottom"/>
            <w:tcBorders>
              <w:left w:val="single" w:sz="8" w:color="auto"/>
              <w:right w:val="single" w:sz="8" w:color="010101"/>
            </w:tcBorders>
          </w:tcPr>
          <w:p>
            <w:pPr>
              <w:spacing w:after="0"/>
              <w:rPr>
                <w:sz w:val="16"/>
                <w:szCs w:val="16"/>
                <w:color w:val="auto"/>
              </w:rPr>
            </w:pPr>
          </w:p>
        </w:tc>
        <w:tc>
          <w:tcPr>
            <w:tcW w:w="3560" w:type="dxa"/>
            <w:vAlign w:val="bottom"/>
            <w:tcBorders>
              <w:right w:val="single" w:sz="8" w:color="010101"/>
            </w:tcBorders>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Borders>
              <w:bottom w:val="single" w:sz="8" w:color="0000FF"/>
            </w:tcBorders>
            <w:gridSpan w:val="4"/>
          </w:tcPr>
          <w:p>
            <w:pPr>
              <w:spacing w:after="0" w:line="194" w:lineRule="exact"/>
              <w:rPr>
                <w:sz w:val="20"/>
                <w:szCs w:val="20"/>
                <w:color w:val="auto"/>
              </w:rPr>
            </w:pPr>
            <w:r>
              <w:rPr>
                <w:rFonts w:ascii="Times New Roman" w:cs="Times New Roman" w:eastAsia="Times New Roman" w:hAnsi="Times New Roman"/>
                <w:sz w:val="18"/>
                <w:szCs w:val="18"/>
                <w:b w:val="1"/>
                <w:bCs w:val="1"/>
                <w:color w:val="0000FF"/>
                <w:w w:val="96"/>
              </w:rPr>
              <w:t>Term CORRA</w:t>
            </w:r>
          </w:p>
        </w:tc>
        <w:tc>
          <w:tcPr>
            <w:tcW w:w="220" w:type="dxa"/>
            <w:vAlign w:val="bottom"/>
            <w:tcBorders>
              <w:right w:val="single" w:sz="8" w:color="010101"/>
            </w:tcBorders>
          </w:tcPr>
          <w:p>
            <w:pPr>
              <w:spacing w:after="0"/>
              <w:rPr>
                <w:sz w:val="16"/>
                <w:szCs w:val="16"/>
                <w:color w:val="auto"/>
              </w:rPr>
            </w:pPr>
          </w:p>
        </w:tc>
        <w:tc>
          <w:tcPr>
            <w:tcW w:w="1700" w:type="dxa"/>
            <w:vAlign w:val="bottom"/>
            <w:tcBorders>
              <w:right w:val="single" w:sz="8" w:color="010101"/>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r>
      <w:tr>
        <w:trPr>
          <w:trHeight w:val="234"/>
        </w:trPr>
        <w:tc>
          <w:tcPr>
            <w:tcW w:w="1260" w:type="dxa"/>
            <w:vAlign w:val="bottom"/>
            <w:tcBorders>
              <w:left w:val="single" w:sz="8" w:color="auto"/>
              <w:bottom w:val="single" w:sz="8" w:color="010101"/>
              <w:right w:val="single" w:sz="8" w:color="010101"/>
            </w:tcBorders>
          </w:tcPr>
          <w:p>
            <w:pPr>
              <w:spacing w:after="0"/>
              <w:rPr>
                <w:sz w:val="20"/>
                <w:szCs w:val="20"/>
                <w:color w:val="auto"/>
              </w:rPr>
            </w:pPr>
          </w:p>
        </w:tc>
        <w:tc>
          <w:tcPr>
            <w:tcW w:w="3560" w:type="dxa"/>
            <w:vAlign w:val="bottom"/>
            <w:tcBorders>
              <w:bottom w:val="single" w:sz="8" w:color="010101"/>
              <w:right w:val="single" w:sz="8" w:color="010101"/>
            </w:tcBorders>
          </w:tcPr>
          <w:p>
            <w:pPr>
              <w:spacing w:after="0"/>
              <w:rPr>
                <w:sz w:val="20"/>
                <w:szCs w:val="20"/>
                <w:color w:val="auto"/>
              </w:rPr>
            </w:pPr>
          </w:p>
        </w:tc>
        <w:tc>
          <w:tcPr>
            <w:tcW w:w="920" w:type="dxa"/>
            <w:vAlign w:val="bottom"/>
            <w:tcBorders>
              <w:bottom w:val="single" w:sz="8" w:color="010101"/>
            </w:tcBorders>
            <w:gridSpan w:val="3"/>
          </w:tcPr>
          <w:p>
            <w:pPr>
              <w:jc w:val="center"/>
              <w:ind w:left="531"/>
              <w:spacing w:after="0"/>
              <w:rPr>
                <w:sz w:val="20"/>
                <w:szCs w:val="20"/>
                <w:color w:val="auto"/>
              </w:rPr>
            </w:pPr>
            <w:r>
              <w:rPr>
                <w:rFonts w:ascii="Times New Roman" w:cs="Times New Roman" w:eastAsia="Times New Roman" w:hAnsi="Times New Roman"/>
                <w:sz w:val="18"/>
                <w:szCs w:val="18"/>
                <w:b w:val="1"/>
                <w:bCs w:val="1"/>
                <w:color w:val="auto"/>
                <w:w w:val="96"/>
              </w:rPr>
              <w:t>+</w:t>
            </w:r>
          </w:p>
        </w:tc>
        <w:tc>
          <w:tcPr>
            <w:tcW w:w="360" w:type="dxa"/>
            <w:vAlign w:val="bottom"/>
            <w:tcBorders>
              <w:bottom w:val="single" w:sz="8" w:color="010101"/>
            </w:tcBorders>
          </w:tcPr>
          <w:p>
            <w:pPr>
              <w:spacing w:after="0"/>
              <w:rPr>
                <w:sz w:val="20"/>
                <w:szCs w:val="20"/>
                <w:color w:val="auto"/>
              </w:rPr>
            </w:pPr>
          </w:p>
        </w:tc>
        <w:tc>
          <w:tcPr>
            <w:tcW w:w="40" w:type="dxa"/>
            <w:vAlign w:val="bottom"/>
            <w:tcBorders>
              <w:bottom w:val="single" w:sz="8" w:color="010101"/>
            </w:tcBorders>
          </w:tcPr>
          <w:p>
            <w:pPr>
              <w:spacing w:after="0"/>
              <w:rPr>
                <w:sz w:val="20"/>
                <w:szCs w:val="20"/>
                <w:color w:val="auto"/>
              </w:rPr>
            </w:pPr>
          </w:p>
        </w:tc>
        <w:tc>
          <w:tcPr>
            <w:tcW w:w="220" w:type="dxa"/>
            <w:vAlign w:val="bottom"/>
            <w:tcBorders>
              <w:bottom w:val="single" w:sz="8" w:color="010101"/>
              <w:right w:val="single" w:sz="8" w:color="010101"/>
            </w:tcBorders>
          </w:tcPr>
          <w:p>
            <w:pPr>
              <w:spacing w:after="0"/>
              <w:rPr>
                <w:sz w:val="20"/>
                <w:szCs w:val="20"/>
                <w:color w:val="auto"/>
              </w:rPr>
            </w:pPr>
          </w:p>
        </w:tc>
        <w:tc>
          <w:tcPr>
            <w:tcW w:w="1700" w:type="dxa"/>
            <w:vAlign w:val="bottom"/>
            <w:tcBorders>
              <w:bottom w:val="single" w:sz="8" w:color="010101"/>
              <w:right w:val="single" w:sz="8" w:color="010101"/>
            </w:tcBorders>
          </w:tcPr>
          <w:p>
            <w:pPr>
              <w:spacing w:after="0"/>
              <w:rPr>
                <w:sz w:val="20"/>
                <w:szCs w:val="20"/>
                <w:color w:val="auto"/>
              </w:rPr>
            </w:pPr>
          </w:p>
        </w:tc>
        <w:tc>
          <w:tcPr>
            <w:tcW w:w="1700" w:type="dxa"/>
            <w:vAlign w:val="bottom"/>
            <w:tcBorders>
              <w:bottom w:val="single" w:sz="8" w:color="010101"/>
              <w:right w:val="single" w:sz="8" w:color="auto"/>
            </w:tcBorders>
          </w:tcPr>
          <w:p>
            <w:pPr>
              <w:spacing w:after="0"/>
              <w:rPr>
                <w:sz w:val="20"/>
                <w:szCs w:val="20"/>
                <w:color w:val="auto"/>
              </w:rPr>
            </w:pPr>
          </w:p>
        </w:tc>
      </w:tr>
      <w:tr>
        <w:trPr>
          <w:trHeight w:val="230"/>
        </w:trPr>
        <w:tc>
          <w:tcPr>
            <w:tcW w:w="1260" w:type="dxa"/>
            <w:vAlign w:val="bottom"/>
            <w:tcBorders>
              <w:left w:val="single" w:sz="8" w:color="auto"/>
              <w:bottom w:val="single" w:sz="8" w:color="010101"/>
              <w:right w:val="single" w:sz="8" w:color="010101"/>
            </w:tcBorders>
          </w:tcPr>
          <w:p>
            <w:pPr>
              <w:ind w:left="600"/>
              <w:spacing w:after="0"/>
              <w:rPr>
                <w:sz w:val="20"/>
                <w:szCs w:val="20"/>
                <w:color w:val="auto"/>
              </w:rPr>
            </w:pPr>
            <w:r>
              <w:rPr>
                <w:rFonts w:ascii="Times New Roman" w:cs="Times New Roman" w:eastAsia="Times New Roman" w:hAnsi="Times New Roman"/>
                <w:sz w:val="18"/>
                <w:szCs w:val="18"/>
                <w:color w:val="auto"/>
              </w:rPr>
              <w:t>I</w:t>
            </w:r>
          </w:p>
        </w:tc>
        <w:tc>
          <w:tcPr>
            <w:tcW w:w="3560" w:type="dxa"/>
            <w:vAlign w:val="bottom"/>
            <w:tcBorders>
              <w:bottom w:val="single" w:sz="8" w:color="010101"/>
              <w:right w:val="single" w:sz="8" w:color="010101"/>
            </w:tcBorders>
          </w:tcPr>
          <w:p>
            <w:pPr>
              <w:ind w:left="60"/>
              <w:spacing w:after="0"/>
              <w:rPr>
                <w:sz w:val="20"/>
                <w:szCs w:val="20"/>
                <w:color w:val="auto"/>
              </w:rPr>
            </w:pPr>
            <w:r>
              <w:rPr>
                <w:rFonts w:ascii="Times New Roman" w:cs="Times New Roman" w:eastAsia="Times New Roman" w:hAnsi="Times New Roman"/>
                <w:sz w:val="18"/>
                <w:szCs w:val="18"/>
                <w:color w:val="auto"/>
              </w:rPr>
              <w:t>Less than or equal to 2.00 to 1.00</w:t>
            </w:r>
          </w:p>
        </w:tc>
        <w:tc>
          <w:tcPr>
            <w:tcW w:w="1280" w:type="dxa"/>
            <w:vAlign w:val="bottom"/>
            <w:tcBorders>
              <w:bottom w:val="single" w:sz="8" w:color="010101"/>
            </w:tcBorders>
            <w:gridSpan w:val="4"/>
          </w:tcPr>
          <w:p>
            <w:pPr>
              <w:jc w:val="center"/>
              <w:ind w:left="171"/>
              <w:spacing w:after="0"/>
              <w:rPr>
                <w:sz w:val="20"/>
                <w:szCs w:val="20"/>
                <w:color w:val="auto"/>
              </w:rPr>
            </w:pPr>
            <w:r>
              <w:rPr>
                <w:rFonts w:ascii="Times New Roman" w:cs="Times New Roman" w:eastAsia="Times New Roman" w:hAnsi="Times New Roman"/>
                <w:sz w:val="18"/>
                <w:szCs w:val="18"/>
                <w:color w:val="auto"/>
                <w:w w:val="98"/>
              </w:rPr>
              <w:t>1.00%</w:t>
            </w:r>
          </w:p>
        </w:tc>
        <w:tc>
          <w:tcPr>
            <w:tcW w:w="40" w:type="dxa"/>
            <w:vAlign w:val="bottom"/>
            <w:tcBorders>
              <w:bottom w:val="single" w:sz="8" w:color="010101"/>
            </w:tcBorders>
          </w:tcPr>
          <w:p>
            <w:pPr>
              <w:spacing w:after="0"/>
              <w:rPr>
                <w:sz w:val="20"/>
                <w:szCs w:val="20"/>
                <w:color w:val="auto"/>
              </w:rPr>
            </w:pPr>
          </w:p>
        </w:tc>
        <w:tc>
          <w:tcPr>
            <w:tcW w:w="220" w:type="dxa"/>
            <w:vAlign w:val="bottom"/>
            <w:tcBorders>
              <w:bottom w:val="single" w:sz="8" w:color="010101"/>
              <w:right w:val="single" w:sz="8" w:color="010101"/>
            </w:tcBorders>
          </w:tcPr>
          <w:p>
            <w:pPr>
              <w:spacing w:after="0"/>
              <w:rPr>
                <w:sz w:val="20"/>
                <w:szCs w:val="20"/>
                <w:color w:val="auto"/>
              </w:rPr>
            </w:pPr>
          </w:p>
        </w:tc>
        <w:tc>
          <w:tcPr>
            <w:tcW w:w="1700" w:type="dxa"/>
            <w:vAlign w:val="bottom"/>
            <w:tcBorders>
              <w:bottom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1700" w:type="dxa"/>
            <w:vAlign w:val="bottom"/>
            <w:tcBorders>
              <w:bottom w:val="single" w:sz="8" w:color="010101"/>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0.150%</w:t>
            </w:r>
          </w:p>
        </w:tc>
      </w:tr>
      <w:tr>
        <w:trPr>
          <w:trHeight w:val="252"/>
        </w:trPr>
        <w:tc>
          <w:tcPr>
            <w:tcW w:w="1260" w:type="dxa"/>
            <w:vAlign w:val="bottom"/>
            <w:tcBorders>
              <w:left w:val="single" w:sz="8" w:color="auto"/>
              <w:right w:val="single" w:sz="8" w:color="010101"/>
            </w:tcBorders>
          </w:tcPr>
          <w:p>
            <w:pPr>
              <w:jc w:val="center"/>
              <w:ind w:left="131"/>
              <w:spacing w:after="0"/>
              <w:rPr>
                <w:sz w:val="20"/>
                <w:szCs w:val="20"/>
                <w:color w:val="auto"/>
              </w:rPr>
            </w:pPr>
            <w:r>
              <w:rPr>
                <w:rFonts w:ascii="Times New Roman" w:cs="Times New Roman" w:eastAsia="Times New Roman" w:hAnsi="Times New Roman"/>
                <w:sz w:val="18"/>
                <w:szCs w:val="18"/>
                <w:color w:val="auto"/>
                <w:w w:val="99"/>
              </w:rPr>
              <w:t>II</w:t>
            </w:r>
          </w:p>
        </w:tc>
        <w:tc>
          <w:tcPr>
            <w:tcW w:w="3560" w:type="dxa"/>
            <w:vAlign w:val="bottom"/>
            <w:tcBorders>
              <w:right w:val="single" w:sz="8" w:color="010101"/>
            </w:tcBorders>
          </w:tcPr>
          <w:p>
            <w:pPr>
              <w:ind w:left="60"/>
              <w:spacing w:after="0"/>
              <w:rPr>
                <w:sz w:val="20"/>
                <w:szCs w:val="20"/>
                <w:color w:val="auto"/>
              </w:rPr>
            </w:pPr>
            <w:r>
              <w:rPr>
                <w:rFonts w:ascii="Times New Roman" w:cs="Times New Roman" w:eastAsia="Times New Roman" w:hAnsi="Times New Roman"/>
                <w:sz w:val="18"/>
                <w:szCs w:val="18"/>
                <w:color w:val="auto"/>
              </w:rPr>
              <w:t>Greater than 2.00 to 1.00, but less than or equal</w:t>
            </w:r>
          </w:p>
        </w:tc>
        <w:tc>
          <w:tcPr>
            <w:tcW w:w="1280" w:type="dxa"/>
            <w:vAlign w:val="bottom"/>
            <w:gridSpan w:val="4"/>
          </w:tcPr>
          <w:p>
            <w:pPr>
              <w:jc w:val="center"/>
              <w:ind w:left="171"/>
              <w:spacing w:after="0"/>
              <w:rPr>
                <w:sz w:val="20"/>
                <w:szCs w:val="20"/>
                <w:color w:val="auto"/>
              </w:rPr>
            </w:pPr>
            <w:r>
              <w:rPr>
                <w:rFonts w:ascii="Times New Roman" w:cs="Times New Roman" w:eastAsia="Times New Roman" w:hAnsi="Times New Roman"/>
                <w:sz w:val="18"/>
                <w:szCs w:val="18"/>
                <w:color w:val="auto"/>
                <w:w w:val="98"/>
              </w:rPr>
              <w:t>1.25%</w:t>
            </w:r>
          </w:p>
        </w:tc>
        <w:tc>
          <w:tcPr>
            <w:tcW w:w="40" w:type="dxa"/>
            <w:vAlign w:val="bottom"/>
          </w:tcPr>
          <w:p>
            <w:pPr>
              <w:spacing w:after="0"/>
              <w:rPr>
                <w:sz w:val="21"/>
                <w:szCs w:val="21"/>
                <w:color w:val="auto"/>
              </w:rPr>
            </w:pPr>
          </w:p>
        </w:tc>
        <w:tc>
          <w:tcPr>
            <w:tcW w:w="220" w:type="dxa"/>
            <w:vAlign w:val="bottom"/>
            <w:tcBorders>
              <w:right w:val="single" w:sz="8" w:color="010101"/>
            </w:tcBorders>
          </w:tcPr>
          <w:p>
            <w:pPr>
              <w:spacing w:after="0"/>
              <w:rPr>
                <w:sz w:val="21"/>
                <w:szCs w:val="21"/>
                <w:color w:val="auto"/>
              </w:rPr>
            </w:pPr>
          </w:p>
        </w:tc>
        <w:tc>
          <w:tcPr>
            <w:tcW w:w="1700" w:type="dxa"/>
            <w:vAlign w:val="bottom"/>
            <w:tcBorders>
              <w:right w:val="single" w:sz="8" w:color="010101"/>
            </w:tcBorders>
          </w:tcPr>
          <w:p>
            <w:pPr>
              <w:jc w:val="center"/>
              <w:spacing w:after="0"/>
              <w:rPr>
                <w:sz w:val="20"/>
                <w:szCs w:val="20"/>
                <w:color w:val="auto"/>
              </w:rPr>
            </w:pPr>
            <w:r>
              <w:rPr>
                <w:rFonts w:ascii="Times New Roman" w:cs="Times New Roman" w:eastAsia="Times New Roman" w:hAnsi="Times New Roman"/>
                <w:sz w:val="18"/>
                <w:szCs w:val="18"/>
                <w:color w:val="auto"/>
                <w:w w:val="98"/>
              </w:rPr>
              <w:t>0.25%</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0.175%</w:t>
            </w:r>
          </w:p>
        </w:tc>
      </w:tr>
      <w:tr>
        <w:trPr>
          <w:trHeight w:val="241"/>
        </w:trPr>
        <w:tc>
          <w:tcPr>
            <w:tcW w:w="1260" w:type="dxa"/>
            <w:vAlign w:val="bottom"/>
            <w:tcBorders>
              <w:left w:val="single" w:sz="8" w:color="auto"/>
              <w:right w:val="single" w:sz="8" w:color="010101"/>
            </w:tcBorders>
          </w:tcPr>
          <w:p>
            <w:pPr>
              <w:spacing w:after="0"/>
              <w:rPr>
                <w:sz w:val="20"/>
                <w:szCs w:val="20"/>
                <w:color w:val="auto"/>
              </w:rPr>
            </w:pPr>
          </w:p>
        </w:tc>
        <w:tc>
          <w:tcPr>
            <w:tcW w:w="3560" w:type="dxa"/>
            <w:vAlign w:val="bottom"/>
            <w:tcBorders>
              <w:right w:val="single" w:sz="8" w:color="010101"/>
            </w:tcBorders>
          </w:tcPr>
          <w:p>
            <w:pPr>
              <w:ind w:left="60"/>
              <w:spacing w:after="0"/>
              <w:rPr>
                <w:sz w:val="20"/>
                <w:szCs w:val="20"/>
                <w:color w:val="auto"/>
              </w:rPr>
            </w:pPr>
            <w:r>
              <w:rPr>
                <w:rFonts w:ascii="Times New Roman" w:cs="Times New Roman" w:eastAsia="Times New Roman" w:hAnsi="Times New Roman"/>
                <w:sz w:val="18"/>
                <w:szCs w:val="18"/>
                <w:color w:val="auto"/>
              </w:rPr>
              <w:t>to 2.50 to 1.00</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right w:val="single" w:sz="8" w:color="010101"/>
            </w:tcBorders>
          </w:tcPr>
          <w:p>
            <w:pPr>
              <w:spacing w:after="0"/>
              <w:rPr>
                <w:sz w:val="20"/>
                <w:szCs w:val="20"/>
                <w:color w:val="auto"/>
              </w:rPr>
            </w:pPr>
          </w:p>
        </w:tc>
        <w:tc>
          <w:tcPr>
            <w:tcW w:w="1700" w:type="dxa"/>
            <w:vAlign w:val="bottom"/>
            <w:tcBorders>
              <w:right w:val="single" w:sz="8" w:color="010101"/>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r>
      <w:tr>
        <w:trPr>
          <w:trHeight w:val="26"/>
        </w:trPr>
        <w:tc>
          <w:tcPr>
            <w:tcW w:w="1260" w:type="dxa"/>
            <w:vAlign w:val="bottom"/>
            <w:tcBorders>
              <w:left w:val="single" w:sz="8" w:color="auto"/>
              <w:bottom w:val="single" w:sz="8" w:color="010101"/>
              <w:right w:val="single" w:sz="8" w:color="010101"/>
            </w:tcBorders>
          </w:tcPr>
          <w:p>
            <w:pPr>
              <w:spacing w:after="0"/>
              <w:rPr>
                <w:sz w:val="2"/>
                <w:szCs w:val="2"/>
                <w:color w:val="auto"/>
              </w:rPr>
            </w:pPr>
          </w:p>
        </w:tc>
        <w:tc>
          <w:tcPr>
            <w:tcW w:w="3560" w:type="dxa"/>
            <w:vAlign w:val="bottom"/>
            <w:tcBorders>
              <w:bottom w:val="single" w:sz="8" w:color="010101"/>
              <w:right w:val="single" w:sz="8" w:color="010101"/>
            </w:tcBorders>
          </w:tcPr>
          <w:p>
            <w:pPr>
              <w:spacing w:after="0"/>
              <w:rPr>
                <w:sz w:val="2"/>
                <w:szCs w:val="2"/>
                <w:color w:val="auto"/>
              </w:rPr>
            </w:pPr>
          </w:p>
        </w:tc>
        <w:tc>
          <w:tcPr>
            <w:tcW w:w="200" w:type="dxa"/>
            <w:vAlign w:val="bottom"/>
            <w:tcBorders>
              <w:bottom w:val="single" w:sz="8" w:color="010101"/>
            </w:tcBorders>
          </w:tcPr>
          <w:p>
            <w:pPr>
              <w:spacing w:after="0"/>
              <w:rPr>
                <w:sz w:val="2"/>
                <w:szCs w:val="2"/>
                <w:color w:val="auto"/>
              </w:rPr>
            </w:pPr>
          </w:p>
        </w:tc>
        <w:tc>
          <w:tcPr>
            <w:tcW w:w="400" w:type="dxa"/>
            <w:vAlign w:val="bottom"/>
            <w:tcBorders>
              <w:bottom w:val="single" w:sz="8" w:color="010101"/>
            </w:tcBorders>
          </w:tcPr>
          <w:p>
            <w:pPr>
              <w:spacing w:after="0"/>
              <w:rPr>
                <w:sz w:val="2"/>
                <w:szCs w:val="2"/>
                <w:color w:val="auto"/>
              </w:rPr>
            </w:pPr>
          </w:p>
        </w:tc>
        <w:tc>
          <w:tcPr>
            <w:tcW w:w="320" w:type="dxa"/>
            <w:vAlign w:val="bottom"/>
            <w:tcBorders>
              <w:bottom w:val="single" w:sz="8" w:color="010101"/>
            </w:tcBorders>
          </w:tcPr>
          <w:p>
            <w:pPr>
              <w:spacing w:after="0"/>
              <w:rPr>
                <w:sz w:val="2"/>
                <w:szCs w:val="2"/>
                <w:color w:val="auto"/>
              </w:rPr>
            </w:pPr>
          </w:p>
        </w:tc>
        <w:tc>
          <w:tcPr>
            <w:tcW w:w="360" w:type="dxa"/>
            <w:vAlign w:val="bottom"/>
            <w:tcBorders>
              <w:bottom w:val="single" w:sz="8" w:color="010101"/>
            </w:tcBorders>
          </w:tcPr>
          <w:p>
            <w:pPr>
              <w:spacing w:after="0"/>
              <w:rPr>
                <w:sz w:val="2"/>
                <w:szCs w:val="2"/>
                <w:color w:val="auto"/>
              </w:rPr>
            </w:pPr>
          </w:p>
        </w:tc>
        <w:tc>
          <w:tcPr>
            <w:tcW w:w="40" w:type="dxa"/>
            <w:vAlign w:val="bottom"/>
            <w:tcBorders>
              <w:bottom w:val="single" w:sz="8" w:color="010101"/>
            </w:tcBorders>
          </w:tcPr>
          <w:p>
            <w:pPr>
              <w:spacing w:after="0"/>
              <w:rPr>
                <w:sz w:val="2"/>
                <w:szCs w:val="2"/>
                <w:color w:val="auto"/>
              </w:rPr>
            </w:pPr>
          </w:p>
        </w:tc>
        <w:tc>
          <w:tcPr>
            <w:tcW w:w="220" w:type="dxa"/>
            <w:vAlign w:val="bottom"/>
            <w:tcBorders>
              <w:bottom w:val="single" w:sz="8" w:color="010101"/>
              <w:right w:val="single" w:sz="8" w:color="010101"/>
            </w:tcBorders>
          </w:tcPr>
          <w:p>
            <w:pPr>
              <w:spacing w:after="0"/>
              <w:rPr>
                <w:sz w:val="2"/>
                <w:szCs w:val="2"/>
                <w:color w:val="auto"/>
              </w:rPr>
            </w:pPr>
          </w:p>
        </w:tc>
        <w:tc>
          <w:tcPr>
            <w:tcW w:w="1700" w:type="dxa"/>
            <w:vAlign w:val="bottom"/>
            <w:tcBorders>
              <w:bottom w:val="single" w:sz="8" w:color="010101"/>
              <w:right w:val="single" w:sz="8" w:color="010101"/>
            </w:tcBorders>
          </w:tcPr>
          <w:p>
            <w:pPr>
              <w:spacing w:after="0"/>
              <w:rPr>
                <w:sz w:val="2"/>
                <w:szCs w:val="2"/>
                <w:color w:val="auto"/>
              </w:rPr>
            </w:pPr>
          </w:p>
        </w:tc>
        <w:tc>
          <w:tcPr>
            <w:tcW w:w="1700" w:type="dxa"/>
            <w:vAlign w:val="bottom"/>
            <w:tcBorders>
              <w:bottom w:val="single" w:sz="8" w:color="010101"/>
              <w:right w:val="single" w:sz="8" w:color="auto"/>
            </w:tcBorders>
          </w:tcPr>
          <w:p>
            <w:pPr>
              <w:spacing w:after="0"/>
              <w:rPr>
                <w:sz w:val="2"/>
                <w:szCs w:val="2"/>
                <w:color w:val="auto"/>
              </w:rPr>
            </w:pPr>
          </w:p>
        </w:tc>
      </w:tr>
      <w:tr>
        <w:trPr>
          <w:trHeight w:val="248"/>
        </w:trPr>
        <w:tc>
          <w:tcPr>
            <w:tcW w:w="1260" w:type="dxa"/>
            <w:vAlign w:val="bottom"/>
            <w:tcBorders>
              <w:left w:val="single" w:sz="8" w:color="auto"/>
              <w:right w:val="single" w:sz="8" w:color="010101"/>
            </w:tcBorders>
          </w:tcPr>
          <w:p>
            <w:pPr>
              <w:jc w:val="center"/>
              <w:ind w:left="151"/>
              <w:spacing w:after="0"/>
              <w:rPr>
                <w:sz w:val="20"/>
                <w:szCs w:val="20"/>
                <w:color w:val="auto"/>
              </w:rPr>
            </w:pPr>
            <w:r>
              <w:rPr>
                <w:rFonts w:ascii="Times New Roman" w:cs="Times New Roman" w:eastAsia="Times New Roman" w:hAnsi="Times New Roman"/>
                <w:sz w:val="18"/>
                <w:szCs w:val="18"/>
                <w:color w:val="auto"/>
                <w:w w:val="99"/>
              </w:rPr>
              <w:t>III</w:t>
            </w:r>
          </w:p>
        </w:tc>
        <w:tc>
          <w:tcPr>
            <w:tcW w:w="3560" w:type="dxa"/>
            <w:vAlign w:val="bottom"/>
            <w:tcBorders>
              <w:right w:val="single" w:sz="8" w:color="010101"/>
            </w:tcBorders>
          </w:tcPr>
          <w:p>
            <w:pPr>
              <w:ind w:left="60"/>
              <w:spacing w:after="0"/>
              <w:rPr>
                <w:sz w:val="20"/>
                <w:szCs w:val="20"/>
                <w:color w:val="auto"/>
              </w:rPr>
            </w:pPr>
            <w:r>
              <w:rPr>
                <w:rFonts w:ascii="Times New Roman" w:cs="Times New Roman" w:eastAsia="Times New Roman" w:hAnsi="Times New Roman"/>
                <w:sz w:val="18"/>
                <w:szCs w:val="18"/>
                <w:color w:val="auto"/>
              </w:rPr>
              <w:t>Greater than 2.50 to 1.00, but less than or equal</w:t>
            </w:r>
          </w:p>
        </w:tc>
        <w:tc>
          <w:tcPr>
            <w:tcW w:w="1280" w:type="dxa"/>
            <w:vAlign w:val="bottom"/>
            <w:gridSpan w:val="4"/>
          </w:tcPr>
          <w:p>
            <w:pPr>
              <w:jc w:val="center"/>
              <w:ind w:left="171"/>
              <w:spacing w:after="0"/>
              <w:rPr>
                <w:sz w:val="20"/>
                <w:szCs w:val="20"/>
                <w:color w:val="auto"/>
              </w:rPr>
            </w:pPr>
            <w:r>
              <w:rPr>
                <w:rFonts w:ascii="Times New Roman" w:cs="Times New Roman" w:eastAsia="Times New Roman" w:hAnsi="Times New Roman"/>
                <w:sz w:val="18"/>
                <w:szCs w:val="18"/>
                <w:color w:val="auto"/>
                <w:w w:val="98"/>
              </w:rPr>
              <w:t>1.50%</w:t>
            </w:r>
          </w:p>
        </w:tc>
        <w:tc>
          <w:tcPr>
            <w:tcW w:w="40" w:type="dxa"/>
            <w:vAlign w:val="bottom"/>
          </w:tcPr>
          <w:p>
            <w:pPr>
              <w:spacing w:after="0"/>
              <w:rPr>
                <w:sz w:val="21"/>
                <w:szCs w:val="21"/>
                <w:color w:val="auto"/>
              </w:rPr>
            </w:pPr>
          </w:p>
        </w:tc>
        <w:tc>
          <w:tcPr>
            <w:tcW w:w="220" w:type="dxa"/>
            <w:vAlign w:val="bottom"/>
            <w:tcBorders>
              <w:right w:val="single" w:sz="8" w:color="010101"/>
            </w:tcBorders>
          </w:tcPr>
          <w:p>
            <w:pPr>
              <w:spacing w:after="0"/>
              <w:rPr>
                <w:sz w:val="21"/>
                <w:szCs w:val="21"/>
                <w:color w:val="auto"/>
              </w:rPr>
            </w:pPr>
          </w:p>
        </w:tc>
        <w:tc>
          <w:tcPr>
            <w:tcW w:w="1700" w:type="dxa"/>
            <w:vAlign w:val="bottom"/>
            <w:tcBorders>
              <w:right w:val="single" w:sz="8" w:color="010101"/>
            </w:tcBorders>
          </w:tcPr>
          <w:p>
            <w:pPr>
              <w:jc w:val="center"/>
              <w:spacing w:after="0"/>
              <w:rPr>
                <w:sz w:val="20"/>
                <w:szCs w:val="20"/>
                <w:color w:val="auto"/>
              </w:rPr>
            </w:pPr>
            <w:r>
              <w:rPr>
                <w:rFonts w:ascii="Times New Roman" w:cs="Times New Roman" w:eastAsia="Times New Roman" w:hAnsi="Times New Roman"/>
                <w:sz w:val="18"/>
                <w:szCs w:val="18"/>
                <w:color w:val="auto"/>
                <w:w w:val="98"/>
              </w:rPr>
              <w:t>0.50%</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0.200%</w:t>
            </w:r>
          </w:p>
        </w:tc>
      </w:tr>
      <w:tr>
        <w:trPr>
          <w:trHeight w:val="241"/>
        </w:trPr>
        <w:tc>
          <w:tcPr>
            <w:tcW w:w="1260" w:type="dxa"/>
            <w:vAlign w:val="bottom"/>
            <w:tcBorders>
              <w:left w:val="single" w:sz="8" w:color="auto"/>
              <w:right w:val="single" w:sz="8" w:color="010101"/>
            </w:tcBorders>
          </w:tcPr>
          <w:p>
            <w:pPr>
              <w:spacing w:after="0"/>
              <w:rPr>
                <w:sz w:val="20"/>
                <w:szCs w:val="20"/>
                <w:color w:val="auto"/>
              </w:rPr>
            </w:pPr>
          </w:p>
        </w:tc>
        <w:tc>
          <w:tcPr>
            <w:tcW w:w="3560" w:type="dxa"/>
            <w:vAlign w:val="bottom"/>
            <w:tcBorders>
              <w:right w:val="single" w:sz="8" w:color="010101"/>
            </w:tcBorders>
          </w:tcPr>
          <w:p>
            <w:pPr>
              <w:ind w:left="60"/>
              <w:spacing w:after="0"/>
              <w:rPr>
                <w:sz w:val="20"/>
                <w:szCs w:val="20"/>
                <w:color w:val="auto"/>
              </w:rPr>
            </w:pPr>
            <w:r>
              <w:rPr>
                <w:rFonts w:ascii="Times New Roman" w:cs="Times New Roman" w:eastAsia="Times New Roman" w:hAnsi="Times New Roman"/>
                <w:sz w:val="18"/>
                <w:szCs w:val="18"/>
                <w:color w:val="auto"/>
              </w:rPr>
              <w:t>to 3.00 to 1.00</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right w:val="single" w:sz="8" w:color="010101"/>
            </w:tcBorders>
          </w:tcPr>
          <w:p>
            <w:pPr>
              <w:spacing w:after="0"/>
              <w:rPr>
                <w:sz w:val="20"/>
                <w:szCs w:val="20"/>
                <w:color w:val="auto"/>
              </w:rPr>
            </w:pPr>
          </w:p>
        </w:tc>
        <w:tc>
          <w:tcPr>
            <w:tcW w:w="1700" w:type="dxa"/>
            <w:vAlign w:val="bottom"/>
            <w:tcBorders>
              <w:right w:val="single" w:sz="8" w:color="010101"/>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r>
      <w:tr>
        <w:trPr>
          <w:trHeight w:val="26"/>
        </w:trPr>
        <w:tc>
          <w:tcPr>
            <w:tcW w:w="1260" w:type="dxa"/>
            <w:vAlign w:val="bottom"/>
            <w:tcBorders>
              <w:left w:val="single" w:sz="8" w:color="auto"/>
              <w:bottom w:val="single" w:sz="8" w:color="010101"/>
              <w:right w:val="single" w:sz="8" w:color="010101"/>
            </w:tcBorders>
          </w:tcPr>
          <w:p>
            <w:pPr>
              <w:spacing w:after="0"/>
              <w:rPr>
                <w:sz w:val="2"/>
                <w:szCs w:val="2"/>
                <w:color w:val="auto"/>
              </w:rPr>
            </w:pPr>
          </w:p>
        </w:tc>
        <w:tc>
          <w:tcPr>
            <w:tcW w:w="3560" w:type="dxa"/>
            <w:vAlign w:val="bottom"/>
            <w:tcBorders>
              <w:bottom w:val="single" w:sz="8" w:color="010101"/>
              <w:right w:val="single" w:sz="8" w:color="010101"/>
            </w:tcBorders>
          </w:tcPr>
          <w:p>
            <w:pPr>
              <w:spacing w:after="0"/>
              <w:rPr>
                <w:sz w:val="2"/>
                <w:szCs w:val="2"/>
                <w:color w:val="auto"/>
              </w:rPr>
            </w:pPr>
          </w:p>
        </w:tc>
        <w:tc>
          <w:tcPr>
            <w:tcW w:w="200" w:type="dxa"/>
            <w:vAlign w:val="bottom"/>
            <w:tcBorders>
              <w:bottom w:val="single" w:sz="8" w:color="010101"/>
            </w:tcBorders>
          </w:tcPr>
          <w:p>
            <w:pPr>
              <w:spacing w:after="0"/>
              <w:rPr>
                <w:sz w:val="2"/>
                <w:szCs w:val="2"/>
                <w:color w:val="auto"/>
              </w:rPr>
            </w:pPr>
          </w:p>
        </w:tc>
        <w:tc>
          <w:tcPr>
            <w:tcW w:w="400" w:type="dxa"/>
            <w:vAlign w:val="bottom"/>
            <w:tcBorders>
              <w:bottom w:val="single" w:sz="8" w:color="010101"/>
            </w:tcBorders>
          </w:tcPr>
          <w:p>
            <w:pPr>
              <w:spacing w:after="0"/>
              <w:rPr>
                <w:sz w:val="2"/>
                <w:szCs w:val="2"/>
                <w:color w:val="auto"/>
              </w:rPr>
            </w:pPr>
          </w:p>
        </w:tc>
        <w:tc>
          <w:tcPr>
            <w:tcW w:w="320" w:type="dxa"/>
            <w:vAlign w:val="bottom"/>
            <w:tcBorders>
              <w:bottom w:val="single" w:sz="8" w:color="010101"/>
            </w:tcBorders>
          </w:tcPr>
          <w:p>
            <w:pPr>
              <w:spacing w:after="0"/>
              <w:rPr>
                <w:sz w:val="2"/>
                <w:szCs w:val="2"/>
                <w:color w:val="auto"/>
              </w:rPr>
            </w:pPr>
          </w:p>
        </w:tc>
        <w:tc>
          <w:tcPr>
            <w:tcW w:w="360" w:type="dxa"/>
            <w:vAlign w:val="bottom"/>
            <w:tcBorders>
              <w:bottom w:val="single" w:sz="8" w:color="010101"/>
            </w:tcBorders>
          </w:tcPr>
          <w:p>
            <w:pPr>
              <w:spacing w:after="0"/>
              <w:rPr>
                <w:sz w:val="2"/>
                <w:szCs w:val="2"/>
                <w:color w:val="auto"/>
              </w:rPr>
            </w:pPr>
          </w:p>
        </w:tc>
        <w:tc>
          <w:tcPr>
            <w:tcW w:w="40" w:type="dxa"/>
            <w:vAlign w:val="bottom"/>
            <w:tcBorders>
              <w:bottom w:val="single" w:sz="8" w:color="010101"/>
            </w:tcBorders>
          </w:tcPr>
          <w:p>
            <w:pPr>
              <w:spacing w:after="0"/>
              <w:rPr>
                <w:sz w:val="2"/>
                <w:szCs w:val="2"/>
                <w:color w:val="auto"/>
              </w:rPr>
            </w:pPr>
          </w:p>
        </w:tc>
        <w:tc>
          <w:tcPr>
            <w:tcW w:w="220" w:type="dxa"/>
            <w:vAlign w:val="bottom"/>
            <w:tcBorders>
              <w:bottom w:val="single" w:sz="8" w:color="010101"/>
              <w:right w:val="single" w:sz="8" w:color="010101"/>
            </w:tcBorders>
          </w:tcPr>
          <w:p>
            <w:pPr>
              <w:spacing w:after="0"/>
              <w:rPr>
                <w:sz w:val="2"/>
                <w:szCs w:val="2"/>
                <w:color w:val="auto"/>
              </w:rPr>
            </w:pPr>
          </w:p>
        </w:tc>
        <w:tc>
          <w:tcPr>
            <w:tcW w:w="1700" w:type="dxa"/>
            <w:vAlign w:val="bottom"/>
            <w:tcBorders>
              <w:bottom w:val="single" w:sz="8" w:color="010101"/>
              <w:right w:val="single" w:sz="8" w:color="010101"/>
            </w:tcBorders>
          </w:tcPr>
          <w:p>
            <w:pPr>
              <w:spacing w:after="0"/>
              <w:rPr>
                <w:sz w:val="2"/>
                <w:szCs w:val="2"/>
                <w:color w:val="auto"/>
              </w:rPr>
            </w:pPr>
          </w:p>
        </w:tc>
        <w:tc>
          <w:tcPr>
            <w:tcW w:w="1700" w:type="dxa"/>
            <w:vAlign w:val="bottom"/>
            <w:tcBorders>
              <w:bottom w:val="single" w:sz="8" w:color="010101"/>
              <w:right w:val="single" w:sz="8" w:color="auto"/>
            </w:tcBorders>
          </w:tcPr>
          <w:p>
            <w:pPr>
              <w:spacing w:after="0"/>
              <w:rPr>
                <w:sz w:val="2"/>
                <w:szCs w:val="2"/>
                <w:color w:val="auto"/>
              </w:rPr>
            </w:pPr>
          </w:p>
        </w:tc>
      </w:tr>
      <w:tr>
        <w:trPr>
          <w:trHeight w:val="248"/>
        </w:trPr>
        <w:tc>
          <w:tcPr>
            <w:tcW w:w="1260" w:type="dxa"/>
            <w:vAlign w:val="bottom"/>
            <w:tcBorders>
              <w:left w:val="single" w:sz="8" w:color="auto"/>
              <w:right w:val="single" w:sz="8" w:color="010101"/>
            </w:tcBorders>
          </w:tcPr>
          <w:p>
            <w:pPr>
              <w:jc w:val="center"/>
              <w:ind w:left="151"/>
              <w:spacing w:after="0"/>
              <w:rPr>
                <w:sz w:val="20"/>
                <w:szCs w:val="20"/>
                <w:color w:val="auto"/>
              </w:rPr>
            </w:pPr>
            <w:r>
              <w:rPr>
                <w:rFonts w:ascii="Times New Roman" w:cs="Times New Roman" w:eastAsia="Times New Roman" w:hAnsi="Times New Roman"/>
                <w:sz w:val="18"/>
                <w:szCs w:val="18"/>
                <w:color w:val="auto"/>
                <w:w w:val="94"/>
              </w:rPr>
              <w:t>IV</w:t>
            </w:r>
          </w:p>
        </w:tc>
        <w:tc>
          <w:tcPr>
            <w:tcW w:w="3560" w:type="dxa"/>
            <w:vAlign w:val="bottom"/>
            <w:tcBorders>
              <w:right w:val="single" w:sz="8" w:color="010101"/>
            </w:tcBorders>
          </w:tcPr>
          <w:p>
            <w:pPr>
              <w:ind w:left="60"/>
              <w:spacing w:after="0"/>
              <w:rPr>
                <w:sz w:val="20"/>
                <w:szCs w:val="20"/>
                <w:color w:val="auto"/>
              </w:rPr>
            </w:pPr>
            <w:r>
              <w:rPr>
                <w:rFonts w:ascii="Times New Roman" w:cs="Times New Roman" w:eastAsia="Times New Roman" w:hAnsi="Times New Roman"/>
                <w:sz w:val="18"/>
                <w:szCs w:val="18"/>
                <w:color w:val="auto"/>
              </w:rPr>
              <w:t>Greater than 3.00 to 1.00, but less than or equal</w:t>
            </w:r>
          </w:p>
        </w:tc>
        <w:tc>
          <w:tcPr>
            <w:tcW w:w="1280" w:type="dxa"/>
            <w:vAlign w:val="bottom"/>
            <w:gridSpan w:val="4"/>
          </w:tcPr>
          <w:p>
            <w:pPr>
              <w:jc w:val="center"/>
              <w:ind w:left="171"/>
              <w:spacing w:after="0"/>
              <w:rPr>
                <w:sz w:val="20"/>
                <w:szCs w:val="20"/>
                <w:color w:val="auto"/>
              </w:rPr>
            </w:pPr>
            <w:r>
              <w:rPr>
                <w:rFonts w:ascii="Times New Roman" w:cs="Times New Roman" w:eastAsia="Times New Roman" w:hAnsi="Times New Roman"/>
                <w:sz w:val="18"/>
                <w:szCs w:val="18"/>
                <w:color w:val="auto"/>
                <w:w w:val="98"/>
              </w:rPr>
              <w:t>1.75%</w:t>
            </w:r>
          </w:p>
        </w:tc>
        <w:tc>
          <w:tcPr>
            <w:tcW w:w="40" w:type="dxa"/>
            <w:vAlign w:val="bottom"/>
          </w:tcPr>
          <w:p>
            <w:pPr>
              <w:spacing w:after="0"/>
              <w:rPr>
                <w:sz w:val="21"/>
                <w:szCs w:val="21"/>
                <w:color w:val="auto"/>
              </w:rPr>
            </w:pPr>
          </w:p>
        </w:tc>
        <w:tc>
          <w:tcPr>
            <w:tcW w:w="220" w:type="dxa"/>
            <w:vAlign w:val="bottom"/>
            <w:tcBorders>
              <w:right w:val="single" w:sz="8" w:color="010101"/>
            </w:tcBorders>
          </w:tcPr>
          <w:p>
            <w:pPr>
              <w:spacing w:after="0"/>
              <w:rPr>
                <w:sz w:val="21"/>
                <w:szCs w:val="21"/>
                <w:color w:val="auto"/>
              </w:rPr>
            </w:pPr>
          </w:p>
        </w:tc>
        <w:tc>
          <w:tcPr>
            <w:tcW w:w="1700" w:type="dxa"/>
            <w:vAlign w:val="bottom"/>
            <w:tcBorders>
              <w:right w:val="single" w:sz="8" w:color="010101"/>
            </w:tcBorders>
          </w:tcPr>
          <w:p>
            <w:pPr>
              <w:jc w:val="center"/>
              <w:spacing w:after="0"/>
              <w:rPr>
                <w:sz w:val="20"/>
                <w:szCs w:val="20"/>
                <w:color w:val="auto"/>
              </w:rPr>
            </w:pPr>
            <w:r>
              <w:rPr>
                <w:rFonts w:ascii="Times New Roman" w:cs="Times New Roman" w:eastAsia="Times New Roman" w:hAnsi="Times New Roman"/>
                <w:sz w:val="18"/>
                <w:szCs w:val="18"/>
                <w:color w:val="auto"/>
                <w:w w:val="98"/>
              </w:rPr>
              <w:t>0.75%</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0.250%</w:t>
            </w:r>
          </w:p>
        </w:tc>
      </w:tr>
      <w:tr>
        <w:trPr>
          <w:trHeight w:val="241"/>
        </w:trPr>
        <w:tc>
          <w:tcPr>
            <w:tcW w:w="1260" w:type="dxa"/>
            <w:vAlign w:val="bottom"/>
            <w:tcBorders>
              <w:left w:val="single" w:sz="8" w:color="auto"/>
              <w:right w:val="single" w:sz="8" w:color="010101"/>
            </w:tcBorders>
          </w:tcPr>
          <w:p>
            <w:pPr>
              <w:spacing w:after="0"/>
              <w:rPr>
                <w:sz w:val="20"/>
                <w:szCs w:val="20"/>
                <w:color w:val="auto"/>
              </w:rPr>
            </w:pPr>
          </w:p>
        </w:tc>
        <w:tc>
          <w:tcPr>
            <w:tcW w:w="3560" w:type="dxa"/>
            <w:vAlign w:val="bottom"/>
            <w:tcBorders>
              <w:right w:val="single" w:sz="8" w:color="010101"/>
            </w:tcBorders>
          </w:tcPr>
          <w:p>
            <w:pPr>
              <w:ind w:left="60"/>
              <w:spacing w:after="0"/>
              <w:rPr>
                <w:sz w:val="20"/>
                <w:szCs w:val="20"/>
                <w:color w:val="auto"/>
              </w:rPr>
            </w:pPr>
            <w:r>
              <w:rPr>
                <w:rFonts w:ascii="Times New Roman" w:cs="Times New Roman" w:eastAsia="Times New Roman" w:hAnsi="Times New Roman"/>
                <w:sz w:val="18"/>
                <w:szCs w:val="18"/>
                <w:color w:val="auto"/>
              </w:rPr>
              <w:t>to 3.50 to 1.00</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right w:val="single" w:sz="8" w:color="010101"/>
            </w:tcBorders>
          </w:tcPr>
          <w:p>
            <w:pPr>
              <w:spacing w:after="0"/>
              <w:rPr>
                <w:sz w:val="20"/>
                <w:szCs w:val="20"/>
                <w:color w:val="auto"/>
              </w:rPr>
            </w:pPr>
          </w:p>
        </w:tc>
        <w:tc>
          <w:tcPr>
            <w:tcW w:w="1700" w:type="dxa"/>
            <w:vAlign w:val="bottom"/>
            <w:tcBorders>
              <w:right w:val="single" w:sz="8" w:color="010101"/>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r>
      <w:tr>
        <w:trPr>
          <w:trHeight w:val="26"/>
        </w:trPr>
        <w:tc>
          <w:tcPr>
            <w:tcW w:w="1260" w:type="dxa"/>
            <w:vAlign w:val="bottom"/>
            <w:tcBorders>
              <w:left w:val="single" w:sz="8" w:color="auto"/>
              <w:bottom w:val="single" w:sz="8" w:color="010101"/>
              <w:right w:val="single" w:sz="8" w:color="010101"/>
            </w:tcBorders>
          </w:tcPr>
          <w:p>
            <w:pPr>
              <w:spacing w:after="0"/>
              <w:rPr>
                <w:sz w:val="2"/>
                <w:szCs w:val="2"/>
                <w:color w:val="auto"/>
              </w:rPr>
            </w:pPr>
          </w:p>
        </w:tc>
        <w:tc>
          <w:tcPr>
            <w:tcW w:w="3560" w:type="dxa"/>
            <w:vAlign w:val="bottom"/>
            <w:tcBorders>
              <w:bottom w:val="single" w:sz="8" w:color="010101"/>
              <w:right w:val="single" w:sz="8" w:color="010101"/>
            </w:tcBorders>
          </w:tcPr>
          <w:p>
            <w:pPr>
              <w:spacing w:after="0"/>
              <w:rPr>
                <w:sz w:val="2"/>
                <w:szCs w:val="2"/>
                <w:color w:val="auto"/>
              </w:rPr>
            </w:pPr>
          </w:p>
        </w:tc>
        <w:tc>
          <w:tcPr>
            <w:tcW w:w="200" w:type="dxa"/>
            <w:vAlign w:val="bottom"/>
            <w:tcBorders>
              <w:bottom w:val="single" w:sz="8" w:color="010101"/>
            </w:tcBorders>
          </w:tcPr>
          <w:p>
            <w:pPr>
              <w:spacing w:after="0"/>
              <w:rPr>
                <w:sz w:val="2"/>
                <w:szCs w:val="2"/>
                <w:color w:val="auto"/>
              </w:rPr>
            </w:pPr>
          </w:p>
        </w:tc>
        <w:tc>
          <w:tcPr>
            <w:tcW w:w="400" w:type="dxa"/>
            <w:vAlign w:val="bottom"/>
            <w:tcBorders>
              <w:bottom w:val="single" w:sz="8" w:color="010101"/>
            </w:tcBorders>
          </w:tcPr>
          <w:p>
            <w:pPr>
              <w:spacing w:after="0"/>
              <w:rPr>
                <w:sz w:val="2"/>
                <w:szCs w:val="2"/>
                <w:color w:val="auto"/>
              </w:rPr>
            </w:pPr>
          </w:p>
        </w:tc>
        <w:tc>
          <w:tcPr>
            <w:tcW w:w="320" w:type="dxa"/>
            <w:vAlign w:val="bottom"/>
            <w:tcBorders>
              <w:bottom w:val="single" w:sz="8" w:color="010101"/>
            </w:tcBorders>
          </w:tcPr>
          <w:p>
            <w:pPr>
              <w:spacing w:after="0"/>
              <w:rPr>
                <w:sz w:val="2"/>
                <w:szCs w:val="2"/>
                <w:color w:val="auto"/>
              </w:rPr>
            </w:pPr>
          </w:p>
        </w:tc>
        <w:tc>
          <w:tcPr>
            <w:tcW w:w="360" w:type="dxa"/>
            <w:vAlign w:val="bottom"/>
            <w:tcBorders>
              <w:bottom w:val="single" w:sz="8" w:color="010101"/>
            </w:tcBorders>
          </w:tcPr>
          <w:p>
            <w:pPr>
              <w:spacing w:after="0"/>
              <w:rPr>
                <w:sz w:val="2"/>
                <w:szCs w:val="2"/>
                <w:color w:val="auto"/>
              </w:rPr>
            </w:pPr>
          </w:p>
        </w:tc>
        <w:tc>
          <w:tcPr>
            <w:tcW w:w="40" w:type="dxa"/>
            <w:vAlign w:val="bottom"/>
            <w:tcBorders>
              <w:bottom w:val="single" w:sz="8" w:color="010101"/>
            </w:tcBorders>
          </w:tcPr>
          <w:p>
            <w:pPr>
              <w:spacing w:after="0"/>
              <w:rPr>
                <w:sz w:val="2"/>
                <w:szCs w:val="2"/>
                <w:color w:val="auto"/>
              </w:rPr>
            </w:pPr>
          </w:p>
        </w:tc>
        <w:tc>
          <w:tcPr>
            <w:tcW w:w="220" w:type="dxa"/>
            <w:vAlign w:val="bottom"/>
            <w:tcBorders>
              <w:bottom w:val="single" w:sz="8" w:color="010101"/>
              <w:right w:val="single" w:sz="8" w:color="010101"/>
            </w:tcBorders>
          </w:tcPr>
          <w:p>
            <w:pPr>
              <w:spacing w:after="0"/>
              <w:rPr>
                <w:sz w:val="2"/>
                <w:szCs w:val="2"/>
                <w:color w:val="auto"/>
              </w:rPr>
            </w:pPr>
          </w:p>
        </w:tc>
        <w:tc>
          <w:tcPr>
            <w:tcW w:w="1700" w:type="dxa"/>
            <w:vAlign w:val="bottom"/>
            <w:tcBorders>
              <w:bottom w:val="single" w:sz="8" w:color="010101"/>
              <w:right w:val="single" w:sz="8" w:color="010101"/>
            </w:tcBorders>
          </w:tcPr>
          <w:p>
            <w:pPr>
              <w:spacing w:after="0"/>
              <w:rPr>
                <w:sz w:val="2"/>
                <w:szCs w:val="2"/>
                <w:color w:val="auto"/>
              </w:rPr>
            </w:pPr>
          </w:p>
        </w:tc>
        <w:tc>
          <w:tcPr>
            <w:tcW w:w="1700" w:type="dxa"/>
            <w:vAlign w:val="bottom"/>
            <w:tcBorders>
              <w:bottom w:val="single" w:sz="8" w:color="010101"/>
              <w:right w:val="single" w:sz="8" w:color="auto"/>
            </w:tcBorders>
          </w:tcPr>
          <w:p>
            <w:pPr>
              <w:spacing w:after="0"/>
              <w:rPr>
                <w:sz w:val="2"/>
                <w:szCs w:val="2"/>
                <w:color w:val="auto"/>
              </w:rPr>
            </w:pPr>
          </w:p>
        </w:tc>
      </w:tr>
      <w:tr>
        <w:trPr>
          <w:trHeight w:val="248"/>
        </w:trPr>
        <w:tc>
          <w:tcPr>
            <w:tcW w:w="1260" w:type="dxa"/>
            <w:vAlign w:val="bottom"/>
            <w:tcBorders>
              <w:left w:val="single" w:sz="8" w:color="auto"/>
              <w:right w:val="single" w:sz="8" w:color="010101"/>
            </w:tcBorders>
          </w:tcPr>
          <w:p>
            <w:pPr>
              <w:jc w:val="center"/>
              <w:ind w:left="151"/>
              <w:spacing w:after="0"/>
              <w:rPr>
                <w:sz w:val="20"/>
                <w:szCs w:val="20"/>
                <w:color w:val="auto"/>
              </w:rPr>
            </w:pPr>
            <w:r>
              <w:rPr>
                <w:rFonts w:ascii="Times New Roman" w:cs="Times New Roman" w:eastAsia="Times New Roman" w:hAnsi="Times New Roman"/>
                <w:sz w:val="18"/>
                <w:szCs w:val="18"/>
                <w:color w:val="auto"/>
              </w:rPr>
              <w:t>V</w:t>
            </w:r>
          </w:p>
        </w:tc>
        <w:tc>
          <w:tcPr>
            <w:tcW w:w="3560" w:type="dxa"/>
            <w:vAlign w:val="bottom"/>
            <w:tcBorders>
              <w:right w:val="single" w:sz="8" w:color="010101"/>
            </w:tcBorders>
          </w:tcPr>
          <w:p>
            <w:pPr>
              <w:ind w:left="60"/>
              <w:spacing w:after="0"/>
              <w:rPr>
                <w:sz w:val="20"/>
                <w:szCs w:val="20"/>
                <w:color w:val="auto"/>
              </w:rPr>
            </w:pPr>
            <w:r>
              <w:rPr>
                <w:rFonts w:ascii="Times New Roman" w:cs="Times New Roman" w:eastAsia="Times New Roman" w:hAnsi="Times New Roman"/>
                <w:sz w:val="18"/>
                <w:szCs w:val="18"/>
                <w:color w:val="auto"/>
              </w:rPr>
              <w:t>Greater than 3.50 to 1.00, but less than or equal</w:t>
            </w:r>
          </w:p>
        </w:tc>
        <w:tc>
          <w:tcPr>
            <w:tcW w:w="1280" w:type="dxa"/>
            <w:vAlign w:val="bottom"/>
            <w:gridSpan w:val="4"/>
          </w:tcPr>
          <w:p>
            <w:pPr>
              <w:jc w:val="center"/>
              <w:ind w:left="171"/>
              <w:spacing w:after="0"/>
              <w:rPr>
                <w:sz w:val="20"/>
                <w:szCs w:val="20"/>
                <w:color w:val="auto"/>
              </w:rPr>
            </w:pPr>
            <w:r>
              <w:rPr>
                <w:rFonts w:ascii="Times New Roman" w:cs="Times New Roman" w:eastAsia="Times New Roman" w:hAnsi="Times New Roman"/>
                <w:sz w:val="18"/>
                <w:szCs w:val="18"/>
                <w:color w:val="auto"/>
                <w:w w:val="98"/>
              </w:rPr>
              <w:t>2.00%</w:t>
            </w:r>
          </w:p>
        </w:tc>
        <w:tc>
          <w:tcPr>
            <w:tcW w:w="40" w:type="dxa"/>
            <w:vAlign w:val="bottom"/>
          </w:tcPr>
          <w:p>
            <w:pPr>
              <w:spacing w:after="0"/>
              <w:rPr>
                <w:sz w:val="21"/>
                <w:szCs w:val="21"/>
                <w:color w:val="auto"/>
              </w:rPr>
            </w:pPr>
          </w:p>
        </w:tc>
        <w:tc>
          <w:tcPr>
            <w:tcW w:w="220" w:type="dxa"/>
            <w:vAlign w:val="bottom"/>
            <w:tcBorders>
              <w:right w:val="single" w:sz="8" w:color="010101"/>
            </w:tcBorders>
          </w:tcPr>
          <w:p>
            <w:pPr>
              <w:spacing w:after="0"/>
              <w:rPr>
                <w:sz w:val="21"/>
                <w:szCs w:val="21"/>
                <w:color w:val="auto"/>
              </w:rPr>
            </w:pPr>
          </w:p>
        </w:tc>
        <w:tc>
          <w:tcPr>
            <w:tcW w:w="1700" w:type="dxa"/>
            <w:vAlign w:val="bottom"/>
            <w:tcBorders>
              <w:right w:val="single" w:sz="8" w:color="010101"/>
            </w:tcBorders>
          </w:tcPr>
          <w:p>
            <w:pPr>
              <w:jc w:val="center"/>
              <w:spacing w:after="0"/>
              <w:rPr>
                <w:sz w:val="20"/>
                <w:szCs w:val="20"/>
                <w:color w:val="auto"/>
              </w:rPr>
            </w:pPr>
            <w:r>
              <w:rPr>
                <w:rFonts w:ascii="Times New Roman" w:cs="Times New Roman" w:eastAsia="Times New Roman" w:hAnsi="Times New Roman"/>
                <w:sz w:val="18"/>
                <w:szCs w:val="18"/>
                <w:color w:val="auto"/>
                <w:w w:val="98"/>
              </w:rPr>
              <w:t>1.00%</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0.300%</w:t>
            </w:r>
          </w:p>
        </w:tc>
      </w:tr>
      <w:tr>
        <w:trPr>
          <w:trHeight w:val="241"/>
        </w:trPr>
        <w:tc>
          <w:tcPr>
            <w:tcW w:w="1260" w:type="dxa"/>
            <w:vAlign w:val="bottom"/>
            <w:tcBorders>
              <w:left w:val="single" w:sz="8" w:color="auto"/>
              <w:right w:val="single" w:sz="8" w:color="010101"/>
            </w:tcBorders>
          </w:tcPr>
          <w:p>
            <w:pPr>
              <w:spacing w:after="0"/>
              <w:rPr>
                <w:sz w:val="20"/>
                <w:szCs w:val="20"/>
                <w:color w:val="auto"/>
              </w:rPr>
            </w:pPr>
          </w:p>
        </w:tc>
        <w:tc>
          <w:tcPr>
            <w:tcW w:w="3560" w:type="dxa"/>
            <w:vAlign w:val="bottom"/>
            <w:tcBorders>
              <w:right w:val="single" w:sz="8" w:color="010101"/>
            </w:tcBorders>
          </w:tcPr>
          <w:p>
            <w:pPr>
              <w:ind w:left="60"/>
              <w:spacing w:after="0"/>
              <w:rPr>
                <w:sz w:val="20"/>
                <w:szCs w:val="20"/>
                <w:color w:val="auto"/>
              </w:rPr>
            </w:pPr>
            <w:r>
              <w:rPr>
                <w:rFonts w:ascii="Times New Roman" w:cs="Times New Roman" w:eastAsia="Times New Roman" w:hAnsi="Times New Roman"/>
                <w:sz w:val="18"/>
                <w:szCs w:val="18"/>
                <w:color w:val="auto"/>
              </w:rPr>
              <w:t>to 4.00 to 1.00</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right w:val="single" w:sz="8" w:color="010101"/>
            </w:tcBorders>
          </w:tcPr>
          <w:p>
            <w:pPr>
              <w:spacing w:after="0"/>
              <w:rPr>
                <w:sz w:val="20"/>
                <w:szCs w:val="20"/>
                <w:color w:val="auto"/>
              </w:rPr>
            </w:pPr>
          </w:p>
        </w:tc>
        <w:tc>
          <w:tcPr>
            <w:tcW w:w="1700" w:type="dxa"/>
            <w:vAlign w:val="bottom"/>
            <w:tcBorders>
              <w:right w:val="single" w:sz="8" w:color="010101"/>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r>
      <w:tr>
        <w:trPr>
          <w:trHeight w:val="26"/>
        </w:trPr>
        <w:tc>
          <w:tcPr>
            <w:tcW w:w="1260" w:type="dxa"/>
            <w:vAlign w:val="bottom"/>
            <w:tcBorders>
              <w:left w:val="single" w:sz="8" w:color="auto"/>
              <w:bottom w:val="single" w:sz="8" w:color="010101"/>
              <w:right w:val="single" w:sz="8" w:color="010101"/>
            </w:tcBorders>
          </w:tcPr>
          <w:p>
            <w:pPr>
              <w:spacing w:after="0"/>
              <w:rPr>
                <w:sz w:val="2"/>
                <w:szCs w:val="2"/>
                <w:color w:val="auto"/>
              </w:rPr>
            </w:pPr>
          </w:p>
        </w:tc>
        <w:tc>
          <w:tcPr>
            <w:tcW w:w="3560" w:type="dxa"/>
            <w:vAlign w:val="bottom"/>
            <w:tcBorders>
              <w:bottom w:val="single" w:sz="8" w:color="010101"/>
              <w:right w:val="single" w:sz="8" w:color="010101"/>
            </w:tcBorders>
          </w:tcPr>
          <w:p>
            <w:pPr>
              <w:spacing w:after="0"/>
              <w:rPr>
                <w:sz w:val="2"/>
                <w:szCs w:val="2"/>
                <w:color w:val="auto"/>
              </w:rPr>
            </w:pPr>
          </w:p>
        </w:tc>
        <w:tc>
          <w:tcPr>
            <w:tcW w:w="200" w:type="dxa"/>
            <w:vAlign w:val="bottom"/>
            <w:tcBorders>
              <w:bottom w:val="single" w:sz="8" w:color="010101"/>
            </w:tcBorders>
          </w:tcPr>
          <w:p>
            <w:pPr>
              <w:spacing w:after="0"/>
              <w:rPr>
                <w:sz w:val="2"/>
                <w:szCs w:val="2"/>
                <w:color w:val="auto"/>
              </w:rPr>
            </w:pPr>
          </w:p>
        </w:tc>
        <w:tc>
          <w:tcPr>
            <w:tcW w:w="400" w:type="dxa"/>
            <w:vAlign w:val="bottom"/>
            <w:tcBorders>
              <w:bottom w:val="single" w:sz="8" w:color="010101"/>
            </w:tcBorders>
          </w:tcPr>
          <w:p>
            <w:pPr>
              <w:spacing w:after="0"/>
              <w:rPr>
                <w:sz w:val="2"/>
                <w:szCs w:val="2"/>
                <w:color w:val="auto"/>
              </w:rPr>
            </w:pPr>
          </w:p>
        </w:tc>
        <w:tc>
          <w:tcPr>
            <w:tcW w:w="320" w:type="dxa"/>
            <w:vAlign w:val="bottom"/>
            <w:tcBorders>
              <w:bottom w:val="single" w:sz="8" w:color="010101"/>
            </w:tcBorders>
          </w:tcPr>
          <w:p>
            <w:pPr>
              <w:spacing w:after="0"/>
              <w:rPr>
                <w:sz w:val="2"/>
                <w:szCs w:val="2"/>
                <w:color w:val="auto"/>
              </w:rPr>
            </w:pPr>
          </w:p>
        </w:tc>
        <w:tc>
          <w:tcPr>
            <w:tcW w:w="360" w:type="dxa"/>
            <w:vAlign w:val="bottom"/>
            <w:tcBorders>
              <w:bottom w:val="single" w:sz="8" w:color="010101"/>
            </w:tcBorders>
          </w:tcPr>
          <w:p>
            <w:pPr>
              <w:spacing w:after="0"/>
              <w:rPr>
                <w:sz w:val="2"/>
                <w:szCs w:val="2"/>
                <w:color w:val="auto"/>
              </w:rPr>
            </w:pPr>
          </w:p>
        </w:tc>
        <w:tc>
          <w:tcPr>
            <w:tcW w:w="40" w:type="dxa"/>
            <w:vAlign w:val="bottom"/>
            <w:tcBorders>
              <w:bottom w:val="single" w:sz="8" w:color="010101"/>
            </w:tcBorders>
          </w:tcPr>
          <w:p>
            <w:pPr>
              <w:spacing w:after="0"/>
              <w:rPr>
                <w:sz w:val="2"/>
                <w:szCs w:val="2"/>
                <w:color w:val="auto"/>
              </w:rPr>
            </w:pPr>
          </w:p>
        </w:tc>
        <w:tc>
          <w:tcPr>
            <w:tcW w:w="220" w:type="dxa"/>
            <w:vAlign w:val="bottom"/>
            <w:tcBorders>
              <w:bottom w:val="single" w:sz="8" w:color="010101"/>
              <w:right w:val="single" w:sz="8" w:color="010101"/>
            </w:tcBorders>
          </w:tcPr>
          <w:p>
            <w:pPr>
              <w:spacing w:after="0"/>
              <w:rPr>
                <w:sz w:val="2"/>
                <w:szCs w:val="2"/>
                <w:color w:val="auto"/>
              </w:rPr>
            </w:pPr>
          </w:p>
        </w:tc>
        <w:tc>
          <w:tcPr>
            <w:tcW w:w="1700" w:type="dxa"/>
            <w:vAlign w:val="bottom"/>
            <w:tcBorders>
              <w:bottom w:val="single" w:sz="8" w:color="010101"/>
              <w:right w:val="single" w:sz="8" w:color="010101"/>
            </w:tcBorders>
          </w:tcPr>
          <w:p>
            <w:pPr>
              <w:spacing w:after="0"/>
              <w:rPr>
                <w:sz w:val="2"/>
                <w:szCs w:val="2"/>
                <w:color w:val="auto"/>
              </w:rPr>
            </w:pPr>
          </w:p>
        </w:tc>
        <w:tc>
          <w:tcPr>
            <w:tcW w:w="1700" w:type="dxa"/>
            <w:vAlign w:val="bottom"/>
            <w:tcBorders>
              <w:bottom w:val="single" w:sz="8" w:color="010101"/>
              <w:right w:val="single" w:sz="8" w:color="auto"/>
            </w:tcBorders>
          </w:tcPr>
          <w:p>
            <w:pPr>
              <w:spacing w:after="0"/>
              <w:rPr>
                <w:sz w:val="2"/>
                <w:szCs w:val="2"/>
                <w:color w:val="auto"/>
              </w:rPr>
            </w:pPr>
          </w:p>
        </w:tc>
      </w:tr>
      <w:tr>
        <w:trPr>
          <w:trHeight w:val="248"/>
        </w:trPr>
        <w:tc>
          <w:tcPr>
            <w:tcW w:w="1260" w:type="dxa"/>
            <w:vAlign w:val="bottom"/>
            <w:tcBorders>
              <w:left w:val="single" w:sz="8" w:color="auto"/>
              <w:right w:val="single" w:sz="8" w:color="010101"/>
            </w:tcBorders>
          </w:tcPr>
          <w:p>
            <w:pPr>
              <w:jc w:val="center"/>
              <w:ind w:left="151"/>
              <w:spacing w:after="0"/>
              <w:rPr>
                <w:sz w:val="20"/>
                <w:szCs w:val="20"/>
                <w:color w:val="auto"/>
              </w:rPr>
            </w:pPr>
            <w:r>
              <w:rPr>
                <w:rFonts w:ascii="Times New Roman" w:cs="Times New Roman" w:eastAsia="Times New Roman" w:hAnsi="Times New Roman"/>
                <w:sz w:val="18"/>
                <w:szCs w:val="18"/>
                <w:color w:val="auto"/>
                <w:w w:val="94"/>
              </w:rPr>
              <w:t>VI</w:t>
            </w:r>
          </w:p>
        </w:tc>
        <w:tc>
          <w:tcPr>
            <w:tcW w:w="3560" w:type="dxa"/>
            <w:vAlign w:val="bottom"/>
            <w:tcBorders>
              <w:right w:val="single" w:sz="8" w:color="010101"/>
            </w:tcBorders>
          </w:tcPr>
          <w:p>
            <w:pPr>
              <w:ind w:left="60"/>
              <w:spacing w:after="0"/>
              <w:rPr>
                <w:sz w:val="20"/>
                <w:szCs w:val="20"/>
                <w:color w:val="auto"/>
              </w:rPr>
            </w:pPr>
            <w:r>
              <w:rPr>
                <w:rFonts w:ascii="Times New Roman" w:cs="Times New Roman" w:eastAsia="Times New Roman" w:hAnsi="Times New Roman"/>
                <w:sz w:val="18"/>
                <w:szCs w:val="18"/>
                <w:color w:val="auto"/>
              </w:rPr>
              <w:t>Greater than 4.00 to 1.00, but less than or equal</w:t>
            </w:r>
          </w:p>
        </w:tc>
        <w:tc>
          <w:tcPr>
            <w:tcW w:w="1280" w:type="dxa"/>
            <w:vAlign w:val="bottom"/>
            <w:gridSpan w:val="4"/>
          </w:tcPr>
          <w:p>
            <w:pPr>
              <w:jc w:val="center"/>
              <w:ind w:left="171"/>
              <w:spacing w:after="0"/>
              <w:rPr>
                <w:sz w:val="20"/>
                <w:szCs w:val="20"/>
                <w:color w:val="auto"/>
              </w:rPr>
            </w:pPr>
            <w:r>
              <w:rPr>
                <w:rFonts w:ascii="Times New Roman" w:cs="Times New Roman" w:eastAsia="Times New Roman" w:hAnsi="Times New Roman"/>
                <w:sz w:val="18"/>
                <w:szCs w:val="18"/>
                <w:color w:val="auto"/>
                <w:w w:val="98"/>
              </w:rPr>
              <w:t>2.25%</w:t>
            </w:r>
          </w:p>
        </w:tc>
        <w:tc>
          <w:tcPr>
            <w:tcW w:w="40" w:type="dxa"/>
            <w:vAlign w:val="bottom"/>
          </w:tcPr>
          <w:p>
            <w:pPr>
              <w:spacing w:after="0"/>
              <w:rPr>
                <w:sz w:val="21"/>
                <w:szCs w:val="21"/>
                <w:color w:val="auto"/>
              </w:rPr>
            </w:pPr>
          </w:p>
        </w:tc>
        <w:tc>
          <w:tcPr>
            <w:tcW w:w="220" w:type="dxa"/>
            <w:vAlign w:val="bottom"/>
            <w:tcBorders>
              <w:right w:val="single" w:sz="8" w:color="010101"/>
            </w:tcBorders>
          </w:tcPr>
          <w:p>
            <w:pPr>
              <w:spacing w:after="0"/>
              <w:rPr>
                <w:sz w:val="21"/>
                <w:szCs w:val="21"/>
                <w:color w:val="auto"/>
              </w:rPr>
            </w:pPr>
          </w:p>
        </w:tc>
        <w:tc>
          <w:tcPr>
            <w:tcW w:w="1700" w:type="dxa"/>
            <w:vAlign w:val="bottom"/>
            <w:tcBorders>
              <w:right w:val="single" w:sz="8" w:color="010101"/>
            </w:tcBorders>
          </w:tcPr>
          <w:p>
            <w:pPr>
              <w:jc w:val="center"/>
              <w:spacing w:after="0"/>
              <w:rPr>
                <w:sz w:val="20"/>
                <w:szCs w:val="20"/>
                <w:color w:val="auto"/>
              </w:rPr>
            </w:pPr>
            <w:r>
              <w:rPr>
                <w:rFonts w:ascii="Times New Roman" w:cs="Times New Roman" w:eastAsia="Times New Roman" w:hAnsi="Times New Roman"/>
                <w:sz w:val="18"/>
                <w:szCs w:val="18"/>
                <w:color w:val="auto"/>
                <w:w w:val="98"/>
              </w:rPr>
              <w:t>1.25%</w:t>
            </w:r>
          </w:p>
        </w:tc>
        <w:tc>
          <w:tcPr>
            <w:tcW w:w="1700" w:type="dxa"/>
            <w:vAlign w:val="bottom"/>
            <w:tcBorders>
              <w:right w:val="single" w:sz="8" w:color="010101"/>
            </w:tcBorders>
          </w:tcPr>
          <w:p>
            <w:pPr>
              <w:jc w:val="center"/>
              <w:spacing w:after="0"/>
              <w:rPr>
                <w:sz w:val="20"/>
                <w:szCs w:val="20"/>
                <w:color w:val="auto"/>
              </w:rPr>
            </w:pPr>
            <w:r>
              <w:rPr>
                <w:rFonts w:ascii="Times New Roman" w:cs="Times New Roman" w:eastAsia="Times New Roman" w:hAnsi="Times New Roman"/>
                <w:sz w:val="18"/>
                <w:szCs w:val="18"/>
                <w:color w:val="auto"/>
              </w:rPr>
              <w:t>0.350%</w:t>
            </w:r>
          </w:p>
        </w:tc>
      </w:tr>
      <w:tr>
        <w:trPr>
          <w:trHeight w:val="241"/>
        </w:trPr>
        <w:tc>
          <w:tcPr>
            <w:tcW w:w="1260" w:type="dxa"/>
            <w:vAlign w:val="bottom"/>
            <w:tcBorders>
              <w:left w:val="single" w:sz="8" w:color="auto"/>
              <w:right w:val="single" w:sz="8" w:color="010101"/>
            </w:tcBorders>
          </w:tcPr>
          <w:p>
            <w:pPr>
              <w:spacing w:after="0"/>
              <w:rPr>
                <w:sz w:val="20"/>
                <w:szCs w:val="20"/>
                <w:color w:val="auto"/>
              </w:rPr>
            </w:pPr>
          </w:p>
        </w:tc>
        <w:tc>
          <w:tcPr>
            <w:tcW w:w="3560" w:type="dxa"/>
            <w:vAlign w:val="bottom"/>
            <w:tcBorders>
              <w:right w:val="single" w:sz="8" w:color="010101"/>
            </w:tcBorders>
          </w:tcPr>
          <w:p>
            <w:pPr>
              <w:ind w:left="60"/>
              <w:spacing w:after="0"/>
              <w:rPr>
                <w:sz w:val="20"/>
                <w:szCs w:val="20"/>
                <w:color w:val="auto"/>
              </w:rPr>
            </w:pPr>
            <w:r>
              <w:rPr>
                <w:rFonts w:ascii="Times New Roman" w:cs="Times New Roman" w:eastAsia="Times New Roman" w:hAnsi="Times New Roman"/>
                <w:sz w:val="18"/>
                <w:szCs w:val="18"/>
                <w:color w:val="auto"/>
              </w:rPr>
              <w:t>to 4.50 to 1.00</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right w:val="single" w:sz="8" w:color="010101"/>
            </w:tcBorders>
          </w:tcPr>
          <w:p>
            <w:pPr>
              <w:spacing w:after="0"/>
              <w:rPr>
                <w:sz w:val="20"/>
                <w:szCs w:val="20"/>
                <w:color w:val="auto"/>
              </w:rPr>
            </w:pPr>
          </w:p>
        </w:tc>
        <w:tc>
          <w:tcPr>
            <w:tcW w:w="1700" w:type="dxa"/>
            <w:vAlign w:val="bottom"/>
            <w:tcBorders>
              <w:right w:val="single" w:sz="8" w:color="010101"/>
            </w:tcBorders>
          </w:tcPr>
          <w:p>
            <w:pPr>
              <w:spacing w:after="0"/>
              <w:rPr>
                <w:sz w:val="20"/>
                <w:szCs w:val="20"/>
                <w:color w:val="auto"/>
              </w:rPr>
            </w:pPr>
          </w:p>
        </w:tc>
        <w:tc>
          <w:tcPr>
            <w:tcW w:w="1700" w:type="dxa"/>
            <w:vAlign w:val="bottom"/>
            <w:tcBorders>
              <w:right w:val="single" w:sz="8" w:color="010101"/>
            </w:tcBorders>
          </w:tcPr>
          <w:p>
            <w:pPr>
              <w:spacing w:after="0"/>
              <w:rPr>
                <w:sz w:val="20"/>
                <w:szCs w:val="20"/>
                <w:color w:val="auto"/>
              </w:rPr>
            </w:pPr>
          </w:p>
        </w:tc>
      </w:tr>
      <w:tr>
        <w:trPr>
          <w:trHeight w:val="26"/>
        </w:trPr>
        <w:tc>
          <w:tcPr>
            <w:tcW w:w="1260" w:type="dxa"/>
            <w:vAlign w:val="bottom"/>
            <w:tcBorders>
              <w:left w:val="single" w:sz="8" w:color="auto"/>
              <w:bottom w:val="single" w:sz="8" w:color="010101"/>
              <w:right w:val="single" w:sz="8" w:color="010101"/>
            </w:tcBorders>
          </w:tcPr>
          <w:p>
            <w:pPr>
              <w:spacing w:after="0"/>
              <w:rPr>
                <w:sz w:val="2"/>
                <w:szCs w:val="2"/>
                <w:color w:val="auto"/>
              </w:rPr>
            </w:pPr>
          </w:p>
        </w:tc>
        <w:tc>
          <w:tcPr>
            <w:tcW w:w="3560" w:type="dxa"/>
            <w:vAlign w:val="bottom"/>
            <w:tcBorders>
              <w:bottom w:val="single" w:sz="8" w:color="010101"/>
              <w:right w:val="single" w:sz="8" w:color="010101"/>
            </w:tcBorders>
          </w:tcPr>
          <w:p>
            <w:pPr>
              <w:spacing w:after="0"/>
              <w:rPr>
                <w:sz w:val="2"/>
                <w:szCs w:val="2"/>
                <w:color w:val="auto"/>
              </w:rPr>
            </w:pPr>
          </w:p>
        </w:tc>
        <w:tc>
          <w:tcPr>
            <w:tcW w:w="200" w:type="dxa"/>
            <w:vAlign w:val="bottom"/>
            <w:tcBorders>
              <w:bottom w:val="single" w:sz="8" w:color="010101"/>
            </w:tcBorders>
          </w:tcPr>
          <w:p>
            <w:pPr>
              <w:spacing w:after="0"/>
              <w:rPr>
                <w:sz w:val="2"/>
                <w:szCs w:val="2"/>
                <w:color w:val="auto"/>
              </w:rPr>
            </w:pPr>
          </w:p>
        </w:tc>
        <w:tc>
          <w:tcPr>
            <w:tcW w:w="400" w:type="dxa"/>
            <w:vAlign w:val="bottom"/>
            <w:tcBorders>
              <w:bottom w:val="single" w:sz="8" w:color="010101"/>
            </w:tcBorders>
          </w:tcPr>
          <w:p>
            <w:pPr>
              <w:spacing w:after="0"/>
              <w:rPr>
                <w:sz w:val="2"/>
                <w:szCs w:val="2"/>
                <w:color w:val="auto"/>
              </w:rPr>
            </w:pPr>
          </w:p>
        </w:tc>
        <w:tc>
          <w:tcPr>
            <w:tcW w:w="320" w:type="dxa"/>
            <w:vAlign w:val="bottom"/>
            <w:tcBorders>
              <w:bottom w:val="single" w:sz="8" w:color="010101"/>
            </w:tcBorders>
          </w:tcPr>
          <w:p>
            <w:pPr>
              <w:spacing w:after="0"/>
              <w:rPr>
                <w:sz w:val="2"/>
                <w:szCs w:val="2"/>
                <w:color w:val="auto"/>
              </w:rPr>
            </w:pPr>
          </w:p>
        </w:tc>
        <w:tc>
          <w:tcPr>
            <w:tcW w:w="360" w:type="dxa"/>
            <w:vAlign w:val="bottom"/>
            <w:tcBorders>
              <w:bottom w:val="single" w:sz="8" w:color="010101"/>
            </w:tcBorders>
          </w:tcPr>
          <w:p>
            <w:pPr>
              <w:spacing w:after="0"/>
              <w:rPr>
                <w:sz w:val="2"/>
                <w:szCs w:val="2"/>
                <w:color w:val="auto"/>
              </w:rPr>
            </w:pPr>
          </w:p>
        </w:tc>
        <w:tc>
          <w:tcPr>
            <w:tcW w:w="40" w:type="dxa"/>
            <w:vAlign w:val="bottom"/>
            <w:tcBorders>
              <w:bottom w:val="single" w:sz="8" w:color="010101"/>
            </w:tcBorders>
          </w:tcPr>
          <w:p>
            <w:pPr>
              <w:spacing w:after="0"/>
              <w:rPr>
                <w:sz w:val="2"/>
                <w:szCs w:val="2"/>
                <w:color w:val="auto"/>
              </w:rPr>
            </w:pPr>
          </w:p>
        </w:tc>
        <w:tc>
          <w:tcPr>
            <w:tcW w:w="220" w:type="dxa"/>
            <w:vAlign w:val="bottom"/>
            <w:tcBorders>
              <w:bottom w:val="single" w:sz="8" w:color="010101"/>
              <w:right w:val="single" w:sz="8" w:color="010101"/>
            </w:tcBorders>
          </w:tcPr>
          <w:p>
            <w:pPr>
              <w:spacing w:after="0"/>
              <w:rPr>
                <w:sz w:val="2"/>
                <w:szCs w:val="2"/>
                <w:color w:val="auto"/>
              </w:rPr>
            </w:pPr>
          </w:p>
        </w:tc>
        <w:tc>
          <w:tcPr>
            <w:tcW w:w="1700" w:type="dxa"/>
            <w:vAlign w:val="bottom"/>
            <w:tcBorders>
              <w:bottom w:val="single" w:sz="8" w:color="010101"/>
              <w:right w:val="single" w:sz="8" w:color="010101"/>
            </w:tcBorders>
          </w:tcPr>
          <w:p>
            <w:pPr>
              <w:spacing w:after="0"/>
              <w:rPr>
                <w:sz w:val="2"/>
                <w:szCs w:val="2"/>
                <w:color w:val="auto"/>
              </w:rPr>
            </w:pPr>
          </w:p>
        </w:tc>
        <w:tc>
          <w:tcPr>
            <w:tcW w:w="1700" w:type="dxa"/>
            <w:vAlign w:val="bottom"/>
            <w:tcBorders>
              <w:bottom w:val="single" w:sz="8" w:color="010101"/>
              <w:right w:val="single" w:sz="8" w:color="010101"/>
            </w:tcBorders>
          </w:tcPr>
          <w:p>
            <w:pPr>
              <w:spacing w:after="0"/>
              <w:rPr>
                <w:sz w:val="2"/>
                <w:szCs w:val="2"/>
                <w:color w:val="auto"/>
              </w:rPr>
            </w:pPr>
          </w:p>
        </w:tc>
      </w:tr>
      <w:tr>
        <w:trPr>
          <w:trHeight w:val="230"/>
        </w:trPr>
        <w:tc>
          <w:tcPr>
            <w:tcW w:w="1260" w:type="dxa"/>
            <w:vAlign w:val="bottom"/>
            <w:tcBorders>
              <w:left w:val="single" w:sz="8" w:color="auto"/>
              <w:bottom w:val="single" w:sz="8" w:color="010101"/>
              <w:right w:val="single" w:sz="8" w:color="010101"/>
            </w:tcBorders>
          </w:tcPr>
          <w:p>
            <w:pPr>
              <w:jc w:val="center"/>
              <w:ind w:left="151"/>
              <w:spacing w:after="0"/>
              <w:rPr>
                <w:sz w:val="20"/>
                <w:szCs w:val="20"/>
                <w:color w:val="auto"/>
              </w:rPr>
            </w:pPr>
            <w:r>
              <w:rPr>
                <w:rFonts w:ascii="Times New Roman" w:cs="Times New Roman" w:eastAsia="Times New Roman" w:hAnsi="Times New Roman"/>
                <w:sz w:val="18"/>
                <w:szCs w:val="18"/>
                <w:color w:val="auto"/>
              </w:rPr>
              <w:t>VII</w:t>
            </w:r>
          </w:p>
        </w:tc>
        <w:tc>
          <w:tcPr>
            <w:tcW w:w="3560" w:type="dxa"/>
            <w:vAlign w:val="bottom"/>
            <w:tcBorders>
              <w:bottom w:val="single" w:sz="8" w:color="010101"/>
              <w:right w:val="single" w:sz="8" w:color="010101"/>
            </w:tcBorders>
          </w:tcPr>
          <w:p>
            <w:pPr>
              <w:ind w:left="60"/>
              <w:spacing w:after="0"/>
              <w:rPr>
                <w:sz w:val="20"/>
                <w:szCs w:val="20"/>
                <w:color w:val="auto"/>
              </w:rPr>
            </w:pPr>
            <w:r>
              <w:rPr>
                <w:rFonts w:ascii="Times New Roman" w:cs="Times New Roman" w:eastAsia="Times New Roman" w:hAnsi="Times New Roman"/>
                <w:sz w:val="18"/>
                <w:szCs w:val="18"/>
                <w:color w:val="auto"/>
              </w:rPr>
              <w:t>Greater than 4.50 to 1.00</w:t>
            </w:r>
          </w:p>
        </w:tc>
        <w:tc>
          <w:tcPr>
            <w:tcW w:w="1280" w:type="dxa"/>
            <w:vAlign w:val="bottom"/>
            <w:tcBorders>
              <w:bottom w:val="single" w:sz="8" w:color="010101"/>
            </w:tcBorders>
            <w:gridSpan w:val="4"/>
          </w:tcPr>
          <w:p>
            <w:pPr>
              <w:jc w:val="center"/>
              <w:ind w:left="171"/>
              <w:spacing w:after="0"/>
              <w:rPr>
                <w:sz w:val="20"/>
                <w:szCs w:val="20"/>
                <w:color w:val="auto"/>
              </w:rPr>
            </w:pPr>
            <w:r>
              <w:rPr>
                <w:rFonts w:ascii="Times New Roman" w:cs="Times New Roman" w:eastAsia="Times New Roman" w:hAnsi="Times New Roman"/>
                <w:sz w:val="18"/>
                <w:szCs w:val="18"/>
                <w:color w:val="auto"/>
                <w:w w:val="98"/>
              </w:rPr>
              <w:t>2.50%</w:t>
            </w:r>
          </w:p>
        </w:tc>
        <w:tc>
          <w:tcPr>
            <w:tcW w:w="40" w:type="dxa"/>
            <w:vAlign w:val="bottom"/>
            <w:tcBorders>
              <w:bottom w:val="single" w:sz="8" w:color="010101"/>
            </w:tcBorders>
          </w:tcPr>
          <w:p>
            <w:pPr>
              <w:spacing w:after="0"/>
              <w:rPr>
                <w:sz w:val="20"/>
                <w:szCs w:val="20"/>
                <w:color w:val="auto"/>
              </w:rPr>
            </w:pPr>
          </w:p>
        </w:tc>
        <w:tc>
          <w:tcPr>
            <w:tcW w:w="220" w:type="dxa"/>
            <w:vAlign w:val="bottom"/>
            <w:tcBorders>
              <w:bottom w:val="single" w:sz="8" w:color="010101"/>
              <w:right w:val="single" w:sz="8" w:color="010101"/>
            </w:tcBorders>
          </w:tcPr>
          <w:p>
            <w:pPr>
              <w:spacing w:after="0"/>
              <w:rPr>
                <w:sz w:val="20"/>
                <w:szCs w:val="20"/>
                <w:color w:val="auto"/>
              </w:rPr>
            </w:pPr>
          </w:p>
        </w:tc>
        <w:tc>
          <w:tcPr>
            <w:tcW w:w="1700" w:type="dxa"/>
            <w:vAlign w:val="bottom"/>
            <w:tcBorders>
              <w:bottom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8"/>
                <w:szCs w:val="18"/>
                <w:color w:val="auto"/>
                <w:w w:val="98"/>
              </w:rPr>
              <w:t>1.50%</w:t>
            </w:r>
          </w:p>
        </w:tc>
        <w:tc>
          <w:tcPr>
            <w:tcW w:w="1700" w:type="dxa"/>
            <w:vAlign w:val="bottom"/>
            <w:tcBorders>
              <w:bottom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8"/>
                <w:szCs w:val="18"/>
                <w:color w:val="auto"/>
              </w:rPr>
              <w:t>0.350%</w:t>
            </w:r>
          </w:p>
        </w:tc>
      </w:tr>
    </w:tbl>
    <w:p>
      <w:pPr>
        <w:spacing w:after="0" w:line="200" w:lineRule="exact"/>
        <w:rPr>
          <w:sz w:val="20"/>
          <w:szCs w:val="20"/>
          <w:color w:val="auto"/>
        </w:rPr>
      </w:pPr>
    </w:p>
    <w:p>
      <w:pPr>
        <w:spacing w:after="0" w:line="325" w:lineRule="exact"/>
        <w:rPr>
          <w:sz w:val="20"/>
          <w:szCs w:val="20"/>
          <w:color w:val="auto"/>
        </w:rPr>
      </w:pPr>
    </w:p>
    <w:p>
      <w:pPr>
        <w:jc w:val="both"/>
        <w:ind w:left="620" w:right="20"/>
        <w:spacing w:after="0" w:line="249" w:lineRule="auto"/>
        <w:rPr>
          <w:sz w:val="20"/>
          <w:szCs w:val="20"/>
          <w:color w:val="auto"/>
        </w:rPr>
      </w:pPr>
      <w:r>
        <w:rPr>
          <w:rFonts w:ascii="Times New Roman" w:cs="Times New Roman" w:eastAsia="Times New Roman" w:hAnsi="Times New Roman"/>
          <w:sz w:val="20"/>
          <w:szCs w:val="20"/>
          <w:color w:val="auto"/>
        </w:rPr>
        <w:t xml:space="preserve">The Applicable Margin shall be determined and adjusted quarterly on the date five (5) Business Days after the day on which Centuri provides an Officer’s Compliance Certificate pursuant to </w:t>
      </w:r>
      <w:r>
        <w:rPr>
          <w:rFonts w:ascii="Times New Roman" w:cs="Times New Roman" w:eastAsia="Times New Roman" w:hAnsi="Times New Roman"/>
          <w:sz w:val="20"/>
          <w:szCs w:val="20"/>
          <w:u w:val="single" w:color="auto"/>
          <w:color w:val="auto"/>
        </w:rPr>
        <w:t>Section 8.2(a)</w:t>
      </w:r>
      <w:r>
        <w:rPr>
          <w:rFonts w:ascii="Times New Roman" w:cs="Times New Roman" w:eastAsia="Times New Roman" w:hAnsi="Times New Roman"/>
          <w:sz w:val="20"/>
          <w:szCs w:val="20"/>
          <w:color w:val="auto"/>
        </w:rPr>
        <w:t xml:space="preserve"> for the most recently ended fiscal quarter of Centuri (each such date, a “</w:t>
      </w:r>
      <w:r>
        <w:rPr>
          <w:rFonts w:ascii="Times New Roman" w:cs="Times New Roman" w:eastAsia="Times New Roman" w:hAnsi="Times New Roman"/>
          <w:sz w:val="20"/>
          <w:szCs w:val="20"/>
          <w:u w:val="single" w:color="auto"/>
          <w:color w:val="auto"/>
        </w:rPr>
        <w:t>Calculation Date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2" w:lineRule="exact"/>
        <w:rPr>
          <w:sz w:val="20"/>
          <w:szCs w:val="20"/>
          <w:color w:val="auto"/>
        </w:rPr>
      </w:pPr>
    </w:p>
    <w:p>
      <w:pPr>
        <w:jc w:val="both"/>
        <w:ind w:left="620" w:firstLine="4"/>
        <w:spacing w:after="0" w:line="261" w:lineRule="auto"/>
        <w:tabs>
          <w:tab w:leader="none" w:pos="1225"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Applicable Margin shall be based on the Pricing Level VII until the first Calculation Date occurring in connection with the first fiscal quarter to end after the First Amendment Effective Date and, thereafter the Pricing Level shall be determined by reference to the Consolidated Net Leverage Ratio as of the last day of the most recently ended fiscal quarter of Centuri preceding the applicable Calculation Date, and (b) if Centuri fails to provide an Officer’s Compliance Certificate when due as required by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8.2(a)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for the most recently ended fiscal quarter of Centuri preceding the applicable Calculation Date, the Applicable Margin from the date on which such Officer’s Compliance Certificate was required to have been delivered shall be based on Pricing Level VII until such time as such Officer’s Compliance Certificate is delivered, at which time the Pricing Level shall be determined by reference to the Consolidated Net Leverage Ratio as of the last day of the most recently ended fiscal quarter of Centuri preceding such Calculation Date. The applicable Pricing Level shall be effective from one Calculation Date until the next Calculation Date. Any adjustment in the Pricing Level shall be applicable to all Extensions of Credit then existing or subsequently made or issued.</w:t>
      </w:r>
    </w:p>
    <w:p>
      <w:pPr>
        <w:spacing w:after="0" w:line="156" w:lineRule="exact"/>
        <w:rPr>
          <w:sz w:val="20"/>
          <w:szCs w:val="20"/>
          <w:color w:val="auto"/>
        </w:rPr>
      </w:pPr>
    </w:p>
    <w:p>
      <w:pPr>
        <w:ind w:left="620" w:right="60"/>
        <w:spacing w:after="0" w:line="277" w:lineRule="auto"/>
        <w:rPr>
          <w:sz w:val="20"/>
          <w:szCs w:val="20"/>
          <w:color w:val="auto"/>
        </w:rPr>
      </w:pPr>
      <w:r>
        <w:rPr>
          <w:rFonts w:ascii="Times New Roman" w:cs="Times New Roman" w:eastAsia="Times New Roman" w:hAnsi="Times New Roman"/>
          <w:sz w:val="20"/>
          <w:szCs w:val="20"/>
          <w:color w:val="auto"/>
        </w:rPr>
        <w:t xml:space="preserve">Notwithstanding the foregoing, in the event that any financial statement or Officer’s Compliance Certificate delivered pursuant to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8.2</w:t>
      </w:r>
      <w:r>
        <w:rPr>
          <w:rFonts w:ascii="Times New Roman" w:cs="Times New Roman" w:eastAsia="Times New Roman" w:hAnsi="Times New Roman"/>
          <w:sz w:val="20"/>
          <w:szCs w:val="20"/>
          <w:color w:val="auto"/>
        </w:rPr>
        <w:t xml:space="preserve"> is shown to be inaccurate (regardless of whether</w:t>
      </w:r>
    </w:p>
    <w:p>
      <w:pPr>
        <w:spacing w:after="0" w:line="200" w:lineRule="exact"/>
        <w:rPr>
          <w:sz w:val="20"/>
          <w:szCs w:val="20"/>
          <w:color w:val="auto"/>
        </w:rPr>
      </w:pPr>
    </w:p>
    <w:p>
      <w:pPr>
        <w:spacing w:after="0" w:line="36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4</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-34290</wp:posOffset>
            </wp:positionV>
            <wp:extent cx="8255" cy="1016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07">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1060"/>
          </w:cols>
          <w:pgMar w:left="380" w:top="1440" w:right="459" w:bottom="1440" w:gutter="0" w:footer="0" w:header="0"/>
        </w:sectPr>
      </w:pPr>
    </w:p>
    <w:bookmarkStart w:id="153" w:name="page154"/>
    <w:bookmarkEnd w:id="153"/>
    <w:p>
      <w:pPr>
        <w:ind w:left="620"/>
        <w:spacing w:after="0"/>
        <w:rPr>
          <w:sz w:val="20"/>
          <w:szCs w:val="20"/>
          <w:color w:val="auto"/>
        </w:rPr>
      </w:pPr>
      <w:r>
        <w:rPr>
          <w:rFonts w:ascii="Times New Roman" w:cs="Times New Roman" w:eastAsia="Times New Roman" w:hAnsi="Times New Roman"/>
          <w:sz w:val="19"/>
          <w:szCs w:val="19"/>
          <w:color w:val="auto"/>
        </w:rPr>
        <w:t>(i) this Agreement is in effect, (ii) any Commitments are in effect, or (iii) any Extension of Credit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5</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-42545</wp:posOffset>
            </wp:positionV>
            <wp:extent cx="8255" cy="1016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08">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0079"/>
          </w:cols>
          <w:pgMar w:left="380" w:top="1320" w:right="1440" w:bottom="1440" w:gutter="0" w:footer="0" w:header="0"/>
        </w:sectPr>
      </w:pPr>
    </w:p>
    <w:bookmarkStart w:id="154" w:name="page155"/>
    <w:bookmarkEnd w:id="154"/>
    <w:p>
      <w:pPr>
        <w:spacing w:after="0" w:line="202" w:lineRule="exact"/>
        <w:rPr>
          <w:sz w:val="20"/>
          <w:szCs w:val="20"/>
          <w:color w:val="auto"/>
        </w:rPr>
      </w:pPr>
    </w:p>
    <w:p>
      <w:pPr>
        <w:jc w:val="both"/>
        <w:ind w:left="620" w:right="40"/>
        <w:spacing w:after="0" w:line="248" w:lineRule="auto"/>
        <w:rPr>
          <w:sz w:val="20"/>
          <w:szCs w:val="20"/>
          <w:color w:val="auto"/>
        </w:rPr>
      </w:pPr>
      <w:r>
        <w:rPr>
          <w:rFonts w:ascii="Times New Roman" w:cs="Times New Roman" w:eastAsia="Times New Roman" w:hAnsi="Times New Roman"/>
          <w:sz w:val="20"/>
          <w:szCs w:val="20"/>
          <w:color w:val="auto"/>
        </w:rPr>
        <w:t>outstanding when such inaccuracy is discovered or such financial statement or Officer’s Compliance Certificate was delivered), and such inaccuracy, if corrected, would have led to the application of a higher Applicable Margin for any period (an “</w:t>
      </w:r>
      <w:r>
        <w:rPr>
          <w:rFonts w:ascii="Times New Roman" w:cs="Times New Roman" w:eastAsia="Times New Roman" w:hAnsi="Times New Roman"/>
          <w:sz w:val="20"/>
          <w:szCs w:val="20"/>
          <w:u w:val="single" w:color="auto"/>
          <w:color w:val="auto"/>
        </w:rPr>
        <w:t>Applicable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Period</w:t>
      </w:r>
      <w:r>
        <w:rPr>
          <w:rFonts w:ascii="Times New Roman" w:cs="Times New Roman" w:eastAsia="Times New Roman" w:hAnsi="Times New Roman"/>
          <w:sz w:val="20"/>
          <w:szCs w:val="20"/>
          <w:color w:val="auto"/>
        </w:rPr>
        <w:t xml:space="preserve">”) than the Applicable Margin applied for such Applicable Period, then (A) Centuri shall immediately deliver to the Administrative Agent a corrected Officer’s Compliance Certificate for such Applicable Period, (B) the Applicable Margin for such Applicable Period shall be determined as if the Consolidated Net Leverage Ratio in the corrected Officer’s Compliance Certificate were applicable for such Applicable Period, and (C) the Borrowers shall immediately and retroactively be obligated to pay to the Administrative Agent the accrued additional interest and fees owing as a result of such increased Applicable Margin for such Applicable Period, which payment shall be promptly applied by the Administrative Agent in accordance with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 xml:space="preserve">. Nothing in this paragraph shall limit the rights of the Administrative Agent and Lenders with respect to </w:t>
      </w:r>
      <w:r>
        <w:rPr>
          <w:rFonts w:ascii="Times New Roman" w:cs="Times New Roman" w:eastAsia="Times New Roman" w:hAnsi="Times New Roman"/>
          <w:sz w:val="20"/>
          <w:szCs w:val="20"/>
          <w:u w:val="single" w:color="auto"/>
          <w:color w:val="auto"/>
        </w:rPr>
        <w:t>Sections 5.1(b)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10.2</w:t>
      </w:r>
      <w:r>
        <w:rPr>
          <w:rFonts w:ascii="Times New Roman" w:cs="Times New Roman" w:eastAsia="Times New Roman" w:hAnsi="Times New Roman"/>
          <w:sz w:val="20"/>
          <w:szCs w:val="20"/>
          <w:color w:val="auto"/>
        </w:rPr>
        <w:t xml:space="preserve"> nor any of their other rights under this Agreement or any other Loan Document. The Borrowers’ obligations under this paragraph shall survive the termination of the Commitments and the repayment of all other Obligations hereunder.</w:t>
      </w:r>
    </w:p>
    <w:p>
      <w:pPr>
        <w:spacing w:after="0" w:line="1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Applicant Borrower</w:t>
      </w:r>
      <w:r>
        <w:rPr>
          <w:rFonts w:ascii="Times New Roman" w:cs="Times New Roman" w:eastAsia="Times New Roman" w:hAnsi="Times New Roman"/>
          <w:sz w:val="20"/>
          <w:szCs w:val="20"/>
          <w:color w:val="auto"/>
        </w:rPr>
        <w:t xml:space="preserve">” has the meaning given such term in </w:t>
      </w:r>
      <w:r>
        <w:rPr>
          <w:rFonts w:ascii="Times New Roman" w:cs="Times New Roman" w:eastAsia="Times New Roman" w:hAnsi="Times New Roman"/>
          <w:sz w:val="20"/>
          <w:szCs w:val="20"/>
          <w:u w:val="single" w:color="auto"/>
          <w:color w:val="auto"/>
        </w:rPr>
        <w:t>Section 5.17</w:t>
      </w:r>
      <w:r>
        <w:rPr>
          <w:rFonts w:ascii="Times New Roman" w:cs="Times New Roman" w:eastAsia="Times New Roman" w:hAnsi="Times New Roman"/>
          <w:sz w:val="20"/>
          <w:szCs w:val="20"/>
          <w:color w:val="auto"/>
        </w:rPr>
        <w:t>.</w:t>
      </w:r>
    </w:p>
    <w:p>
      <w:pPr>
        <w:spacing w:after="0" w:line="225" w:lineRule="exact"/>
        <w:rPr>
          <w:sz w:val="20"/>
          <w:szCs w:val="20"/>
          <w:color w:val="auto"/>
        </w:rPr>
      </w:pPr>
    </w:p>
    <w:p>
      <w:pPr>
        <w:jc w:val="both"/>
        <w:ind w:left="620" w:right="40" w:firstLine="642"/>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means any Fund that is administered or managed by (a) a Lender, (b) an Affiliate of a Lender or (c) an entity or an Affiliate of an entity that administers or manages a Lender.</w:t>
      </w:r>
    </w:p>
    <w:p>
      <w:pPr>
        <w:spacing w:after="0" w:line="178" w:lineRule="exact"/>
        <w:rPr>
          <w:sz w:val="20"/>
          <w:szCs w:val="20"/>
          <w:color w:val="auto"/>
        </w:rPr>
      </w:pPr>
    </w:p>
    <w:p>
      <w:pPr>
        <w:jc w:val="both"/>
        <w:ind w:left="620" w:right="40" w:firstLine="642"/>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Arrangers</w:t>
      </w:r>
      <w:r>
        <w:rPr>
          <w:rFonts w:ascii="Times New Roman" w:cs="Times New Roman" w:eastAsia="Times New Roman" w:hAnsi="Times New Roman"/>
          <w:sz w:val="20"/>
          <w:szCs w:val="20"/>
          <w:color w:val="auto"/>
        </w:rPr>
        <w:t>” means Wells Fargo Securities, LLC and BofA Securities, Inc., in their respective capacities as joint lead arrangers and joint bookrunners.</w:t>
      </w:r>
    </w:p>
    <w:p>
      <w:pPr>
        <w:spacing w:after="0" w:line="178" w:lineRule="exact"/>
        <w:rPr>
          <w:sz w:val="20"/>
          <w:szCs w:val="20"/>
          <w:color w:val="auto"/>
        </w:rPr>
      </w:pPr>
    </w:p>
    <w:p>
      <w:pPr>
        <w:jc w:val="both"/>
        <w:ind w:left="620" w:right="40" w:firstLine="642"/>
        <w:spacing w:after="0" w:line="27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Asset Disposition</w:t>
      </w:r>
      <w:r>
        <w:rPr>
          <w:rFonts w:ascii="Times New Roman" w:cs="Times New Roman" w:eastAsia="Times New Roman" w:hAnsi="Times New Roman"/>
          <w:sz w:val="19"/>
          <w:szCs w:val="19"/>
          <w:color w:val="auto"/>
        </w:rPr>
        <w:t>” means the disposition of any Property (including, without limitation, any Equity Interests owned thereby) by any Credit Party or any Subsidiary thereof, whether by sale, lease, transfer, statutory division or otherwise, and any issuance of Equity Interests by any Subsidiary of any Credit Party to any Person that is not a Credit Party or any Subsidiary thereof.</w:t>
      </w:r>
    </w:p>
    <w:p>
      <w:pPr>
        <w:spacing w:after="0" w:line="156" w:lineRule="exact"/>
        <w:rPr>
          <w:sz w:val="20"/>
          <w:szCs w:val="20"/>
          <w:color w:val="auto"/>
        </w:rPr>
      </w:pPr>
    </w:p>
    <w:p>
      <w:pPr>
        <w:jc w:val="both"/>
        <w:ind w:left="620" w:right="40" w:firstLine="642"/>
        <w:spacing w:after="0" w:line="26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means an assignment and assumption entered into by a Lender and an Eligible Assignee (with the consent of any party whose consent is required by </w:t>
      </w:r>
      <w:r>
        <w:rPr>
          <w:rFonts w:ascii="Times New Roman" w:cs="Times New Roman" w:eastAsia="Times New Roman" w:hAnsi="Times New Roman"/>
          <w:sz w:val="20"/>
          <w:szCs w:val="20"/>
          <w:u w:val="single" w:color="auto"/>
          <w:color w:val="auto"/>
        </w:rPr>
        <w:t>Section 12.9</w:t>
      </w:r>
      <w:r>
        <w:rPr>
          <w:rFonts w:ascii="Times New Roman" w:cs="Times New Roman" w:eastAsia="Times New Roman" w:hAnsi="Times New Roman"/>
          <w:sz w:val="20"/>
          <w:szCs w:val="20"/>
          <w:color w:val="auto"/>
        </w:rPr>
        <w:t xml:space="preserve">), and accepted by the Administrative Agent, in substantially the form attached as </w:t>
      </w:r>
      <w:r>
        <w:rPr>
          <w:rFonts w:ascii="Times New Roman" w:cs="Times New Roman" w:eastAsia="Times New Roman" w:hAnsi="Times New Roman"/>
          <w:sz w:val="20"/>
          <w:szCs w:val="20"/>
          <w:b w:val="1"/>
          <w:bCs w:val="1"/>
          <w:i w:val="1"/>
          <w:iCs w:val="1"/>
          <w:color w:val="auto"/>
        </w:rPr>
        <w:t>Exhibit G</w:t>
      </w:r>
      <w:r>
        <w:rPr>
          <w:rFonts w:ascii="Times New Roman" w:cs="Times New Roman" w:eastAsia="Times New Roman" w:hAnsi="Times New Roman"/>
          <w:sz w:val="20"/>
          <w:szCs w:val="20"/>
          <w:color w:val="auto"/>
        </w:rPr>
        <w:t xml:space="preserve"> or any other form approved by the Administrative Agent.</w:t>
      </w:r>
    </w:p>
    <w:p>
      <w:pPr>
        <w:spacing w:after="0" w:line="164" w:lineRule="exact"/>
        <w:rPr>
          <w:sz w:val="20"/>
          <w:szCs w:val="20"/>
          <w:color w:val="auto"/>
        </w:rPr>
      </w:pPr>
    </w:p>
    <w:p>
      <w:pPr>
        <w:jc w:val="both"/>
        <w:ind w:left="620" w:right="20" w:firstLine="642"/>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Attributable Indebtedness</w:t>
      </w:r>
      <w:r>
        <w:rPr>
          <w:rFonts w:ascii="Times New Roman" w:cs="Times New Roman" w:eastAsia="Times New Roman" w:hAnsi="Times New Roman"/>
          <w:sz w:val="20"/>
          <w:szCs w:val="20"/>
          <w:color w:val="auto"/>
        </w:rPr>
        <w:t>” means, on any date of determination, (a) in respect of any Capital Lease Obligation of any Person, the capitalized amount thereof that would appear on a balance sheet of such Person prepared as of such date in accordance with GAAP, (b) in respect of any Synthetic Lease, the capitalized amount or principal amount of the remaining lease payments under the relevant lease that would appear on a balance sheet of such Person prepared as of such date in accordance with GAAP if such lease were accounted for as a Capital Lease Obligation and (c) in respect of any Permitted Receivables Transaction, the aggregate cash amount paid by the lenders and/or purchasers under such Permitted Receivables Transaction in connection with their purchase of, or the making of loans secured by, Receivables Assets or interests therein, as the same may be reduced from time to time by collections with respect to such Receivables Assets or otherwise in accordance with the terms of the Permitted Receivables Transaction Documents since the Closing Date.</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Amount</w:t>
      </w:r>
      <w:r>
        <w:rPr>
          <w:rFonts w:ascii="Times New Roman" w:cs="Times New Roman" w:eastAsia="Times New Roman" w:hAnsi="Times New Roman"/>
          <w:sz w:val="20"/>
          <w:szCs w:val="20"/>
          <w:color w:val="auto"/>
        </w:rPr>
        <w:t>” means, on any date of determination, an amount equal to:</w:t>
      </w:r>
    </w:p>
    <w:p>
      <w:pPr>
        <w:spacing w:after="0" w:line="211" w:lineRule="exact"/>
        <w:rPr>
          <w:sz w:val="20"/>
          <w:szCs w:val="20"/>
          <w:color w:val="auto"/>
        </w:rPr>
      </w:pPr>
    </w:p>
    <w:p>
      <w:pPr>
        <w:jc w:val="both"/>
        <w:ind w:left="620" w:firstLine="646"/>
        <w:spacing w:after="0" w:line="257" w:lineRule="auto"/>
        <w:tabs>
          <w:tab w:leader="none" w:pos="1867"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not less than zero, equal to 50% of Adjusted Consolidated Net Income for the period (taken as one accounting period) from the fiscal quarter following September 30, 2020 to the end of the fiscal quarter most recently ended in respect of which an Officer’s Compliance Certificate has</w:t>
      </w:r>
    </w:p>
    <w:p>
      <w:pPr>
        <w:spacing w:after="0" w:line="200" w:lineRule="exact"/>
        <w:rPr>
          <w:sz w:val="20"/>
          <w:szCs w:val="20"/>
          <w:color w:val="auto"/>
        </w:rPr>
      </w:pPr>
    </w:p>
    <w:p>
      <w:pPr>
        <w:spacing w:after="0" w:line="39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6</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-42545</wp:posOffset>
            </wp:positionV>
            <wp:extent cx="8255" cy="1016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09">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1040"/>
          </w:cols>
          <w:pgMar w:left="380" w:top="1440" w:right="479" w:bottom="1440" w:gutter="0" w:footer="0" w:header="0"/>
        </w:sectPr>
      </w:pPr>
    </w:p>
    <w:bookmarkStart w:id="155" w:name="page156"/>
    <w:bookmarkEnd w:id="155"/>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7</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-42545</wp:posOffset>
            </wp:positionV>
            <wp:extent cx="8255" cy="1016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10">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0079"/>
          </w:cols>
          <w:pgMar w:left="380" w:top="1440" w:right="1440" w:bottom="1440" w:gutter="0" w:footer="0" w:header="0"/>
        </w:sectPr>
      </w:pPr>
    </w:p>
    <w:bookmarkStart w:id="156" w:name="page157"/>
    <w:bookmarkEnd w:id="156"/>
    <w:p>
      <w:pPr>
        <w:spacing w:after="0" w:line="202" w:lineRule="exact"/>
        <w:rPr>
          <w:sz w:val="20"/>
          <w:szCs w:val="20"/>
          <w:color w:val="auto"/>
        </w:rPr>
      </w:pPr>
    </w:p>
    <w:p>
      <w:pPr>
        <w:ind w:left="620" w:right="220"/>
        <w:spacing w:after="0" w:line="263" w:lineRule="auto"/>
        <w:rPr>
          <w:sz w:val="20"/>
          <w:szCs w:val="20"/>
          <w:color w:val="auto"/>
        </w:rPr>
      </w:pPr>
      <w:r>
        <w:rPr>
          <w:rFonts w:ascii="Times New Roman" w:cs="Times New Roman" w:eastAsia="Times New Roman" w:hAnsi="Times New Roman"/>
          <w:sz w:val="20"/>
          <w:szCs w:val="20"/>
          <w:color w:val="auto"/>
        </w:rPr>
        <w:t xml:space="preserve">been delivered as required hereunder (or, in the case such Adjusted Consolidated Net Income shall be a negative number, 100% of such negative number); </w:t>
      </w:r>
      <w:r>
        <w:rPr>
          <w:rFonts w:ascii="Times New Roman" w:cs="Times New Roman" w:eastAsia="Times New Roman" w:hAnsi="Times New Roman"/>
          <w:sz w:val="20"/>
          <w:szCs w:val="20"/>
          <w:u w:val="single" w:color="auto"/>
          <w:color w:val="auto"/>
        </w:rPr>
        <w:t>plus</w:t>
      </w:r>
    </w:p>
    <w:p>
      <w:pPr>
        <w:spacing w:after="0" w:line="178" w:lineRule="exact"/>
        <w:rPr>
          <w:sz w:val="20"/>
          <w:szCs w:val="20"/>
          <w:color w:val="auto"/>
        </w:rPr>
      </w:pPr>
    </w:p>
    <w:p>
      <w:pPr>
        <w:jc w:val="both"/>
        <w:ind w:left="620" w:firstLine="646"/>
        <w:spacing w:after="0" w:line="250" w:lineRule="auto"/>
        <w:tabs>
          <w:tab w:leader="none" w:pos="1865"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net cash proceeds received by Centuri after the Closing Date as a result of any issuance of Qualified Equity Interests of Centuri to Southwest Gas and cash contributions received by Centuri from Southwest Gas as a capital contribution as common Equity Interests, in each case, during the period from the Closing Date through and including such date, other than the proceeds of issuances of Qualified Equity Interests or capital contributions to the extent specifically and contemporaneously utilized in connection with other transactions permitted pursuant to this Agreement (including the Drum Acquisition, but excluding any Investments made pursuant to </w:t>
      </w:r>
      <w:r>
        <w:rPr>
          <w:rFonts w:ascii="Times New Roman" w:cs="Times New Roman" w:eastAsia="Times New Roman" w:hAnsi="Times New Roman"/>
          <w:sz w:val="20"/>
          <w:szCs w:val="20"/>
          <w:u w:val="single" w:color="auto"/>
          <w:color w:val="auto"/>
        </w:rPr>
        <w:t>Section 9.3(i)</w:t>
      </w:r>
      <w:r>
        <w:rPr>
          <w:rFonts w:ascii="Times New Roman" w:cs="Times New Roman" w:eastAsia="Times New Roman" w:hAnsi="Times New Roman"/>
          <w:sz w:val="20"/>
          <w:szCs w:val="20"/>
          <w:color w:val="auto"/>
        </w:rPr>
        <w:t xml:space="preserve"> that are deducted pursuant to clause (d) below); </w:t>
      </w:r>
      <w:r>
        <w:rPr>
          <w:rFonts w:ascii="Times New Roman" w:cs="Times New Roman" w:eastAsia="Times New Roman" w:hAnsi="Times New Roman"/>
          <w:sz w:val="20"/>
          <w:szCs w:val="20"/>
          <w:u w:val="single" w:color="auto"/>
          <w:color w:val="auto"/>
        </w:rPr>
        <w:t>plus</w:t>
      </w:r>
    </w:p>
    <w:p>
      <w:pPr>
        <w:spacing w:after="0" w:line="180" w:lineRule="exact"/>
        <w:rPr>
          <w:rFonts w:ascii="Times New Roman" w:cs="Times New Roman" w:eastAsia="Times New Roman" w:hAnsi="Times New Roman"/>
          <w:sz w:val="20"/>
          <w:szCs w:val="20"/>
          <w:color w:val="auto"/>
        </w:rPr>
      </w:pPr>
    </w:p>
    <w:p>
      <w:pPr>
        <w:jc w:val="both"/>
        <w:ind w:left="620" w:right="60" w:firstLine="646"/>
        <w:spacing w:after="0" w:line="250" w:lineRule="auto"/>
        <w:tabs>
          <w:tab w:leader="none" w:pos="1867"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net cash proceeds received by Centuri or any Subsidiary during the period from the Closing Date through and including such date in connection with (i) cash returns, cash profits, cash distributions and similar cash amounts, including cash principal repayments of loans, in each case received in respect of any Investment originally made using the Available Amount after the Closing Date and (ii) sales of Investments that were originally made using the Available Amount (in each case, in an amount not to exceed the original amount of such Investment); </w:t>
      </w:r>
      <w:r>
        <w:rPr>
          <w:rFonts w:ascii="Times New Roman" w:cs="Times New Roman" w:eastAsia="Times New Roman" w:hAnsi="Times New Roman"/>
          <w:sz w:val="20"/>
          <w:szCs w:val="20"/>
          <w:u w:val="single" w:color="auto"/>
          <w:color w:val="auto"/>
        </w:rPr>
        <w:t>minus</w:t>
      </w:r>
    </w:p>
    <w:p>
      <w:pPr>
        <w:spacing w:after="0" w:line="179" w:lineRule="exact"/>
        <w:rPr>
          <w:rFonts w:ascii="Times New Roman" w:cs="Times New Roman" w:eastAsia="Times New Roman" w:hAnsi="Times New Roman"/>
          <w:sz w:val="20"/>
          <w:szCs w:val="20"/>
          <w:color w:val="auto"/>
        </w:rPr>
      </w:pPr>
    </w:p>
    <w:p>
      <w:pPr>
        <w:ind w:left="620" w:right="20" w:firstLine="646"/>
        <w:spacing w:after="0" w:line="277" w:lineRule="auto"/>
        <w:tabs>
          <w:tab w:leader="none" w:pos="1865"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payments made by Centuri or any of its Subsidiaries after the Closing Date to acquire the remaining Equity Interests of Linetec pursuant to </w:t>
      </w:r>
      <w:r>
        <w:rPr>
          <w:rFonts w:ascii="Times New Roman" w:cs="Times New Roman" w:eastAsia="Times New Roman" w:hAnsi="Times New Roman"/>
          <w:sz w:val="20"/>
          <w:szCs w:val="20"/>
          <w:u w:val="single" w:color="auto"/>
          <w:color w:val="auto"/>
        </w:rPr>
        <w:t>Section 9.3(i)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minus</w:t>
      </w:r>
    </w:p>
    <w:p>
      <w:pPr>
        <w:spacing w:after="0" w:line="151" w:lineRule="exact"/>
        <w:rPr>
          <w:rFonts w:ascii="Times New Roman" w:cs="Times New Roman" w:eastAsia="Times New Roman" w:hAnsi="Times New Roman"/>
          <w:sz w:val="20"/>
          <w:szCs w:val="20"/>
          <w:color w:val="auto"/>
        </w:rPr>
      </w:pPr>
    </w:p>
    <w:p>
      <w:pPr>
        <w:ind w:left="620" w:right="60" w:firstLine="646"/>
        <w:spacing w:after="0" w:line="277" w:lineRule="auto"/>
        <w:tabs>
          <w:tab w:leader="none" w:pos="1867"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aggregate amount of all usage of the Available Amount pursuant to </w:t>
      </w:r>
      <w:r>
        <w:rPr>
          <w:rFonts w:ascii="Times New Roman" w:cs="Times New Roman" w:eastAsia="Times New Roman" w:hAnsi="Times New Roman"/>
          <w:sz w:val="20"/>
          <w:szCs w:val="20"/>
          <w:u w:val="single" w:color="auto"/>
          <w:color w:val="auto"/>
        </w:rPr>
        <w:t>Sections 9.3(j)</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9.6(d)</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9.9(c)</w:t>
      </w:r>
      <w:r>
        <w:rPr>
          <w:rFonts w:ascii="Times New Roman" w:cs="Times New Roman" w:eastAsia="Times New Roman" w:hAnsi="Times New Roman"/>
          <w:sz w:val="20"/>
          <w:szCs w:val="20"/>
          <w:color w:val="auto"/>
        </w:rPr>
        <w:t xml:space="preserve"> on and after the Closing Date through and including the date of determination.</w:t>
      </w:r>
    </w:p>
    <w:p>
      <w:pPr>
        <w:spacing w:after="0" w:line="151" w:lineRule="exact"/>
        <w:rPr>
          <w:sz w:val="20"/>
          <w:szCs w:val="20"/>
          <w:color w:val="auto"/>
        </w:rPr>
      </w:pPr>
    </w:p>
    <w:p>
      <w:pPr>
        <w:jc w:val="both"/>
        <w:ind w:left="620" w:right="20" w:firstLine="642"/>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Tenor</w:t>
      </w:r>
      <w:r>
        <w:rPr>
          <w:rFonts w:ascii="Times New Roman" w:cs="Times New Roman" w:eastAsia="Times New Roman" w:hAnsi="Times New Roman"/>
          <w:sz w:val="20"/>
          <w:szCs w:val="20"/>
          <w:color w:val="auto"/>
        </w:rPr>
        <w:t xml:space="preserve">” means, as of any date of determination and with respect to the then-current Benchmark, as applicable, (a) if the then-current Benchmark is a term rate, any tenor for such Benchmark or (b) otherwise, any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20"/>
          <w:szCs w:val="20"/>
          <w:u w:val="single" w:color="auto"/>
          <w:color w:val="auto"/>
        </w:rPr>
        <w:t>Section 5.8(c)(iv)</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left="620" w:right="60" w:firstLine="642"/>
        <w:spacing w:after="0" w:line="27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Action</w:t>
      </w:r>
      <w:r>
        <w:rPr>
          <w:rFonts w:ascii="Times New Roman" w:cs="Times New Roman" w:eastAsia="Times New Roman" w:hAnsi="Times New Roman"/>
          <w:sz w:val="20"/>
          <w:szCs w:val="20"/>
          <w:color w:val="auto"/>
        </w:rPr>
        <w:t>” means the exercise of any Write-Down and Conversion Powers by the applicable Resolution Authority in respect of any liability of an Affected Financial Institution.</w:t>
      </w:r>
    </w:p>
    <w:p>
      <w:pPr>
        <w:spacing w:after="0" w:line="151" w:lineRule="exact"/>
        <w:rPr>
          <w:sz w:val="20"/>
          <w:szCs w:val="20"/>
          <w:color w:val="auto"/>
        </w:rPr>
      </w:pPr>
    </w:p>
    <w:p>
      <w:pPr>
        <w:jc w:val="both"/>
        <w:ind w:left="620" w:right="60" w:firstLine="642"/>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Bail-In Legislation</w:t>
      </w:r>
      <w:r>
        <w:rPr>
          <w:rFonts w:ascii="Times New Roman" w:cs="Times New Roman" w:eastAsia="Times New Roman" w:hAnsi="Times New Roman"/>
          <w:sz w:val="19"/>
          <w:szCs w:val="19"/>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65" w:lineRule="exact"/>
        <w:rPr>
          <w:sz w:val="20"/>
          <w:szCs w:val="20"/>
          <w:color w:val="auto"/>
        </w:rPr>
      </w:pPr>
    </w:p>
    <w:p>
      <w:pPr>
        <w:jc w:val="both"/>
        <w:ind w:left="620" w:right="60" w:firstLine="642"/>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w:t>
      </w:r>
      <w:r>
        <w:rPr>
          <w:rFonts w:ascii="Times New Roman" w:cs="Times New Roman" w:eastAsia="Times New Roman" w:hAnsi="Times New Roman"/>
          <w:sz w:val="20"/>
          <w:szCs w:val="20"/>
          <w:color w:val="auto"/>
        </w:rPr>
        <w:t xml:space="preserve">” means, at any time, the highest of (a) the Prime Rate, (b) the Federal Funds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0.50% and (c) Adjusted Term SOFR for an Interest Period of one month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1%; each change in the Base Rate shall take effect simultaneously with the corresponding change or changes in the Prime Rate, the Federal Funds Rate or Adjusted Term SOFR.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8</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-42545</wp:posOffset>
            </wp:positionV>
            <wp:extent cx="8255" cy="1016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11">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1060"/>
          </w:cols>
          <w:pgMar w:left="380" w:top="1440" w:right="459" w:bottom="1440" w:gutter="0" w:footer="0" w:header="0"/>
        </w:sectPr>
      </w:pPr>
    </w:p>
    <w:bookmarkStart w:id="157" w:name="page158"/>
    <w:bookmarkEnd w:id="157"/>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 Loan</w:t>
      </w:r>
      <w:r>
        <w:rPr>
          <w:rFonts w:ascii="Times New Roman" w:cs="Times New Roman" w:eastAsia="Times New Roman" w:hAnsi="Times New Roman"/>
          <w:sz w:val="20"/>
          <w:szCs w:val="20"/>
          <w:color w:val="auto"/>
        </w:rPr>
        <w:t xml:space="preserve">” means any Loan bearing interest at a rate based upon the Base Rate as provided in </w:t>
      </w:r>
      <w:r>
        <w:rPr>
          <w:rFonts w:ascii="Times New Roman" w:cs="Times New Roman" w:eastAsia="Times New Roman" w:hAnsi="Times New Roman"/>
          <w:sz w:val="20"/>
          <w:szCs w:val="20"/>
          <w:u w:val="single" w:color="auto"/>
          <w:color w:val="auto"/>
        </w:rPr>
        <w:t>Section 5.1(a)</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jc w:val="both"/>
        <w:ind w:left="620" w:firstLine="642"/>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w:t>
      </w:r>
      <w:r>
        <w:rPr>
          <w:rFonts w:ascii="Times New Roman" w:cs="Times New Roman" w:eastAsia="Times New Roman" w:hAnsi="Times New Roman"/>
          <w:sz w:val="20"/>
          <w:szCs w:val="20"/>
          <w:color w:val="auto"/>
        </w:rPr>
        <w:t xml:space="preserve">” means, initially, </w:t>
      </w:r>
      <w:r>
        <w:rPr>
          <w:rFonts w:ascii="Times New Roman" w:cs="Times New Roman" w:eastAsia="Times New Roman" w:hAnsi="Times New Roman"/>
          <w:sz w:val="20"/>
          <w:szCs w:val="20"/>
          <w:u w:val="single" w:color="auto"/>
          <w:color w:val="0000FF"/>
        </w:rPr>
        <w:t>with respect to any (a) Obligations, interest, fees, commissions or other amounts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denominated in, or calculated with respect to, Dollars,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the Term SOFR Reference Rate;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that if a Benchmark Transition</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Event has occurred with respect to the Term SOFR Reference Rate or the then-current Benchmark, then “Benchmark” means the </w:t>
      </w:r>
      <w:r>
        <w:rPr>
          <w:rFonts w:ascii="Times New Roman" w:cs="Times New Roman" w:eastAsia="Times New Roman" w:hAnsi="Times New Roman"/>
          <w:sz w:val="20"/>
          <w:szCs w:val="20"/>
          <w:u w:val="single" w:color="auto"/>
          <w:color w:val="0000FF"/>
        </w:rPr>
        <w:t>applicable Benchmark Replacement to the extent that such Benchmark Replacement has replaced such prior benchmark rate pursuant to Section 5.8(c)(i) or (b) Obligations, interest, fees, commissions or other amounts denominated in, or calculated with respect to, Canadian Dollars, the Term CORRA Reference Rate</w:t>
      </w:r>
      <w:r>
        <w:rPr>
          <w:rFonts w:ascii="Times New Roman" w:cs="Times New Roman" w:eastAsia="Times New Roman" w:hAnsi="Times New Roman"/>
          <w:sz w:val="20"/>
          <w:szCs w:val="20"/>
          <w:u w:val="single" w:color="auto"/>
          <w:color w:val="007F00"/>
        </w:rPr>
        <w:t>; provided that</w:t>
      </w:r>
      <w:r>
        <w:rPr>
          <w:rFonts w:ascii="Times New Roman" w:cs="Times New Roman" w:eastAsia="Times New Roman" w:hAnsi="Times New Roman"/>
          <w:sz w:val="20"/>
          <w:szCs w:val="20"/>
          <w:u w:val="single" w:color="auto"/>
          <w:color w:val="0000FF"/>
        </w:rPr>
        <w:t xml:space="preserve"> if a Benchmark Transition Event has occurred with respect to the Term CORRA Reference Rate or then-current Benchmark for Canadian Dollars, then “Benchmark” means, with respect to such Obligations, interest, fees, commissions or other amounts, the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applicable Benchmark Replacement to the extent that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such Benchmark Replacement has replaced such prior benchmark rate pursuant to Section 5.8(c)(i)</w:t>
      </w:r>
      <w:r>
        <w:rPr>
          <w:rFonts w:ascii="Times New Roman" w:cs="Times New Roman" w:eastAsia="Times New Roman" w:hAnsi="Times New Roman"/>
          <w:sz w:val="20"/>
          <w:szCs w:val="20"/>
          <w:color w:val="0000FF"/>
        </w:rPr>
        <w:t>(B)</w:t>
      </w:r>
      <w:r>
        <w:rPr>
          <w:rFonts w:ascii="Times New Roman" w:cs="Times New Roman" w:eastAsia="Times New Roman" w:hAnsi="Times New Roman"/>
          <w:sz w:val="20"/>
          <w:szCs w:val="20"/>
          <w:color w:val="000000"/>
        </w:rPr>
        <w:t>.</w:t>
      </w:r>
    </w:p>
    <w:p>
      <w:pPr>
        <w:spacing w:after="0" w:line="180" w:lineRule="exact"/>
        <w:rPr>
          <w:sz w:val="20"/>
          <w:szCs w:val="20"/>
          <w:color w:val="auto"/>
        </w:rPr>
      </w:pPr>
    </w:p>
    <w:p>
      <w:pPr>
        <w:ind w:left="620" w:right="480" w:firstLine="642"/>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w:t>
      </w:r>
      <w:r>
        <w:rPr>
          <w:rFonts w:ascii="Times New Roman" w:cs="Times New Roman" w:eastAsia="Times New Roman" w:hAnsi="Times New Roman"/>
          <w:sz w:val="20"/>
          <w:szCs w:val="20"/>
          <w:color w:val="auto"/>
        </w:rPr>
        <w:t>” means either a Benchmark Replacement (Initial Term Loan) or a Benchmark Replacement (Revolver), as the context so requires.</w:t>
      </w:r>
    </w:p>
    <w:p>
      <w:pPr>
        <w:spacing w:after="0" w:line="1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(Initial Term Loan)</w:t>
      </w:r>
      <w:r>
        <w:rPr>
          <w:rFonts w:ascii="Times New Roman" w:cs="Times New Roman" w:eastAsia="Times New Roman" w:hAnsi="Times New Roman"/>
          <w:sz w:val="20"/>
          <w:szCs w:val="20"/>
          <w:color w:val="auto"/>
        </w:rPr>
        <w:t>” means, for any Available Tenor,</w:t>
      </w:r>
    </w:p>
    <w:p>
      <w:pPr>
        <w:spacing w:after="0" w:line="211" w:lineRule="exact"/>
        <w:rPr>
          <w:sz w:val="20"/>
          <w:szCs w:val="20"/>
          <w:color w:val="auto"/>
        </w:rPr>
      </w:pPr>
    </w:p>
    <w:p>
      <w:pPr>
        <w:ind w:left="620" w:right="40" w:firstLine="646"/>
        <w:spacing w:after="0" w:line="277" w:lineRule="auto"/>
        <w:tabs>
          <w:tab w:leader="none" w:pos="1867"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Benchmark Transition Event, the first alternative set forth in the order below that can be determined by the Administrative Agent for the applicable Benchmark Replacement Date (Initial Term Loan):</w:t>
      </w:r>
    </w:p>
    <w:p>
      <w:pPr>
        <w:spacing w:after="0" w:line="151" w:lineRule="exact"/>
        <w:rPr>
          <w:rFonts w:ascii="Times New Roman" w:cs="Times New Roman" w:eastAsia="Times New Roman" w:hAnsi="Times New Roman"/>
          <w:sz w:val="20"/>
          <w:szCs w:val="20"/>
          <w:color w:val="auto"/>
        </w:rPr>
      </w:pPr>
    </w:p>
    <w:p>
      <w:pPr>
        <w:jc w:val="both"/>
        <w:ind w:left="1260" w:right="20" w:firstLine="648"/>
        <w:spacing w:after="0" w:line="250" w:lineRule="auto"/>
        <w:tabs>
          <w:tab w:leader="none" w:pos="2505"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sum of: (A) Term SOFR and (B) the related Benchmark Replacement Adjustment (Initial Term Loan);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Centuri has provided a notification to the Administrative Agent in writing on or prior to such Benchmark Replacement Date (Initial Term Loan) that a Borrower has a Hedge Agreement in place with respect to any of the Loans as of the date of such notice (which such notification the Administrative Agent shall be entitled to rely upon and shall have no duty or obligation to ascertain the correctness or completeness of), then the Administrative Agent, in its sole discretion, may decide not to determine the Benchmark Replacement (Initial Term Loan) pursuant to this clause (a)(1) for such Benchmark Transition Event;</w:t>
      </w:r>
    </w:p>
    <w:p>
      <w:pPr>
        <w:spacing w:after="0" w:line="182" w:lineRule="exact"/>
        <w:rPr>
          <w:rFonts w:ascii="Times New Roman" w:cs="Times New Roman" w:eastAsia="Times New Roman" w:hAnsi="Times New Roman"/>
          <w:sz w:val="20"/>
          <w:szCs w:val="20"/>
          <w:color w:val="auto"/>
        </w:rPr>
      </w:pPr>
    </w:p>
    <w:p>
      <w:pPr>
        <w:ind w:left="2520" w:hanging="612"/>
        <w:spacing w:after="0"/>
        <w:tabs>
          <w:tab w:leader="none" w:pos="2520" w:val="left"/>
        </w:tabs>
        <w:numPr>
          <w:ilvl w:val="1"/>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sum of: (A) Daily Simple SOFR and (B) the related Benchmark Replacement Adjustment (Initial Term</w:t>
      </w:r>
    </w:p>
    <w:p>
      <w:pPr>
        <w:spacing w:after="0" w:line="30" w:lineRule="exact"/>
        <w:rPr>
          <w:rFonts w:ascii="Times New Roman" w:cs="Times New Roman" w:eastAsia="Times New Roman" w:hAnsi="Times New Roman"/>
          <w:sz w:val="19"/>
          <w:szCs w:val="19"/>
          <w:color w:val="auto"/>
        </w:rPr>
      </w:pPr>
    </w:p>
    <w:p>
      <w:pPr>
        <w:ind w:left="12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Loan);</w:t>
      </w:r>
    </w:p>
    <w:p>
      <w:pPr>
        <w:spacing w:after="0" w:line="202" w:lineRule="exact"/>
        <w:rPr>
          <w:rFonts w:ascii="Times New Roman" w:cs="Times New Roman" w:eastAsia="Times New Roman" w:hAnsi="Times New Roman"/>
          <w:sz w:val="19"/>
          <w:szCs w:val="19"/>
          <w:color w:val="auto"/>
        </w:rPr>
      </w:pPr>
    </w:p>
    <w:p>
      <w:pPr>
        <w:jc w:val="both"/>
        <w:ind w:left="1260" w:right="20" w:firstLine="648"/>
        <w:spacing w:after="0" w:line="250" w:lineRule="auto"/>
        <w:tabs>
          <w:tab w:leader="none" w:pos="2505"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(A) the alternate benchmark rate that has been selected by the Administrative Agent and Centuri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and (B) the related Benchmark Replacement Adjustment (Initial Term Loan); or</w:t>
      </w:r>
    </w:p>
    <w:p>
      <w:pPr>
        <w:spacing w:after="0" w:line="180" w:lineRule="exact"/>
        <w:rPr>
          <w:rFonts w:ascii="Times New Roman" w:cs="Times New Roman" w:eastAsia="Times New Roman" w:hAnsi="Times New Roman"/>
          <w:sz w:val="20"/>
          <w:szCs w:val="20"/>
          <w:color w:val="auto"/>
        </w:rPr>
      </w:pPr>
    </w:p>
    <w:p>
      <w:pPr>
        <w:ind w:left="1900" w:hanging="633"/>
        <w:spacing w:after="0"/>
        <w:tabs>
          <w:tab w:leader="none" w:pos="190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9</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-34290</wp:posOffset>
            </wp:positionV>
            <wp:extent cx="8255" cy="1016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12">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1040"/>
          </w:cols>
          <w:pgMar w:left="380" w:top="1440" w:right="479" w:bottom="1440" w:gutter="0" w:footer="0" w:header="0"/>
        </w:sectPr>
      </w:pPr>
    </w:p>
    <w:bookmarkStart w:id="158" w:name="page159"/>
    <w:bookmarkEnd w:id="158"/>
    <w:p>
      <w:pPr>
        <w:spacing w:after="0" w:line="95" w:lineRule="exact"/>
        <w:rPr>
          <w:sz w:val="20"/>
          <w:szCs w:val="20"/>
          <w:color w:val="auto"/>
        </w:rPr>
      </w:pPr>
    </w:p>
    <w:p>
      <w:pPr>
        <w:jc w:val="both"/>
        <w:ind w:left="680"/>
        <w:spacing w:after="0" w:line="257"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in the case of clause (a)(1), if the Administrative Agent decides that Term SOFR is not administratively feasible for the Administrative Agent, then Term SOFR will be deemed unable to be determined for purposes of this definition and (ii) in the case of clause (a)(1) of this definition,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440" w:val="left"/>
        </w:tabs>
        <w:rPr>
          <w:sz w:val="20"/>
          <w:szCs w:val="20"/>
          <w:color w:val="auto"/>
        </w:rPr>
      </w:pPr>
      <w:r>
        <w:rPr>
          <w:sz w:val="1"/>
          <w:szCs w:val="1"/>
          <w:color w:val="auto"/>
        </w:rPr>
        <w:drawing>
          <wp:inline distT="0" distB="0" distL="0" distR="0">
            <wp:extent cx="8255" cy="101600"/>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13">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10</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ectPr>
          <w:pgSz w:w="11900" w:h="16838" w:orient="portrait"/>
          <w:cols w:equalWidth="0" w:num="1">
            <w:col w:w="11060"/>
          </w:cols>
          <w:pgMar w:left="320" w:top="1440" w:right="519" w:bottom="1440" w:gutter="0" w:footer="0" w:header="0"/>
        </w:sectPr>
      </w:pPr>
    </w:p>
    <w:bookmarkStart w:id="159" w:name="page160"/>
    <w:bookmarkEnd w:id="159"/>
    <w:p>
      <w:pPr>
        <w:spacing w:after="0" w:line="202" w:lineRule="exact"/>
        <w:rPr>
          <w:sz w:val="20"/>
          <w:szCs w:val="20"/>
          <w:color w:val="auto"/>
        </w:rPr>
      </w:pPr>
    </w:p>
    <w:p>
      <w:pPr>
        <w:jc w:val="both"/>
        <w:ind w:left="620" w:right="20"/>
        <w:spacing w:after="0" w:line="250" w:lineRule="auto"/>
        <w:rPr>
          <w:sz w:val="20"/>
          <w:szCs w:val="20"/>
          <w:color w:val="auto"/>
        </w:rPr>
      </w:pPr>
      <w:r>
        <w:rPr>
          <w:rFonts w:ascii="Times New Roman" w:cs="Times New Roman" w:eastAsia="Times New Roman" w:hAnsi="Times New Roman"/>
          <w:sz w:val="20"/>
          <w:szCs w:val="20"/>
          <w:color w:val="auto"/>
        </w:rPr>
        <w:t>applicable Unadjusted Benchmark Replacement is displayed on a screen or other information service that publishes such rate from time to time as selected by the Administrative Agent in its reasonable discretion and made in a manner substantially consistent with determinations being made for similarly situated customers of such Administrative Agent under agreements having similar provisions. If the Benchmark Replacement (Initial Term Loan) as determined pursuant to clause (a)(1), (a)(2) or (a)(3) of this definition would be less than the Floor, the Benchmark Replacement (Initial Term Loan) will be deemed to be the Floor for the purposes of this Agreement and the other Loan Documents.</w:t>
      </w:r>
    </w:p>
    <w:p>
      <w:pPr>
        <w:spacing w:after="0" w:line="181" w:lineRule="exact"/>
        <w:rPr>
          <w:sz w:val="20"/>
          <w:szCs w:val="20"/>
          <w:color w:val="auto"/>
        </w:rPr>
      </w:pPr>
    </w:p>
    <w:p>
      <w:pPr>
        <w:jc w:val="both"/>
        <w:ind w:left="620" w:right="20" w:firstLine="642"/>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(Revolver)</w:t>
      </w:r>
      <w:r>
        <w:rPr>
          <w:rFonts w:ascii="Times New Roman" w:cs="Times New Roman" w:eastAsia="Times New Roman" w:hAnsi="Times New Roman"/>
          <w:sz w:val="20"/>
          <w:szCs w:val="20"/>
          <w:color w:val="auto"/>
        </w:rPr>
        <w:t xml:space="preserve">” means, with respect to any Benchmark Transition Event with respect to any Benchmark (other than LIBOR), the sum of: (a) the alternate benchmark rate that has been selected by the Administrative Agent and Centuri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and (b) the related Benchmark Replacement Adjustment (Revolver);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Benchmark Replacement (Revolver) as so determined would be less than the Floor, such Benchmark Replacement (Revolver) will be deemed to be the Floor for the purposes of this Agreement and the other Loan Documents.</w:t>
      </w:r>
    </w:p>
    <w:p>
      <w:pPr>
        <w:spacing w:after="0" w:line="185" w:lineRule="exact"/>
        <w:rPr>
          <w:sz w:val="20"/>
          <w:szCs w:val="20"/>
          <w:color w:val="auto"/>
        </w:rPr>
      </w:pPr>
    </w:p>
    <w:p>
      <w:pPr>
        <w:jc w:val="both"/>
        <w:ind w:left="620" w:right="40" w:firstLine="642"/>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Adjustment (Initial Term Loan)</w:t>
      </w:r>
      <w:r>
        <w:rPr>
          <w:rFonts w:ascii="Times New Roman" w:cs="Times New Roman" w:eastAsia="Times New Roman" w:hAnsi="Times New Roman"/>
          <w:sz w:val="20"/>
          <w:szCs w:val="20"/>
          <w:color w:val="auto"/>
        </w:rPr>
        <w:t>” means, with respect to any replacement of the then-current Benchmark with an Unadjusted Benchmark Replacement for any applicable Interest Period and Available Tenor for any setting of such Unadjusted Benchmark Replacement:</w:t>
      </w:r>
    </w:p>
    <w:p>
      <w:pPr>
        <w:spacing w:after="0" w:line="171" w:lineRule="exact"/>
        <w:rPr>
          <w:sz w:val="20"/>
          <w:szCs w:val="20"/>
          <w:color w:val="auto"/>
        </w:rPr>
      </w:pPr>
    </w:p>
    <w:p>
      <w:pPr>
        <w:jc w:val="both"/>
        <w:ind w:left="620" w:right="40" w:firstLine="646"/>
        <w:spacing w:after="0" w:line="255" w:lineRule="auto"/>
        <w:tabs>
          <w:tab w:leader="none" w:pos="1865"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clauses (a)(1) and (b) of the definition of “Benchmark Replacement (Initial Term Loan),” an amount equal to (A) 0.11448% (11.448 basis points) for an Available Tenor of one-month’s duration, (B) 0.26161% (26.161 basis points) for an Available Tenor of three-months’ duration and (C) 0.42826% (42.826 basis points) for an Available Tenor of six-months’ duration;</w:t>
      </w:r>
    </w:p>
    <w:p>
      <w:pPr>
        <w:spacing w:after="0" w:line="172" w:lineRule="exact"/>
        <w:rPr>
          <w:rFonts w:ascii="Times New Roman" w:cs="Times New Roman" w:eastAsia="Times New Roman" w:hAnsi="Times New Roman"/>
          <w:sz w:val="20"/>
          <w:szCs w:val="20"/>
          <w:color w:val="auto"/>
        </w:rPr>
      </w:pPr>
    </w:p>
    <w:p>
      <w:pPr>
        <w:ind w:left="620" w:right="40" w:firstLine="646"/>
        <w:spacing w:after="0" w:line="277" w:lineRule="auto"/>
        <w:tabs>
          <w:tab w:leader="none" w:pos="1865"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clause (a)(2) of the definition of “Benchmark Replacement (Initial Term Loan),” an amount equal to 0.11448% (11.448 basis points); and</w:t>
      </w:r>
    </w:p>
    <w:p>
      <w:pPr>
        <w:spacing w:after="0" w:line="151" w:lineRule="exact"/>
        <w:rPr>
          <w:rFonts w:ascii="Times New Roman" w:cs="Times New Roman" w:eastAsia="Times New Roman" w:hAnsi="Times New Roman"/>
          <w:sz w:val="20"/>
          <w:szCs w:val="20"/>
          <w:color w:val="auto"/>
        </w:rPr>
      </w:pPr>
    </w:p>
    <w:p>
      <w:pPr>
        <w:jc w:val="both"/>
        <w:ind w:left="620" w:right="20" w:firstLine="646"/>
        <w:spacing w:after="0" w:line="265" w:lineRule="auto"/>
        <w:tabs>
          <w:tab w:leader="none" w:pos="1865"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clause (a)(3) of the definition of “Benchmark Replacement (Initial Term Loan),” the spread adjustment, or method for calculating or determining such spread adjustment, (which may be a positive or negative value or zero) that has been selected by the Administrative Agent and Centuri giving due consideration to (i) any selection or recommendation of a spread adjustment, or method for calculating or determining such spread adjustment, for the replacement of such Available Tenor of such Benchmark with the applicable Unadjusted Benchmark Replacement by the Relevant Governmental Body on the applicable Benchmark Replacement Date (Initial Term Loan) or (ii) any evolving or then-prevailing market convention for determining a spread adjustment, or method for calculating or determining such spread adjustment, for the replacement of such Available Tenor of such Benchmark with the applicable Unadjusted Benchmark Replacement for Dollar-denominated syndicated credit facilities.</w:t>
      </w:r>
    </w:p>
    <w:p>
      <w:pPr>
        <w:spacing w:after="0" w:line="170" w:lineRule="exact"/>
        <w:rPr>
          <w:sz w:val="20"/>
          <w:szCs w:val="20"/>
          <w:color w:val="auto"/>
        </w:rPr>
      </w:pPr>
    </w:p>
    <w:p>
      <w:pPr>
        <w:jc w:val="both"/>
        <w:ind w:left="620" w:firstLine="642"/>
        <w:spacing w:after="0" w:line="26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Replacement Adjustment (Revolver)</w:t>
      </w:r>
      <w:r>
        <w:rPr>
          <w:rFonts w:ascii="Times New Roman" w:cs="Times New Roman" w:eastAsia="Times New Roman" w:hAnsi="Times New Roman"/>
          <w:sz w:val="19"/>
          <w:szCs w:val="19"/>
          <w:color w:val="auto"/>
        </w:rPr>
        <w:t>” means, with respect to any replacement of the then-current Benchmark (other than LIBOR) with an Unadjusted Benchmark Replacement for any applicable Available Tenor, the spread adjustment, or method for calculating or determining such spread adjustment, (which may be a positive or negative value or zero) that has been selected by the Administrative Agent and Centuri giving due consideration to (a) any selection or recommendation of a</w:t>
      </w:r>
    </w:p>
    <w:p>
      <w:pPr>
        <w:spacing w:after="0" w:line="200" w:lineRule="exact"/>
        <w:rPr>
          <w:sz w:val="20"/>
          <w:szCs w:val="20"/>
          <w:color w:val="auto"/>
        </w:rPr>
      </w:pPr>
    </w:p>
    <w:p>
      <w:pPr>
        <w:spacing w:after="0" w:line="38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-42545</wp:posOffset>
            </wp:positionV>
            <wp:extent cx="8255" cy="1016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14">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1040"/>
          </w:cols>
          <w:pgMar w:left="380" w:top="1440" w:right="479" w:bottom="1440" w:gutter="0" w:footer="0" w:header="0"/>
        </w:sectPr>
      </w:pPr>
    </w:p>
    <w:bookmarkStart w:id="160" w:name="page161"/>
    <w:bookmarkEnd w:id="160"/>
    <w:p>
      <w:pPr>
        <w:spacing w:after="0" w:line="95" w:lineRule="exact"/>
        <w:rPr>
          <w:sz w:val="20"/>
          <w:szCs w:val="20"/>
          <w:color w:val="auto"/>
        </w:rPr>
      </w:pPr>
    </w:p>
    <w:p>
      <w:pPr>
        <w:ind w:left="620"/>
        <w:spacing w:after="0" w:line="263" w:lineRule="auto"/>
        <w:rPr>
          <w:sz w:val="20"/>
          <w:szCs w:val="20"/>
          <w:color w:val="auto"/>
        </w:rPr>
      </w:pPr>
      <w:r>
        <w:rPr>
          <w:rFonts w:ascii="Times New Roman" w:cs="Times New Roman" w:eastAsia="Times New Roman" w:hAnsi="Times New Roman"/>
          <w:sz w:val="20"/>
          <w:szCs w:val="20"/>
          <w:color w:val="auto"/>
        </w:rPr>
        <w:t>spread adjustment, or method for calculating or determining such spread adjustment, for the replacement of such Benchmark with the applicable Unadjusted Benchmark Replacement by the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-43180</wp:posOffset>
            </wp:positionV>
            <wp:extent cx="8255" cy="1016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15">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1040"/>
          </w:cols>
          <w:pgMar w:left="380" w:top="1440" w:right="479" w:bottom="1440" w:gutter="0" w:footer="0" w:header="0"/>
        </w:sectPr>
      </w:pPr>
    </w:p>
    <w:bookmarkStart w:id="161" w:name="page162"/>
    <w:bookmarkEnd w:id="161"/>
    <w:p>
      <w:pPr>
        <w:spacing w:after="0" w:line="202" w:lineRule="exact"/>
        <w:rPr>
          <w:sz w:val="20"/>
          <w:szCs w:val="20"/>
          <w:color w:val="auto"/>
        </w:rPr>
      </w:pPr>
    </w:p>
    <w:p>
      <w:pPr>
        <w:jc w:val="both"/>
        <w:ind w:left="620"/>
        <w:spacing w:after="0" w:line="257" w:lineRule="auto"/>
        <w:rPr>
          <w:sz w:val="20"/>
          <w:szCs w:val="20"/>
          <w:color w:val="auto"/>
        </w:rPr>
      </w:pPr>
      <w:r>
        <w:rPr>
          <w:rFonts w:ascii="Times New Roman" w:cs="Times New Roman" w:eastAsia="Times New Roman" w:hAnsi="Times New Roman"/>
          <w:sz w:val="20"/>
          <w:szCs w:val="20"/>
          <w:color w:val="auto"/>
        </w:rPr>
        <w:t>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Conforming Changes</w:t>
      </w:r>
      <w:r>
        <w:rPr>
          <w:rFonts w:ascii="Times New Roman" w:cs="Times New Roman" w:eastAsia="Times New Roman" w:hAnsi="Times New Roman"/>
          <w:sz w:val="20"/>
          <w:szCs w:val="20"/>
          <w:color w:val="auto"/>
        </w:rPr>
        <w:t>” means</w:t>
      </w:r>
    </w:p>
    <w:p>
      <w:pPr>
        <w:spacing w:after="0" w:line="225" w:lineRule="exact"/>
        <w:rPr>
          <w:sz w:val="20"/>
          <w:szCs w:val="20"/>
          <w:color w:val="auto"/>
        </w:rPr>
      </w:pPr>
    </w:p>
    <w:p>
      <w:pPr>
        <w:jc w:val="both"/>
        <w:ind w:left="620" w:firstLine="646"/>
        <w:spacing w:after="0" w:line="248" w:lineRule="auto"/>
        <w:tabs>
          <w:tab w:leader="none" w:pos="1867"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Benchmark Replacement (Initial Term Loan), any technical, administrative or operational changes (including changes to the definition of “Base Rate,” the definition of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(in consultation with Centuri) decides may be appropriate to reflect the adoption and implementation of such Benchmark Replacement (Initial Term Loan)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(Initial Term Loan) exists, in such other manner of administration as the Administrative Agent decides (in consultation with Centuri) is reasonably necessary in connection with the administration of this Agreement and the other Loan Documents); and</w:t>
      </w:r>
    </w:p>
    <w:p>
      <w:pPr>
        <w:spacing w:after="0" w:line="190" w:lineRule="exact"/>
        <w:rPr>
          <w:sz w:val="20"/>
          <w:szCs w:val="20"/>
          <w:color w:val="auto"/>
        </w:rPr>
      </w:pPr>
    </w:p>
    <w:p>
      <w:pPr>
        <w:jc w:val="both"/>
        <w:ind w:left="620" w:firstLine="642"/>
        <w:spacing w:after="0" w:line="251" w:lineRule="auto"/>
        <w:rPr>
          <w:sz w:val="20"/>
          <w:szCs w:val="20"/>
          <w:color w:val="auto"/>
        </w:rPr>
      </w:pPr>
      <w:r>
        <w:rPr>
          <w:rFonts w:ascii="Times New Roman" w:cs="Times New Roman" w:eastAsia="Times New Roman" w:hAnsi="Times New Roman"/>
          <w:sz w:val="20"/>
          <w:szCs w:val="20"/>
          <w:color w:val="auto"/>
        </w:rPr>
        <w:t>(b)</w:t>
      </w:r>
      <w:r>
        <w:rPr>
          <w:sz w:val="1"/>
          <w:szCs w:val="1"/>
          <w:color w:val="auto"/>
        </w:rPr>
        <w:drawing>
          <wp:inline distT="0" distB="0" distL="0" distR="0">
            <wp:extent cx="8255" cy="135890"/>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16">
                      <a:extLst>
                        <a:ext uri="{28A0092B-C50C-407E-A947-70E740481C1C}"/>
                      </a:extLst>
                    </a:blip>
                    <a:srcRect/>
                    <a:stretch>
                      <a:fillRect/>
                    </a:stretch>
                  </pic:blipFill>
                  <pic:spPr bwMode="auto">
                    <a:xfrm>
                      <a:off x="0" y="0"/>
                      <a:ext cx="8255" cy="13589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with respect to either the use or administration of Term SOFR</w:t>
      </w:r>
      <w:r>
        <w:rPr>
          <w:rFonts w:ascii="Times New Roman" w:cs="Times New Roman" w:eastAsia="Times New Roman" w:hAnsi="Times New Roman"/>
          <w:sz w:val="20"/>
          <w:szCs w:val="20"/>
          <w:u w:val="single" w:color="auto"/>
          <w:color w:val="0000FF"/>
        </w:rPr>
        <w:t>, Term CORRA</w:t>
      </w:r>
      <w:r>
        <w:rPr>
          <w:rFonts w:ascii="Times New Roman" w:cs="Times New Roman" w:eastAsia="Times New Roman" w:hAnsi="Times New Roman"/>
          <w:sz w:val="20"/>
          <w:szCs w:val="20"/>
          <w:color w:val="auto"/>
        </w:rPr>
        <w:t xml:space="preserve"> or the use, administration, adoption or implementation of any Benchmark Replacement (Revolver),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 w:cs="Times New Roman" w:eastAsia="Times New Roman" w:hAnsi="Times New Roman"/>
          <w:sz w:val="20"/>
          <w:szCs w:val="20"/>
          <w:u w:val="single" w:color="auto"/>
          <w:color w:val="auto"/>
        </w:rPr>
        <w:t>Section 5.9</w:t>
      </w:r>
      <w:r>
        <w:rPr>
          <w:rFonts w:ascii="Times New Roman" w:cs="Times New Roman" w:eastAsia="Times New Roman" w:hAnsi="Times New Roman"/>
          <w:sz w:val="20"/>
          <w:szCs w:val="20"/>
          <w:color w:val="auto"/>
        </w:rPr>
        <w:t xml:space="preserve"> and other technical, administrative or operational matters) that the Administrative Agent (in consultation with Centuri) decides may be appropriate to reflect the adoption and implementation of any such rate or to permit the use and administration thereof by the Administrative Agent in a manner substantially consistent with market practice (or, if the Administrative Agent reasonably decides that adoption of any portion of such market practice is not administratively feasible or if the Administrative Agent reasonably determines that no market practice for the administration of any such rate exists, in such other manner of administration as the Administrative Agent decides (in consultation with Centuri) is reasonably necessary in connection with the administration of this Agreement and the other Loan Documents).</w:t>
      </w:r>
    </w:p>
    <w:p>
      <w:pPr>
        <w:spacing w:after="0" w:line="180" w:lineRule="exact"/>
        <w:rPr>
          <w:sz w:val="20"/>
          <w:szCs w:val="20"/>
          <w:color w:val="auto"/>
        </w:rPr>
      </w:pPr>
    </w:p>
    <w:p>
      <w:pPr>
        <w:ind w:left="620" w:right="160" w:firstLine="642"/>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Date (Initial Term Loan)</w:t>
      </w:r>
      <w:r>
        <w:rPr>
          <w:rFonts w:ascii="Times New Roman" w:cs="Times New Roman" w:eastAsia="Times New Roman" w:hAnsi="Times New Roman"/>
          <w:sz w:val="20"/>
          <w:szCs w:val="20"/>
          <w:color w:val="auto"/>
        </w:rPr>
        <w:t>” means the earliest to occur of the following events with respect to the then-current Benchmark:</w:t>
      </w:r>
    </w:p>
    <w:p>
      <w:pPr>
        <w:spacing w:after="0" w:line="178" w:lineRule="exact"/>
        <w:rPr>
          <w:sz w:val="20"/>
          <w:szCs w:val="20"/>
          <w:color w:val="auto"/>
        </w:rPr>
      </w:pPr>
    </w:p>
    <w:p>
      <w:pPr>
        <w:jc w:val="both"/>
        <w:ind w:left="620" w:right="40" w:firstLine="646"/>
        <w:spacing w:after="0" w:line="250" w:lineRule="auto"/>
        <w:tabs>
          <w:tab w:leader="none" w:pos="1867"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13</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-42545</wp:posOffset>
            </wp:positionV>
            <wp:extent cx="8255" cy="1016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17">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1040"/>
          </w:cols>
          <w:pgMar w:left="380" w:top="1440" w:right="479" w:bottom="1440" w:gutter="0" w:footer="0" w:header="0"/>
        </w:sectPr>
      </w:pPr>
    </w:p>
    <w:bookmarkStart w:id="162" w:name="page163"/>
    <w:bookmarkEnd w:id="162"/>
    <w:p>
      <w:pPr>
        <w:spacing w:after="0" w:line="95" w:lineRule="exact"/>
        <w:rPr>
          <w:sz w:val="20"/>
          <w:szCs w:val="20"/>
          <w:color w:val="auto"/>
        </w:rPr>
      </w:pPr>
    </w:p>
    <w:p>
      <w:pPr>
        <w:ind w:left="620" w:firstLine="646"/>
        <w:spacing w:after="0" w:line="263" w:lineRule="auto"/>
        <w:tabs>
          <w:tab w:leader="none" w:pos="1865"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(c) of the definition of “Benchmark Transition Event,” the date of the public statement or publication of information referenced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14</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-42545</wp:posOffset>
            </wp:positionV>
            <wp:extent cx="8255" cy="1016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18">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1000"/>
          </w:cols>
          <w:pgMar w:left="380" w:top="1440" w:right="519" w:bottom="1440" w:gutter="0" w:footer="0" w:header="0"/>
        </w:sectPr>
      </w:pPr>
    </w:p>
    <w:bookmarkStart w:id="163" w:name="page164"/>
    <w:bookmarkEnd w:id="163"/>
    <w:p>
      <w:pPr>
        <w:spacing w:after="0" w:line="202" w:lineRule="exact"/>
        <w:rPr>
          <w:sz w:val="20"/>
          <w:szCs w:val="20"/>
          <w:color w:val="auto"/>
        </w:rPr>
      </w:pPr>
    </w:p>
    <w:p>
      <w:pPr>
        <w:ind w:left="1900" w:hanging="633"/>
        <w:spacing w:after="0"/>
        <w:tabs>
          <w:tab w:leader="none" w:pos="190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or</w:t>
      </w:r>
    </w:p>
    <w:p>
      <w:pPr>
        <w:spacing w:after="0" w:line="211" w:lineRule="exact"/>
        <w:rPr>
          <w:rFonts w:ascii="Times New Roman" w:cs="Times New Roman" w:eastAsia="Times New Roman" w:hAnsi="Times New Roman"/>
          <w:sz w:val="20"/>
          <w:szCs w:val="20"/>
          <w:color w:val="auto"/>
        </w:rPr>
      </w:pPr>
    </w:p>
    <w:p>
      <w:pPr>
        <w:ind w:left="1900" w:hanging="633"/>
        <w:spacing w:after="0"/>
        <w:tabs>
          <w:tab w:leader="none" w:pos="190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5" w:lineRule="exact"/>
        <w:rPr>
          <w:sz w:val="20"/>
          <w:szCs w:val="20"/>
          <w:color w:val="auto"/>
        </w:rPr>
      </w:pPr>
    </w:p>
    <w:p>
      <w:pPr>
        <w:jc w:val="both"/>
        <w:ind w:left="620" w:right="20"/>
        <w:spacing w:after="0" w:line="250" w:lineRule="auto"/>
        <w:rPr>
          <w:sz w:val="20"/>
          <w:szCs w:val="20"/>
          <w:color w:val="auto"/>
        </w:rPr>
      </w:pPr>
      <w:r>
        <w:rPr>
          <w:rFonts w:ascii="Times New Roman" w:cs="Times New Roman" w:eastAsia="Times New Roman" w:hAnsi="Times New Roman"/>
          <w:sz w:val="20"/>
          <w:szCs w:val="20"/>
          <w:color w:val="auto"/>
        </w:rPr>
        <w:t>For the avoidance of doubt, (i) if the event giving rise to the Benchmark Replacement Date (Initial Term Loan) occurs on the same day as, but earlier than, the Reference Time in respect of any determination, the Benchmark Replacement Date (Initial Term Loan) will be deemed to have occurred prior to the Reference Time for such determination and (ii) the “Benchmark Replacement Date (Initial Term Loan)”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81" w:lineRule="exact"/>
        <w:rPr>
          <w:sz w:val="20"/>
          <w:szCs w:val="20"/>
          <w:color w:val="auto"/>
        </w:rPr>
      </w:pPr>
    </w:p>
    <w:p>
      <w:pPr>
        <w:jc w:val="both"/>
        <w:ind w:left="620" w:right="40" w:firstLine="642"/>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Date (Revolver)</w:t>
      </w:r>
      <w:r>
        <w:rPr>
          <w:rFonts w:ascii="Times New Roman" w:cs="Times New Roman" w:eastAsia="Times New Roman" w:hAnsi="Times New Roman"/>
          <w:sz w:val="20"/>
          <w:szCs w:val="20"/>
          <w:color w:val="auto"/>
        </w:rPr>
        <w:t>” means the earliest to occur of the following events with respect to the then-current Benchmark:</w:t>
      </w:r>
    </w:p>
    <w:p>
      <w:pPr>
        <w:spacing w:after="0" w:line="178" w:lineRule="exact"/>
        <w:rPr>
          <w:sz w:val="20"/>
          <w:szCs w:val="20"/>
          <w:color w:val="auto"/>
        </w:rPr>
      </w:pPr>
    </w:p>
    <w:p>
      <w:pPr>
        <w:jc w:val="both"/>
        <w:ind w:left="620" w:right="40" w:firstLine="646"/>
        <w:spacing w:after="0" w:line="255" w:lineRule="auto"/>
        <w:tabs>
          <w:tab w:leader="none" w:pos="1867"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as of a specific date ceases to provide all Available Tenors of such Benchmark (or such component thereof); or</w:t>
      </w:r>
    </w:p>
    <w:p>
      <w:pPr>
        <w:spacing w:after="0" w:line="172" w:lineRule="exact"/>
        <w:rPr>
          <w:rFonts w:ascii="Times New Roman" w:cs="Times New Roman" w:eastAsia="Times New Roman" w:hAnsi="Times New Roman"/>
          <w:sz w:val="20"/>
          <w:szCs w:val="20"/>
          <w:color w:val="auto"/>
        </w:rPr>
      </w:pPr>
    </w:p>
    <w:p>
      <w:pPr>
        <w:jc w:val="both"/>
        <w:ind w:left="620" w:firstLine="646"/>
        <w:spacing w:after="0" w:line="250" w:lineRule="auto"/>
        <w:tabs>
          <w:tab w:leader="none" w:pos="1865"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80" w:lineRule="exact"/>
        <w:rPr>
          <w:sz w:val="20"/>
          <w:szCs w:val="20"/>
          <w:color w:val="auto"/>
        </w:rPr>
      </w:pPr>
    </w:p>
    <w:p>
      <w:pPr>
        <w:jc w:val="both"/>
        <w:ind w:left="620" w:right="40" w:firstLine="642"/>
        <w:spacing w:after="0" w:line="264" w:lineRule="auto"/>
        <w:rPr>
          <w:sz w:val="20"/>
          <w:szCs w:val="20"/>
          <w:color w:val="auto"/>
        </w:rPr>
      </w:pPr>
      <w:r>
        <w:rPr>
          <w:rFonts w:ascii="Times New Roman" w:cs="Times New Roman" w:eastAsia="Times New Roman" w:hAnsi="Times New Roman"/>
          <w:sz w:val="20"/>
          <w:szCs w:val="20"/>
          <w:color w:val="auto"/>
        </w:rPr>
        <w:t>For the avoidance of doubt, the “Benchmark Replacement Date (Revolver)”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Transition Event</w:t>
      </w:r>
      <w:r>
        <w:rPr>
          <w:rFonts w:ascii="Times New Roman" w:cs="Times New Roman" w:eastAsia="Times New Roman" w:hAnsi="Times New Roman"/>
          <w:sz w:val="19"/>
          <w:szCs w:val="19"/>
          <w:color w:val="auto"/>
        </w:rPr>
        <w:t>” means the occurrence of one or more of the following events with respect to the then-current</w:t>
      </w:r>
    </w:p>
    <w:p>
      <w:pPr>
        <w:spacing w:after="0" w:line="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Benchmark:</w:t>
      </w:r>
    </w:p>
    <w:p>
      <w:pPr>
        <w:spacing w:after="0" w:line="203" w:lineRule="exact"/>
        <w:rPr>
          <w:sz w:val="20"/>
          <w:szCs w:val="20"/>
          <w:color w:val="auto"/>
        </w:rPr>
      </w:pPr>
    </w:p>
    <w:p>
      <w:pPr>
        <w:jc w:val="both"/>
        <w:ind w:left="620" w:right="40" w:firstLine="646"/>
        <w:spacing w:after="0" w:line="250" w:lineRule="auto"/>
        <w:tabs>
          <w:tab w:leader="none" w:pos="1867"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as of a specific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statement or publication, there is no successor administrator that will continue to provide any Available Tenor of such Benchmark (or such component thereof);</w:t>
      </w:r>
    </w:p>
    <w:p>
      <w:pPr>
        <w:spacing w:after="0" w:line="179" w:lineRule="exact"/>
        <w:rPr>
          <w:rFonts w:ascii="Times New Roman" w:cs="Times New Roman" w:eastAsia="Times New Roman" w:hAnsi="Times New Roman"/>
          <w:sz w:val="20"/>
          <w:szCs w:val="20"/>
          <w:color w:val="auto"/>
        </w:rPr>
      </w:pPr>
    </w:p>
    <w:p>
      <w:pPr>
        <w:jc w:val="both"/>
        <w:ind w:left="620" w:right="40" w:firstLine="646"/>
        <w:spacing w:after="0" w:line="254" w:lineRule="auto"/>
        <w:tabs>
          <w:tab w:leader="none" w:pos="1865"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the FRB,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w:t>
      </w:r>
    </w:p>
    <w:p>
      <w:pPr>
        <w:spacing w:after="0" w:line="200" w:lineRule="exact"/>
        <w:rPr>
          <w:sz w:val="20"/>
          <w:szCs w:val="20"/>
          <w:color w:val="auto"/>
        </w:rPr>
      </w:pPr>
    </w:p>
    <w:p>
      <w:pPr>
        <w:spacing w:after="0" w:line="38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15</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-34290</wp:posOffset>
            </wp:positionV>
            <wp:extent cx="8255" cy="1016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19">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1040"/>
          </w:cols>
          <w:pgMar w:left="380" w:top="1440" w:right="479" w:bottom="1440" w:gutter="0" w:footer="0" w:header="0"/>
        </w:sectPr>
      </w:pPr>
    </w:p>
    <w:bookmarkStart w:id="164" w:name="page165"/>
    <w:bookmarkEnd w:id="164"/>
    <w:p>
      <w:pPr>
        <w:spacing w:after="0" w:line="95" w:lineRule="exact"/>
        <w:rPr>
          <w:sz w:val="20"/>
          <w:szCs w:val="20"/>
          <w:color w:val="auto"/>
        </w:rPr>
      </w:pPr>
    </w:p>
    <w:p>
      <w:pPr>
        <w:ind w:left="680"/>
        <w:spacing w:after="0" w:line="263" w:lineRule="auto"/>
        <w:rPr>
          <w:sz w:val="20"/>
          <w:szCs w:val="20"/>
          <w:color w:val="auto"/>
        </w:rPr>
      </w:pPr>
      <w:r>
        <w:rPr>
          <w:rFonts w:ascii="Times New Roman" w:cs="Times New Roman" w:eastAsia="Times New Roman" w:hAnsi="Times New Roman"/>
          <w:sz w:val="20"/>
          <w:szCs w:val="20"/>
          <w:color w:val="auto"/>
        </w:rPr>
        <w:t>authority over the administrator for such Benchmark (or such component), which states that the administrator of such Benchmark (or such component) has ceased or will cease to provide all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440" w:val="left"/>
        </w:tabs>
        <w:rPr>
          <w:sz w:val="20"/>
          <w:szCs w:val="20"/>
          <w:color w:val="auto"/>
        </w:rPr>
      </w:pPr>
      <w:r>
        <w:rPr>
          <w:sz w:val="1"/>
          <w:szCs w:val="1"/>
          <w:color w:val="auto"/>
        </w:rPr>
        <w:drawing>
          <wp:inline distT="0" distB="0" distL="0" distR="0">
            <wp:extent cx="8255" cy="101600"/>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20">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16</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ectPr>
          <w:pgSz w:w="11900" w:h="16838" w:orient="portrait"/>
          <w:cols w:equalWidth="0" w:num="1">
            <w:col w:w="11060"/>
          </w:cols>
          <w:pgMar w:left="320" w:top="1440" w:right="519" w:bottom="1440" w:gutter="0" w:footer="0" w:header="0"/>
        </w:sectPr>
      </w:pPr>
    </w:p>
    <w:bookmarkStart w:id="165" w:name="page166"/>
    <w:bookmarkEnd w:id="165"/>
    <w:p>
      <w:pPr>
        <w:spacing w:after="0" w:line="202" w:lineRule="exact"/>
        <w:rPr>
          <w:sz w:val="20"/>
          <w:szCs w:val="20"/>
          <w:color w:val="auto"/>
        </w:rPr>
      </w:pPr>
    </w:p>
    <w:p>
      <w:pPr>
        <w:jc w:val="both"/>
        <w:ind w:left="620" w:right="40"/>
        <w:spacing w:after="0" w:line="257" w:lineRule="auto"/>
        <w:rPr>
          <w:sz w:val="20"/>
          <w:szCs w:val="20"/>
          <w:color w:val="auto"/>
        </w:rPr>
      </w:pPr>
      <w:r>
        <w:rPr>
          <w:rFonts w:ascii="Times New Roman" w:cs="Times New Roman" w:eastAsia="Times New Roman" w:hAnsi="Times New Roman"/>
          <w:sz w:val="20"/>
          <w:szCs w:val="20"/>
          <w:color w:val="auto"/>
        </w:rPr>
        <w:t xml:space="preserve">Tenors of such Benchmark (or such component thereof) permanently or indefinitely as of a specific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statement or publication, there is no successor administrator that will continue to provide any Available Tenor of such Benchmark (or such component thereof); or</w:t>
      </w:r>
    </w:p>
    <w:p>
      <w:pPr>
        <w:spacing w:after="0" w:line="171" w:lineRule="exact"/>
        <w:rPr>
          <w:sz w:val="20"/>
          <w:szCs w:val="20"/>
          <w:color w:val="auto"/>
        </w:rPr>
      </w:pPr>
    </w:p>
    <w:p>
      <w:pPr>
        <w:jc w:val="both"/>
        <w:ind w:left="620" w:right="40" w:firstLine="646"/>
        <w:spacing w:after="0" w:line="257" w:lineRule="auto"/>
        <w:tabs>
          <w:tab w:leader="none" w:pos="1867"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For the avoidance of doubt, a “Benchmark Transition Event” will be deemed to have occurred with respect to any</w:t>
      </w:r>
    </w:p>
    <w:p>
      <w:pPr>
        <w:spacing w:after="0" w:line="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Benchmark if a public statement or publication of information set forth above has occurred with respect to each then-current</w:t>
      </w:r>
    </w:p>
    <w:p>
      <w:pPr>
        <w:spacing w:after="0" w:line="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Available Tenor of such Benchmark (or the published component used in the calculation thereof).</w:t>
      </w:r>
    </w:p>
    <w:p>
      <w:pPr>
        <w:spacing w:after="0" w:line="197" w:lineRule="exact"/>
        <w:rPr>
          <w:sz w:val="20"/>
          <w:szCs w:val="20"/>
          <w:color w:val="auto"/>
        </w:rPr>
      </w:pPr>
    </w:p>
    <w:p>
      <w:pPr>
        <w:jc w:val="both"/>
        <w:ind w:left="620" w:right="20" w:firstLine="642"/>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Transition Start Date</w:t>
      </w:r>
      <w:r>
        <w:rPr>
          <w:rFonts w:ascii="Times New Roman" w:cs="Times New Roman" w:eastAsia="Times New Roman" w:hAnsi="Times New Roman"/>
          <w:sz w:val="20"/>
          <w:szCs w:val="20"/>
          <w:color w:val="auto"/>
        </w:rPr>
        <w:t>” means, in the case of a Benchmark Transition Event, the earlier of (a) the applicable Benchmark Replacement Date (Revolver)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74" w:lineRule="exact"/>
        <w:rPr>
          <w:sz w:val="20"/>
          <w:szCs w:val="20"/>
          <w:color w:val="auto"/>
        </w:rPr>
      </w:pPr>
    </w:p>
    <w:p>
      <w:pPr>
        <w:jc w:val="both"/>
        <w:ind w:left="620" w:right="40" w:firstLine="642"/>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Unavailability Period</w:t>
      </w:r>
      <w:r>
        <w:rPr>
          <w:rFonts w:ascii="Times New Roman" w:cs="Times New Roman" w:eastAsia="Times New Roman" w:hAnsi="Times New Roman"/>
          <w:sz w:val="20"/>
          <w:szCs w:val="20"/>
          <w:color w:val="auto"/>
        </w:rPr>
        <w:t xml:space="preserve">” means the period (if any) (x) beginning at the time that a Benchmark Replacement Date (Initial Term Loan) or Benchmark Replacement Date (Revolver), as applicable, has occurred if, at such time, no Benchmark Replacement has replaced the then-current Benchmark for all purposes hereunder and under any Loan Document in accordance with </w:t>
      </w:r>
      <w:r>
        <w:rPr>
          <w:rFonts w:ascii="Times New Roman" w:cs="Times New Roman" w:eastAsia="Times New Roman" w:hAnsi="Times New Roman"/>
          <w:sz w:val="20"/>
          <w:szCs w:val="20"/>
          <w:u w:val="single" w:color="auto"/>
          <w:color w:val="auto"/>
        </w:rPr>
        <w:t>Section 5.8(c)(i)</w:t>
      </w:r>
      <w:r>
        <w:rPr>
          <w:rFonts w:ascii="Times New Roman" w:cs="Times New Roman" w:eastAsia="Times New Roman" w:hAnsi="Times New Roman"/>
          <w:sz w:val="20"/>
          <w:szCs w:val="20"/>
          <w:color w:val="auto"/>
        </w:rPr>
        <w:t xml:space="preserve"> and (y) ending at the time that a Benchmark Replacement has replaced the then-current Benchmark for all purposes hereunder and under any Loan Document in accordance with </w:t>
      </w:r>
      <w:r>
        <w:rPr>
          <w:rFonts w:ascii="Times New Roman" w:cs="Times New Roman" w:eastAsia="Times New Roman" w:hAnsi="Times New Roman"/>
          <w:sz w:val="20"/>
          <w:szCs w:val="20"/>
          <w:u w:val="single" w:color="auto"/>
          <w:color w:val="auto"/>
        </w:rPr>
        <w:t>Section 5.8(c)(i)</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left="620" w:right="40" w:firstLine="642"/>
        <w:spacing w:after="0" w:line="27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Certification</w:t>
      </w:r>
      <w:r>
        <w:rPr>
          <w:rFonts w:ascii="Times New Roman" w:cs="Times New Roman" w:eastAsia="Times New Roman" w:hAnsi="Times New Roman"/>
          <w:sz w:val="20"/>
          <w:szCs w:val="20"/>
          <w:color w:val="auto"/>
        </w:rPr>
        <w:t>” means any certification regarding beneficial ownership as required by the Beneficial Ownership Regulation.</w:t>
      </w:r>
    </w:p>
    <w:p>
      <w:pPr>
        <w:spacing w:after="0" w:line="15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Regulation</w:t>
      </w:r>
      <w:r>
        <w:rPr>
          <w:rFonts w:ascii="Times New Roman" w:cs="Times New Roman" w:eastAsia="Times New Roman" w:hAnsi="Times New Roman"/>
          <w:sz w:val="20"/>
          <w:szCs w:val="20"/>
          <w:color w:val="auto"/>
        </w:rPr>
        <w:t>” means 31 CFR § 1010.230.</w:t>
      </w:r>
    </w:p>
    <w:p>
      <w:pPr>
        <w:spacing w:after="0" w:line="225" w:lineRule="exact"/>
        <w:rPr>
          <w:sz w:val="20"/>
          <w:szCs w:val="20"/>
          <w:color w:val="auto"/>
        </w:rPr>
      </w:pPr>
    </w:p>
    <w:p>
      <w:pPr>
        <w:jc w:val="both"/>
        <w:ind w:left="620" w:firstLine="642"/>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Benefit Plan</w:t>
      </w:r>
      <w:r>
        <w:rPr>
          <w:rFonts w:ascii="Times New Roman" w:cs="Times New Roman" w:eastAsia="Times New Roman" w:hAnsi="Times New Roman"/>
          <w:sz w:val="20"/>
          <w:szCs w:val="20"/>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2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 Materials</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means, collectively, the</w:t>
      </w:r>
    </w:p>
    <w:p>
      <w:pPr>
        <w:spacing w:after="0" w:line="2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US Borrowers and the Canadian Borrowers. “</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means:</w:t>
      </w:r>
    </w:p>
    <w:p>
      <w:pPr>
        <w:spacing w:after="0" w:line="104" w:lineRule="exact"/>
        <w:rPr>
          <w:sz w:val="20"/>
          <w:szCs w:val="20"/>
          <w:color w:val="auto"/>
        </w:rPr>
      </w:pPr>
    </w:p>
    <w:p>
      <w:pPr>
        <w:jc w:val="both"/>
        <w:ind w:left="620" w:right="40" w:firstLine="646"/>
        <w:spacing w:after="0" w:line="257" w:lineRule="auto"/>
        <w:tabs>
          <w:tab w:leader="none" w:pos="1867"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all purposes other than as set forth in clause (b) below, any day (other than a Saturday, Sunday or legal holiday) on which banks in Charlotte, North Carolina and New York, New York, are open for the conduct of their commercial banking business;</w:t>
      </w:r>
    </w:p>
    <w:p>
      <w:pPr>
        <w:spacing w:after="0" w:line="200" w:lineRule="exact"/>
        <w:rPr>
          <w:sz w:val="20"/>
          <w:szCs w:val="20"/>
          <w:color w:val="auto"/>
        </w:rPr>
      </w:pPr>
    </w:p>
    <w:p>
      <w:pPr>
        <w:spacing w:after="0" w:line="39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17</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-43180</wp:posOffset>
            </wp:positionV>
            <wp:extent cx="8255" cy="1016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21">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1040"/>
          </w:cols>
          <w:pgMar w:left="380" w:top="1440" w:right="479" w:bottom="1440" w:gutter="0" w:footer="0" w:header="0"/>
        </w:sectPr>
      </w:pPr>
    </w:p>
    <w:bookmarkStart w:id="166" w:name="page167"/>
    <w:bookmarkEnd w:id="166"/>
    <w:p>
      <w:pPr>
        <w:spacing w:after="0" w:line="95" w:lineRule="exact"/>
        <w:rPr>
          <w:sz w:val="20"/>
          <w:szCs w:val="20"/>
          <w:color w:val="auto"/>
        </w:rPr>
      </w:pPr>
    </w:p>
    <w:p>
      <w:pPr>
        <w:ind w:left="680" w:firstLine="646"/>
        <w:spacing w:after="0" w:line="277" w:lineRule="auto"/>
        <w:tabs>
          <w:tab w:leader="none" w:pos="1925"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all notices and determinations in connection with, and payments of principal and interest on, any SOFR Loan, or any Base Rate Loan as to which the interest rate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440" w:val="left"/>
        </w:tabs>
        <w:rPr>
          <w:sz w:val="20"/>
          <w:szCs w:val="20"/>
          <w:color w:val="auto"/>
        </w:rPr>
      </w:pPr>
      <w:r>
        <w:rPr>
          <w:sz w:val="1"/>
          <w:szCs w:val="1"/>
          <w:color w:val="auto"/>
        </w:rPr>
        <w:drawing>
          <wp:inline distT="0" distB="0" distL="0" distR="0">
            <wp:extent cx="8255" cy="10160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22">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18</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ectPr>
          <w:pgSz w:w="11900" w:h="16838" w:orient="portrait"/>
          <w:cols w:equalWidth="0" w:num="1">
            <w:col w:w="11060"/>
          </w:cols>
          <w:pgMar w:left="320" w:top="1440" w:right="519" w:bottom="1440" w:gutter="0" w:footer="0" w:header="0"/>
        </w:sectPr>
      </w:pPr>
    </w:p>
    <w:bookmarkStart w:id="167" w:name="page168"/>
    <w:bookmarkEnd w:id="167"/>
    <w:p>
      <w:pPr>
        <w:spacing w:after="0" w:line="202" w:lineRule="exact"/>
        <w:rPr>
          <w:sz w:val="20"/>
          <w:szCs w:val="20"/>
          <w:color w:val="auto"/>
        </w:rPr>
      </w:pPr>
    </w:p>
    <w:p>
      <w:pPr>
        <w:ind w:left="680" w:right="320"/>
        <w:spacing w:after="0" w:line="263" w:lineRule="auto"/>
        <w:rPr>
          <w:sz w:val="20"/>
          <w:szCs w:val="20"/>
          <w:color w:val="auto"/>
        </w:rPr>
      </w:pPr>
      <w:r>
        <w:rPr>
          <w:rFonts w:ascii="Times New Roman" w:cs="Times New Roman" w:eastAsia="Times New Roman" w:hAnsi="Times New Roman"/>
          <w:sz w:val="20"/>
          <w:szCs w:val="20"/>
          <w:color w:val="auto"/>
        </w:rPr>
        <w:t>determined by reference to Adjusted Term SOFR, any day that is a Business Day described in clause (a) and that is also a day on which the Federal Reserve Bank of New York is open; and</w:t>
      </w:r>
    </w:p>
    <w:p>
      <w:pPr>
        <w:spacing w:after="0" w:line="201" w:lineRule="exact"/>
        <w:rPr>
          <w:sz w:val="20"/>
          <w:szCs w:val="20"/>
          <w:color w:val="auto"/>
        </w:rPr>
      </w:pPr>
    </w:p>
    <w:p>
      <w:pPr>
        <w:jc w:val="both"/>
        <w:ind w:left="680" w:right="40" w:firstLine="642"/>
        <w:spacing w:after="0" w:line="279" w:lineRule="auto"/>
        <w:rPr>
          <w:sz w:val="20"/>
          <w:szCs w:val="20"/>
          <w:color w:val="auto"/>
        </w:rPr>
      </w:pPr>
      <w:r>
        <w:rPr>
          <w:rFonts w:ascii="Times New Roman" w:cs="Times New Roman" w:eastAsia="Times New Roman" w:hAnsi="Times New Roman"/>
          <w:sz w:val="20"/>
          <w:szCs w:val="20"/>
          <w:color w:val="auto"/>
        </w:rPr>
        <w:t>(c)</w:t>
      </w:r>
      <w:r>
        <w:rPr>
          <w:sz w:val="1"/>
          <w:szCs w:val="1"/>
          <w:color w:val="auto"/>
        </w:rPr>
        <w:drawing>
          <wp:inline distT="0" distB="0" distL="0" distR="0">
            <wp:extent cx="8255" cy="135890"/>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23">
                      <a:extLst>
                        <a:ext uri="{28A0092B-C50C-407E-A947-70E740481C1C}"/>
                      </a:extLst>
                    </a:blip>
                    <a:srcRect/>
                    <a:stretch>
                      <a:fillRect/>
                    </a:stretch>
                  </pic:blipFill>
                  <pic:spPr bwMode="auto">
                    <a:xfrm>
                      <a:off x="0" y="0"/>
                      <a:ext cx="8255" cy="13589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with respect to all notices and determinations in connection with, and payments of principal and interest on, any Canadian Revolving Credit Loan, any day that is a Business Day described in clause (a) and on which banks are open for business in </w:t>
      </w:r>
      <w:r>
        <w:rPr>
          <w:rFonts w:ascii="Times New Roman" w:cs="Times New Roman" w:eastAsia="Times New Roman" w:hAnsi="Times New Roman"/>
          <w:sz w:val="20"/>
          <w:szCs w:val="20"/>
          <w:color w:val="FF0000"/>
          <w:strike w:val="1"/>
        </w:rPr>
        <w:t>London, England and</w:t>
      </w:r>
      <w:r>
        <w:rPr>
          <w:rFonts w:ascii="Times New Roman" w:cs="Times New Roman" w:eastAsia="Times New Roman" w:hAnsi="Times New Roman"/>
          <w:sz w:val="20"/>
          <w:szCs w:val="20"/>
          <w:color w:val="auto"/>
        </w:rPr>
        <w:t xml:space="preserve"> Toronto, Canada.</w:t>
      </w:r>
    </w:p>
    <w:p>
      <w:pPr>
        <w:spacing w:after="0" w:line="8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Calculation Date</w:t>
      </w:r>
      <w:r>
        <w:rPr>
          <w:rFonts w:ascii="Times New Roman" w:cs="Times New Roman" w:eastAsia="Times New Roman" w:hAnsi="Times New Roman"/>
          <w:sz w:val="19"/>
          <w:szCs w:val="19"/>
          <w:color w:val="auto"/>
        </w:rPr>
        <w:t>” has the meaning assigned thereto in the definition of Applicable Margin. “</w:t>
      </w:r>
      <w:r>
        <w:rPr>
          <w:rFonts w:ascii="Times New Roman" w:cs="Times New Roman" w:eastAsia="Times New Roman" w:hAnsi="Times New Roman"/>
          <w:sz w:val="19"/>
          <w:szCs w:val="19"/>
          <w:u w:val="single" w:color="auto"/>
          <w:color w:val="auto"/>
        </w:rPr>
        <w:t>Canadian AML Laws</w:t>
      </w:r>
      <w:r>
        <w:rPr>
          <w:rFonts w:ascii="Times New Roman" w:cs="Times New Roman" w:eastAsia="Times New Roman" w:hAnsi="Times New Roman"/>
          <w:sz w:val="19"/>
          <w:szCs w:val="19"/>
          <w:color w:val="auto"/>
        </w:rPr>
        <w:t>” means</w:t>
      </w:r>
    </w:p>
    <w:p>
      <w:pPr>
        <w:spacing w:after="0" w:line="2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the Proceeds of Crime (Money Laundering) and Terrorist</w:t>
      </w:r>
    </w:p>
    <w:p>
      <w:pPr>
        <w:spacing w:after="0" w:line="9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Financing Act (Canada), as amended, and any other applicable anti-money laundering, anti-terrorist</w:t>
      </w:r>
    </w:p>
    <w:p>
      <w:pPr>
        <w:ind w:left="680"/>
        <w:spacing w:after="0"/>
        <w:rPr>
          <w:sz w:val="20"/>
          <w:szCs w:val="20"/>
          <w:color w:val="auto"/>
        </w:rPr>
      </w:pPr>
      <w:r>
        <w:rPr>
          <w:rFonts w:ascii="Times New Roman" w:cs="Times New Roman" w:eastAsia="Times New Roman" w:hAnsi="Times New Roman"/>
          <w:sz w:val="20"/>
          <w:szCs w:val="20"/>
          <w:color w:val="auto"/>
        </w:rPr>
        <w:t>financing, government sanction and “know your client” laws in effect in Canada from time to time.</w:t>
      </w:r>
    </w:p>
    <w:p>
      <w:pPr>
        <w:spacing w:after="0" w:line="189" w:lineRule="exact"/>
        <w:rPr>
          <w:sz w:val="20"/>
          <w:szCs w:val="20"/>
          <w:color w:val="auto"/>
        </w:rPr>
      </w:pPr>
    </w:p>
    <w:p>
      <w:pPr>
        <w:jc w:val="both"/>
        <w:ind w:left="680" w:right="40" w:firstLine="642"/>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Base Rate</w:t>
      </w:r>
      <w:r>
        <w:rPr>
          <w:rFonts w:ascii="Times New Roman" w:cs="Times New Roman" w:eastAsia="Times New Roman" w:hAnsi="Times New Roman"/>
          <w:sz w:val="20"/>
          <w:szCs w:val="20"/>
          <w:color w:val="auto"/>
        </w:rPr>
        <w:t xml:space="preserve">” means at any time, the greater of (a) the Canadian Prime Rate and (b) except during any period of time during which a notice delivered to Centuri under </w:t>
      </w:r>
      <w:r>
        <w:rPr>
          <w:rFonts w:ascii="Times New Roman" w:cs="Times New Roman" w:eastAsia="Times New Roman" w:hAnsi="Times New Roman"/>
          <w:sz w:val="20"/>
          <w:szCs w:val="20"/>
          <w:u w:val="single" w:color="auto"/>
          <w:color w:val="auto"/>
        </w:rPr>
        <w:t>Section 5.8</w:t>
      </w:r>
      <w:r>
        <w:rPr>
          <w:rFonts w:ascii="Times New Roman" w:cs="Times New Roman" w:eastAsia="Times New Roman" w:hAnsi="Times New Roman"/>
          <w:sz w:val="20"/>
          <w:szCs w:val="20"/>
          <w:color w:val="auto"/>
        </w:rPr>
        <w:t xml:space="preserve"> shall remain in effect, the annual rate of interest equal to the sum of (i) the </w:t>
      </w:r>
      <w:r>
        <w:rPr>
          <w:rFonts w:ascii="Times New Roman" w:cs="Times New Roman" w:eastAsia="Times New Roman" w:hAnsi="Times New Roman"/>
          <w:sz w:val="20"/>
          <w:szCs w:val="20"/>
          <w:color w:val="FF0000"/>
          <w:strike w:val="1"/>
        </w:rPr>
        <w:t>CDOR Rate</w:t>
      </w:r>
      <w:r>
        <w:rPr>
          <w:rFonts w:ascii="Times New Roman" w:cs="Times New Roman" w:eastAsia="Times New Roman" w:hAnsi="Times New Roman"/>
          <w:sz w:val="20"/>
          <w:szCs w:val="20"/>
          <w:u w:val="single" w:color="auto"/>
          <w:color w:val="0000FF"/>
        </w:rPr>
        <w:t>Adjusted Term CORRA</w:t>
      </w:r>
      <w:r>
        <w:rPr>
          <w:rFonts w:ascii="Times New Roman" w:cs="Times New Roman" w:eastAsia="Times New Roman" w:hAnsi="Times New Roman"/>
          <w:sz w:val="20"/>
          <w:szCs w:val="20"/>
          <w:color w:val="auto"/>
        </w:rPr>
        <w:t xml:space="preserve"> for an Interest Period of one month at such time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 one percent (1%) per annum; each change in the Canadian Base Rate shall take effect simultaneously with the corresponding change or changes in the Canadian Prime Rate or </w:t>
      </w:r>
      <w:r>
        <w:rPr>
          <w:rFonts w:ascii="Times New Roman" w:cs="Times New Roman" w:eastAsia="Times New Roman" w:hAnsi="Times New Roman"/>
          <w:sz w:val="20"/>
          <w:szCs w:val="20"/>
          <w:color w:val="FF0000"/>
          <w:strike w:val="1"/>
        </w:rPr>
        <w:t>the CDOR Rate</w:t>
      </w:r>
      <w:r>
        <w:rPr>
          <w:rFonts w:ascii="Times New Roman" w:cs="Times New Roman" w:eastAsia="Times New Roman" w:hAnsi="Times New Roman"/>
          <w:sz w:val="20"/>
          <w:szCs w:val="20"/>
          <w:u w:val="single" w:color="auto"/>
          <w:color w:val="0000FF"/>
        </w:rPr>
        <w:t>Adjusted Term CORRA</w:t>
      </w:r>
      <w:r>
        <w:rPr>
          <w:rFonts w:ascii="Times New Roman" w:cs="Times New Roman" w:eastAsia="Times New Roman" w:hAnsi="Times New Roman"/>
          <w:sz w:val="20"/>
          <w:szCs w:val="20"/>
          <w:color w:val="auto"/>
        </w:rPr>
        <w:t>, as applicable</w:t>
      </w:r>
      <w:r>
        <w:rPr>
          <w:rFonts w:ascii="Times New Roman" w:cs="Times New Roman" w:eastAsia="Times New Roman" w:hAnsi="Times New Roman"/>
          <w:sz w:val="20"/>
          <w:szCs w:val="20"/>
          <w:u w:val="single" w:color="auto"/>
          <w:color w:val="0000FF"/>
        </w:rPr>
        <w:t>; provided that clause (b) of this definition shall only be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applicable for Canadian Revolving Credit Loans</w:t>
      </w:r>
      <w:r>
        <w:rPr>
          <w:rFonts w:ascii="Times New Roman" w:cs="Times New Roman" w:eastAsia="Times New Roman" w:hAnsi="Times New Roman"/>
          <w:sz w:val="20"/>
          <w:szCs w:val="20"/>
          <w:color w:val="000000"/>
        </w:rPr>
        <w:t>.</w:t>
      </w:r>
    </w:p>
    <w:p>
      <w:pPr>
        <w:spacing w:after="0" w:line="181" w:lineRule="exact"/>
        <w:rPr>
          <w:sz w:val="20"/>
          <w:szCs w:val="20"/>
          <w:color w:val="auto"/>
        </w:rPr>
      </w:pPr>
    </w:p>
    <w:p>
      <w:pPr>
        <w:jc w:val="both"/>
        <w:ind w:left="680" w:right="40" w:firstLine="642"/>
        <w:spacing w:after="0" w:line="27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Base Rate Loan</w:t>
      </w:r>
      <w:r>
        <w:rPr>
          <w:rFonts w:ascii="Times New Roman" w:cs="Times New Roman" w:eastAsia="Times New Roman" w:hAnsi="Times New Roman"/>
          <w:sz w:val="20"/>
          <w:szCs w:val="20"/>
          <w:color w:val="auto"/>
        </w:rPr>
        <w:t xml:space="preserve">” means any Canadian Loan bearing interest at a rate based upon the Canadian Base Rate as provided in </w:t>
      </w:r>
      <w:r>
        <w:rPr>
          <w:rFonts w:ascii="Times New Roman" w:cs="Times New Roman" w:eastAsia="Times New Roman" w:hAnsi="Times New Roman"/>
          <w:sz w:val="20"/>
          <w:szCs w:val="20"/>
          <w:u w:val="single" w:color="auto"/>
          <w:color w:val="auto"/>
        </w:rPr>
        <w:t>Section 5.1(a)</w:t>
      </w:r>
      <w:r>
        <w:rPr>
          <w:rFonts w:ascii="Times New Roman" w:cs="Times New Roman" w:eastAsia="Times New Roman" w:hAnsi="Times New Roman"/>
          <w:sz w:val="20"/>
          <w:szCs w:val="20"/>
          <w:color w:val="auto"/>
        </w:rPr>
        <w:t>.</w:t>
      </w:r>
    </w:p>
    <w:p>
      <w:pPr>
        <w:spacing w:after="0" w:line="151" w:lineRule="exact"/>
        <w:rPr>
          <w:sz w:val="20"/>
          <w:szCs w:val="20"/>
          <w:color w:val="auto"/>
        </w:rPr>
      </w:pPr>
    </w:p>
    <w:p>
      <w:pPr>
        <w:jc w:val="both"/>
        <w:ind w:left="680" w:right="40" w:firstLine="642"/>
        <w:spacing w:after="0" w:line="27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Borrowers</w:t>
      </w:r>
      <w:r>
        <w:rPr>
          <w:rFonts w:ascii="Times New Roman" w:cs="Times New Roman" w:eastAsia="Times New Roman" w:hAnsi="Times New Roman"/>
          <w:sz w:val="20"/>
          <w:szCs w:val="20"/>
          <w:color w:val="auto"/>
        </w:rPr>
        <w:t>” means, collectively, Centuri Canada and each Additional Borrower approved by the Lenders that becomes a party hereto as a Canadian Borrower.</w:t>
      </w:r>
    </w:p>
    <w:p>
      <w:pPr>
        <w:spacing w:after="0" w:line="151" w:lineRule="exact"/>
        <w:rPr>
          <w:sz w:val="20"/>
          <w:szCs w:val="20"/>
          <w:color w:val="auto"/>
        </w:rPr>
      </w:pPr>
    </w:p>
    <w:p>
      <w:pPr>
        <w:jc w:val="both"/>
        <w:ind w:left="680" w:firstLine="642"/>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Cash Management Bank</w:t>
      </w:r>
      <w:r>
        <w:rPr>
          <w:rFonts w:ascii="Times New Roman" w:cs="Times New Roman" w:eastAsia="Times New Roman" w:hAnsi="Times New Roman"/>
          <w:sz w:val="20"/>
          <w:szCs w:val="20"/>
          <w:color w:val="auto"/>
        </w:rPr>
        <w:t>” means any Person that, (a) at the time it enters into a Cash Management Agreement with a Canadian Credit Party or a Foreign Subsidiary, is a Lender, an Affiliate of a Lender, the Administrative Agent or an Affiliate of the Administrative Agent, or (b) at the time it (or its Affiliate) becomes a Lender (including on the Closing Date), is a party to a Cash Management Agreement with a Canadian Credit Party or a Foreign Subsidiary, in each case in its capacity as a party to such Cash Management Agreement.</w:t>
      </w:r>
    </w:p>
    <w:p>
      <w:pPr>
        <w:spacing w:after="0" w:line="174" w:lineRule="exact"/>
        <w:rPr>
          <w:sz w:val="20"/>
          <w:szCs w:val="20"/>
          <w:color w:val="auto"/>
        </w:rPr>
      </w:pPr>
    </w:p>
    <w:p>
      <w:pPr>
        <w:jc w:val="both"/>
        <w:ind w:left="680" w:right="40" w:firstLine="642"/>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Collateral Agreement</w:t>
      </w:r>
      <w:r>
        <w:rPr>
          <w:rFonts w:ascii="Times New Roman" w:cs="Times New Roman" w:eastAsia="Times New Roman" w:hAnsi="Times New Roman"/>
          <w:sz w:val="20"/>
          <w:szCs w:val="20"/>
          <w:color w:val="auto"/>
        </w:rPr>
        <w:t>” means that certain Second Amended and Restated Canadian Collateral Agreement of even date herewith executed by the Canadian Credit Parties in favor of the Administrative Agent, for the ratable benefit of the Canadian Secured Parties.</w:t>
      </w:r>
    </w:p>
    <w:p>
      <w:pPr>
        <w:spacing w:after="0" w:line="17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Credit Parties</w:t>
      </w:r>
      <w:r>
        <w:rPr>
          <w:rFonts w:ascii="Times New Roman" w:cs="Times New Roman" w:eastAsia="Times New Roman" w:hAnsi="Times New Roman"/>
          <w:sz w:val="20"/>
          <w:szCs w:val="20"/>
          <w:color w:val="auto"/>
        </w:rPr>
        <w:t>” means, collectively, the Canadian Borrowers and the Canadian Subsidiary Guarantors.</w:t>
      </w:r>
    </w:p>
    <w:p>
      <w:pPr>
        <w:spacing w:after="0" w:line="225" w:lineRule="exact"/>
        <w:rPr>
          <w:sz w:val="20"/>
          <w:szCs w:val="20"/>
          <w:color w:val="auto"/>
        </w:rPr>
      </w:pPr>
    </w:p>
    <w:p>
      <w:pPr>
        <w:jc w:val="both"/>
        <w:ind w:left="680" w:right="40" w:firstLine="642"/>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Credit Party Guarantee Agreement</w:t>
      </w:r>
      <w:r>
        <w:rPr>
          <w:rFonts w:ascii="Times New Roman" w:cs="Times New Roman" w:eastAsia="Times New Roman" w:hAnsi="Times New Roman"/>
          <w:sz w:val="20"/>
          <w:szCs w:val="20"/>
          <w:color w:val="auto"/>
        </w:rPr>
        <w:t>” means that certain Amended and Restated Canadian Credit Party Guarantee Agreement dated as of the date hereof executed by the Canadian Credit Parties in favor of the Administrative Agent, for the ratable benefit of the Canadian Secured Parties.</w:t>
      </w:r>
    </w:p>
    <w:p>
      <w:pPr>
        <w:spacing w:after="0" w:line="1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Dollar</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means, at the time of determination, the lawful currency of Canada. “</w:t>
      </w:r>
      <w:r>
        <w:rPr>
          <w:rFonts w:ascii="Times New Roman" w:cs="Times New Roman" w:eastAsia="Times New Roman" w:hAnsi="Times New Roman"/>
          <w:sz w:val="20"/>
          <w:szCs w:val="20"/>
          <w:u w:val="single" w:color="auto"/>
          <w:color w:val="auto"/>
        </w:rPr>
        <w:t>Canadian Employee</w:t>
      </w:r>
    </w:p>
    <w:p>
      <w:pPr>
        <w:spacing w:after="0" w:line="21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u w:val="single" w:color="auto"/>
          <w:color w:val="auto"/>
        </w:rPr>
        <w:t>Benefit Plan</w:t>
      </w:r>
      <w:r>
        <w:rPr>
          <w:rFonts w:ascii="Times New Roman" w:cs="Times New Roman" w:eastAsia="Times New Roman" w:hAnsi="Times New Roman"/>
          <w:sz w:val="20"/>
          <w:szCs w:val="20"/>
          <w:color w:val="auto"/>
        </w:rPr>
        <w:t>” means any Canadian Pension Plan or Canadian</w:t>
      </w:r>
    </w:p>
    <w:p>
      <w:pPr>
        <w:spacing w:after="0" w:line="9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Multiemployer Plan.</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440" w:val="left"/>
        </w:tabs>
        <w:rPr>
          <w:sz w:val="20"/>
          <w:szCs w:val="20"/>
          <w:color w:val="auto"/>
        </w:rPr>
      </w:pPr>
      <w:r>
        <w:rPr>
          <w:sz w:val="1"/>
          <w:szCs w:val="1"/>
          <w:color w:val="auto"/>
        </w:rPr>
        <w:drawing>
          <wp:inline distT="0" distB="0" distL="0" distR="0">
            <wp:extent cx="8255" cy="101600"/>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24">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19</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ectPr>
          <w:pgSz w:w="11900" w:h="16838" w:orient="portrait"/>
          <w:cols w:equalWidth="0" w:num="1">
            <w:col w:w="11100"/>
          </w:cols>
          <w:pgMar w:left="320" w:top="1440" w:right="479" w:bottom="1440" w:gutter="0" w:footer="0" w:header="0"/>
        </w:sectPr>
      </w:pPr>
    </w:p>
    <w:bookmarkStart w:id="168" w:name="page169"/>
    <w:bookmarkEnd w:id="168"/>
    <w:p>
      <w:pPr>
        <w:spacing w:after="0" w:line="95" w:lineRule="exact"/>
        <w:rPr>
          <w:sz w:val="20"/>
          <w:szCs w:val="20"/>
          <w:color w:val="auto"/>
        </w:rPr>
      </w:pPr>
    </w:p>
    <w:p>
      <w:pPr>
        <w:ind w:left="620" w:firstLine="642"/>
        <w:spacing w:after="0" w:line="27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Hedge Bank</w:t>
      </w:r>
      <w:r>
        <w:rPr>
          <w:rFonts w:ascii="Times New Roman" w:cs="Times New Roman" w:eastAsia="Times New Roman" w:hAnsi="Times New Roman"/>
          <w:sz w:val="20"/>
          <w:szCs w:val="20"/>
          <w:color w:val="auto"/>
        </w:rPr>
        <w:t xml:space="preserve">” means any Person that, (a) at the time it enters into a Hedge Agreement with a Canadian Credit Party or a Foreign Subsidiary permitted under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is a Lender, an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20</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-34290</wp:posOffset>
            </wp:positionV>
            <wp:extent cx="8255" cy="1016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25">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1040"/>
          </w:cols>
          <w:pgMar w:left="380" w:top="1440" w:right="479" w:bottom="1440" w:gutter="0" w:footer="0" w:header="0"/>
        </w:sectPr>
      </w:pPr>
    </w:p>
    <w:bookmarkStart w:id="169" w:name="page170"/>
    <w:bookmarkEnd w:id="169"/>
    <w:p>
      <w:pPr>
        <w:spacing w:after="0" w:line="202" w:lineRule="exact"/>
        <w:rPr>
          <w:sz w:val="20"/>
          <w:szCs w:val="20"/>
          <w:color w:val="auto"/>
        </w:rPr>
      </w:pPr>
    </w:p>
    <w:p>
      <w:pPr>
        <w:jc w:val="both"/>
        <w:ind w:left="620" w:right="20"/>
        <w:spacing w:after="0" w:line="257" w:lineRule="auto"/>
        <w:rPr>
          <w:sz w:val="20"/>
          <w:szCs w:val="20"/>
          <w:color w:val="auto"/>
        </w:rPr>
      </w:pPr>
      <w:r>
        <w:rPr>
          <w:rFonts w:ascii="Times New Roman" w:cs="Times New Roman" w:eastAsia="Times New Roman" w:hAnsi="Times New Roman"/>
          <w:sz w:val="20"/>
          <w:szCs w:val="20"/>
          <w:color w:val="auto"/>
        </w:rPr>
        <w:t>of a Lender, the Administrative Agent or an Affiliate of the Administrative Agent or (b) at the time it (or its Affiliate) becomes a Lender (including on the Closing Date), is a party to a Hedge Agreement with a Canadian Credit Party or a Foreign Subsidiary, in each case in its capacity as a party to such Hedge Agreement.</w:t>
      </w:r>
    </w:p>
    <w:p>
      <w:pPr>
        <w:spacing w:after="0" w:line="171" w:lineRule="exact"/>
        <w:rPr>
          <w:sz w:val="20"/>
          <w:szCs w:val="20"/>
          <w:color w:val="auto"/>
        </w:rPr>
      </w:pPr>
    </w:p>
    <w:p>
      <w:pPr>
        <w:jc w:val="both"/>
        <w:ind w:left="620" w:right="20" w:firstLine="642"/>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L/C Obligations</w:t>
      </w:r>
      <w:r>
        <w:rPr>
          <w:rFonts w:ascii="Times New Roman" w:cs="Times New Roman" w:eastAsia="Times New Roman" w:hAnsi="Times New Roman"/>
          <w:sz w:val="20"/>
          <w:szCs w:val="20"/>
          <w:color w:val="auto"/>
        </w:rPr>
        <w:t xml:space="preserve">” means at any time, an amount equal to the sum of (a) the aggregate undrawn and unexpired amount of the then outstanding Canadian Letters of Credit and (b) the aggregate amount of drawings under Canadian Letters of Credit which have not then been reimbursed pursuant to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ind w:left="620" w:right="20" w:firstLine="642"/>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Letters of Credit</w:t>
      </w:r>
      <w:r>
        <w:rPr>
          <w:rFonts w:ascii="Times New Roman" w:cs="Times New Roman" w:eastAsia="Times New Roman" w:hAnsi="Times New Roman"/>
          <w:sz w:val="20"/>
          <w:szCs w:val="20"/>
          <w:color w:val="auto"/>
        </w:rPr>
        <w:t xml:space="preserve">” means the collective reference to letters of credit denominated in Canadian Dollars pursuant to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(including any applicable Existing Letters of Credit). Notwithstanding anything to the contrary contained herein, a letter of credit issued by any Issuing Lender (other than Wells Fargo at any time it is also acting as Administrative Agent) shall not be a “Canadian Letter of Credit” for purposes of the Loan Documents until such time as the Administrative Agent has been notified in writing of the issuance thereof by the applicable Issuing Lender.</w:t>
      </w:r>
    </w:p>
    <w:p>
      <w:pPr>
        <w:spacing w:after="0" w:line="180" w:lineRule="exact"/>
        <w:rPr>
          <w:sz w:val="20"/>
          <w:szCs w:val="20"/>
          <w:color w:val="auto"/>
        </w:rPr>
      </w:pPr>
    </w:p>
    <w:p>
      <w:pPr>
        <w:jc w:val="both"/>
        <w:ind w:left="620" w:right="20" w:firstLine="642"/>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Multiemployer Plan</w:t>
      </w:r>
      <w:r>
        <w:rPr>
          <w:rFonts w:ascii="Times New Roman" w:cs="Times New Roman" w:eastAsia="Times New Roman" w:hAnsi="Times New Roman"/>
          <w:sz w:val="20"/>
          <w:szCs w:val="20"/>
          <w:color w:val="auto"/>
        </w:rPr>
        <w:t>” means a “multi-employer pension plan” as defined by Canadian Pension Laws and registered in accordance with Canadian Pension Laws and as to which any Credit Party or any Subsidiary thereof is making, or is accruing an obligation to make, or has accrued an obligation to make contributions within the preceding six (6) years, and shall not include any Multiemployer Plan.</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Obligations</w:t>
      </w:r>
      <w:r>
        <w:rPr>
          <w:rFonts w:ascii="Times New Roman" w:cs="Times New Roman" w:eastAsia="Times New Roman" w:hAnsi="Times New Roman"/>
          <w:sz w:val="20"/>
          <w:szCs w:val="20"/>
          <w:color w:val="auto"/>
        </w:rPr>
        <w:t>” means, in each case, whether now in existence or hereafter arising:</w:t>
      </w:r>
    </w:p>
    <w:p>
      <w:pPr>
        <w:spacing w:after="0" w:line="19" w:lineRule="exact"/>
        <w:rPr>
          <w:sz w:val="20"/>
          <w:szCs w:val="20"/>
          <w:color w:val="auto"/>
        </w:rPr>
      </w:pPr>
    </w:p>
    <w:p>
      <w:pPr>
        <w:jc w:val="both"/>
        <w:ind w:left="620" w:right="20" w:firstLine="4"/>
        <w:spacing w:after="0" w:line="245" w:lineRule="auto"/>
        <w:tabs>
          <w:tab w:leader="none" w:pos="90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of and interest on (including interest accruing after the filing of any bankruptcy or similar petition) the Canadian Revolving Credit Loans, Canadian Swingline Loans and, to the extent applicable, any Incremental Term Loan made to the Canadian Borrowers, (b) the Canadian L/C Obligations and (c) all other fees and commissions (including attorneys’ fees), charges, indebtedness, loans, liabilities, financial accommodations, obligations, covenants and duties owing by the Canadian Credit Parties to the Term Loan Lenders, Revolving Credit Lenders, the applicable Swingline Lender or the Administrative Agent, in each case under any Loan Document, with respect to any Canadian Revolving Credit Loan, any Canadian Swingline Loan, any Canadian Letter of Credit and, to the extent applicable, any Incremental Term Loan made to the Canadian Borrowers of every kind, nature and description, direct or indirect, absolute or contingent, due or to become due, contractual or tortious, liquidated or unliquidated, and whether or not evidenced by any note and including interest and fees that accrue after the commencement by or against any Credit Party or any Affiliate thereof of any proceeding under any Debtor Relief Laws, naming such Person as the debtor in such proceeding, regardless of whether such interest and fees are allowed claims in such proceeding.</w:t>
      </w:r>
    </w:p>
    <w:p>
      <w:pPr>
        <w:spacing w:after="0" w:line="191" w:lineRule="exact"/>
        <w:rPr>
          <w:sz w:val="20"/>
          <w:szCs w:val="20"/>
          <w:color w:val="auto"/>
        </w:rPr>
      </w:pPr>
    </w:p>
    <w:p>
      <w:pPr>
        <w:jc w:val="both"/>
        <w:ind w:left="620" w:right="20" w:firstLine="642"/>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Pension Laws</w:t>
      </w:r>
      <w:r>
        <w:rPr>
          <w:rFonts w:ascii="Times New Roman" w:cs="Times New Roman" w:eastAsia="Times New Roman" w:hAnsi="Times New Roman"/>
          <w:sz w:val="20"/>
          <w:szCs w:val="20"/>
          <w:color w:val="auto"/>
        </w:rPr>
        <w:t>” means the Pensions Benefit Act (Ontario), the ITA and any other Canadian federal or provincial pension benefits standards legislation and the regulations thereunder applicable to a Canadian Pension Plan or a Canadian Multiemployer Plan.</w:t>
      </w:r>
    </w:p>
    <w:p>
      <w:pPr>
        <w:spacing w:after="0" w:line="171" w:lineRule="exact"/>
        <w:rPr>
          <w:sz w:val="20"/>
          <w:szCs w:val="20"/>
          <w:color w:val="auto"/>
        </w:rPr>
      </w:pPr>
    </w:p>
    <w:p>
      <w:pPr>
        <w:jc w:val="both"/>
        <w:ind w:left="620" w:firstLine="642"/>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Pension Plan</w:t>
      </w:r>
      <w:r>
        <w:rPr>
          <w:rFonts w:ascii="Times New Roman" w:cs="Times New Roman" w:eastAsia="Times New Roman" w:hAnsi="Times New Roman"/>
          <w:sz w:val="20"/>
          <w:szCs w:val="20"/>
          <w:color w:val="auto"/>
        </w:rPr>
        <w:t>” means any “registered pension plan” as defined under Section 248(l) of the ITA or any other registered or unregistered pension, or retirement or retirement savings plan and which (a) is sponsored, maintained, funded, contributed to or required to be contributed to, or administered for the employees or former employees of any Credit Party or any Subsidiary thereof or (b) has at any time within the preceding six (6) years been sponsored, maintained, funded, contributed to or required to be contributed to, or administered for the employees or former employees of any Credit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-42545</wp:posOffset>
            </wp:positionV>
            <wp:extent cx="8255" cy="1016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26">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1020"/>
          </w:cols>
          <w:pgMar w:left="380" w:top="1440" w:right="499" w:bottom="1440" w:gutter="0" w:footer="0" w:header="0"/>
        </w:sectPr>
      </w:pPr>
    </w:p>
    <w:bookmarkStart w:id="170" w:name="page171"/>
    <w:bookmarkEnd w:id="170"/>
    <w:p>
      <w:pPr>
        <w:spacing w:after="0" w:line="20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or any Subsidiary thereof, and shall not include any Pension Plan, other than a Canadian Multiemployer Plan.</w:t>
      </w:r>
    </w:p>
    <w:p>
      <w:pPr>
        <w:spacing w:after="0" w:line="211" w:lineRule="exact"/>
        <w:rPr>
          <w:sz w:val="20"/>
          <w:szCs w:val="20"/>
          <w:color w:val="auto"/>
        </w:rPr>
      </w:pPr>
    </w:p>
    <w:p>
      <w:pPr>
        <w:jc w:val="both"/>
        <w:ind w:left="680" w:right="60" w:firstLine="642"/>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Pension Plan Unfunded Liability</w:t>
      </w:r>
      <w:r>
        <w:rPr>
          <w:rFonts w:ascii="Times New Roman" w:cs="Times New Roman" w:eastAsia="Times New Roman" w:hAnsi="Times New Roman"/>
          <w:sz w:val="20"/>
          <w:szCs w:val="20"/>
          <w:color w:val="auto"/>
        </w:rPr>
        <w:t xml:space="preserve">” means an unfunded liability in respect of any Canadian Pension Plan, including a going concern unfunded liability, solvency deficiency, reduced solvency deficiency or wind-up deficiency, in each case, as reported in the most recent valuation report delivered under </w:t>
      </w:r>
      <w:r>
        <w:rPr>
          <w:rFonts w:ascii="Times New Roman" w:cs="Times New Roman" w:eastAsia="Times New Roman" w:hAnsi="Times New Roman"/>
          <w:sz w:val="20"/>
          <w:szCs w:val="20"/>
          <w:u w:val="single" w:color="auto"/>
          <w:color w:val="auto"/>
        </w:rPr>
        <w:t>Section 8.2(j)</w:t>
      </w:r>
      <w:r>
        <w:rPr>
          <w:rFonts w:ascii="Times New Roman" w:cs="Times New Roman" w:eastAsia="Times New Roman" w:hAnsi="Times New Roman"/>
          <w:sz w:val="20"/>
          <w:szCs w:val="20"/>
          <w:color w:val="auto"/>
        </w:rPr>
        <w:t xml:space="preserve"> in respect of such Canadian Pension Plan.</w:t>
      </w:r>
    </w:p>
    <w:p>
      <w:pPr>
        <w:spacing w:after="0" w:line="184" w:lineRule="exact"/>
        <w:rPr>
          <w:sz w:val="20"/>
          <w:szCs w:val="20"/>
          <w:color w:val="auto"/>
        </w:rPr>
      </w:pPr>
    </w:p>
    <w:p>
      <w:pPr>
        <w:jc w:val="both"/>
        <w:ind w:left="680" w:firstLine="642"/>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Prime Rate</w:t>
      </w:r>
      <w:r>
        <w:rPr>
          <w:rFonts w:ascii="Times New Roman" w:cs="Times New Roman" w:eastAsia="Times New Roman" w:hAnsi="Times New Roman"/>
          <w:sz w:val="20"/>
          <w:szCs w:val="20"/>
          <w:color w:val="auto"/>
        </w:rPr>
        <w:t>” means the rate of interest publicly announced from time to time by the Canadian Reference Bank as its prime rate in effect for determining interest rates on Canadian Dollar denominated commercial loans in Canada (which such rate is not necessarily the most favored rate of the Canadian Reference Bank and the Canadian Reference Bank may lend to its customers at rates that are at, above or below such rate) or, if the Canadian Reference Bank ceases to announce a rate so designated, any similar successor rate designated by the Administrative Agent.</w:t>
      </w:r>
    </w:p>
    <w:p>
      <w:pPr>
        <w:spacing w:after="0" w:line="180" w:lineRule="exact"/>
        <w:rPr>
          <w:sz w:val="20"/>
          <w:szCs w:val="20"/>
          <w:color w:val="auto"/>
        </w:rPr>
      </w:pPr>
    </w:p>
    <w:p>
      <w:pPr>
        <w:jc w:val="both"/>
        <w:ind w:left="680" w:right="60" w:firstLine="642"/>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Reference Bank</w:t>
      </w:r>
      <w:r>
        <w:rPr>
          <w:rFonts w:ascii="Times New Roman" w:cs="Times New Roman" w:eastAsia="Times New Roman" w:hAnsi="Times New Roman"/>
          <w:sz w:val="20"/>
          <w:szCs w:val="20"/>
          <w:color w:val="auto"/>
        </w:rPr>
        <w:t>” means any one or more of The Bank of Nova Scotia, Bank of Montreal, Royal Bank of Canada, The Toronto-Dominion Bank, Canadian Imperial Bank of Commerce or National Bank of Canada, as the Administrative Agent may determine.</w:t>
      </w:r>
    </w:p>
    <w:p>
      <w:pPr>
        <w:spacing w:after="0" w:line="184" w:lineRule="exact"/>
        <w:rPr>
          <w:sz w:val="20"/>
          <w:szCs w:val="20"/>
          <w:color w:val="auto"/>
        </w:rPr>
      </w:pPr>
    </w:p>
    <w:p>
      <w:pPr>
        <w:jc w:val="both"/>
        <w:ind w:left="680" w:right="60" w:firstLine="642"/>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Revolving Credit Loan</w:t>
      </w:r>
      <w:r>
        <w:rPr>
          <w:rFonts w:ascii="Times New Roman" w:cs="Times New Roman" w:eastAsia="Times New Roman" w:hAnsi="Times New Roman"/>
          <w:sz w:val="20"/>
          <w:szCs w:val="20"/>
          <w:color w:val="auto"/>
        </w:rPr>
        <w:t xml:space="preserve">” means any revolving loan denominated in Canadian Dollars made to the Canadian Borrowers pursuant to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and all such revolving loans collectively as the context requires, and shall include any Extended Revolving Credit Loans, any Refinancing Revolving Loans and any loans made pursuant to an Incremental Revolving Credit Facility Increase, in each case, related to such loans.</w:t>
      </w:r>
    </w:p>
    <w:p>
      <w:pPr>
        <w:spacing w:after="0" w:line="173" w:lineRule="exact"/>
        <w:rPr>
          <w:sz w:val="20"/>
          <w:szCs w:val="20"/>
          <w:color w:val="auto"/>
        </w:rPr>
      </w:pPr>
    </w:p>
    <w:p>
      <w:pPr>
        <w:jc w:val="both"/>
        <w:ind w:left="680" w:right="60" w:firstLine="642"/>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Revolving Credit Note</w:t>
      </w:r>
      <w:r>
        <w:rPr>
          <w:rFonts w:ascii="Times New Roman" w:cs="Times New Roman" w:eastAsia="Times New Roman" w:hAnsi="Times New Roman"/>
          <w:sz w:val="20"/>
          <w:szCs w:val="20"/>
          <w:color w:val="auto"/>
        </w:rPr>
        <w:t xml:space="preserve">” means a promissory note made by the Canadian Borrowers in favor of a Revolving Credit Lender evidencing the Canadian Revolving Credit Loans made by such Revolving Credit Lender, substantially in the form attached as </w:t>
      </w:r>
      <w:r>
        <w:rPr>
          <w:rFonts w:ascii="Times New Roman" w:cs="Times New Roman" w:eastAsia="Times New Roman" w:hAnsi="Times New Roman"/>
          <w:sz w:val="20"/>
          <w:szCs w:val="20"/>
          <w:b w:val="1"/>
          <w:bCs w:val="1"/>
          <w:i w:val="1"/>
          <w:iCs w:val="1"/>
          <w:color w:val="auto"/>
        </w:rPr>
        <w:t>Exhibit A-2</w:t>
      </w:r>
      <w:r>
        <w:rPr>
          <w:rFonts w:ascii="Times New Roman" w:cs="Times New Roman" w:eastAsia="Times New Roman" w:hAnsi="Times New Roman"/>
          <w:sz w:val="20"/>
          <w:szCs w:val="20"/>
          <w:color w:val="auto"/>
        </w:rPr>
        <w:t>, and any substitutes therefor, and any replacements, restatements, renewals or extension thereof, in whole or in part.</w:t>
      </w:r>
    </w:p>
    <w:p>
      <w:pPr>
        <w:spacing w:after="0" w:line="173" w:lineRule="exact"/>
        <w:rPr>
          <w:sz w:val="20"/>
          <w:szCs w:val="20"/>
          <w:color w:val="auto"/>
        </w:rPr>
      </w:pPr>
    </w:p>
    <w:p>
      <w:pPr>
        <w:jc w:val="both"/>
        <w:ind w:left="680" w:right="60" w:firstLine="642"/>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Secured Obligations</w:t>
      </w:r>
      <w:r>
        <w:rPr>
          <w:rFonts w:ascii="Times New Roman" w:cs="Times New Roman" w:eastAsia="Times New Roman" w:hAnsi="Times New Roman"/>
          <w:sz w:val="20"/>
          <w:szCs w:val="20"/>
          <w:color w:val="auto"/>
        </w:rPr>
        <w:t>” means, collectively, (a) the Canadian Obligations and (b) all existing or future payment and other obligations owing by any Canadian Credit Party or any Foreign Subsidiary under (i) any Secured Hedge Agreement with a Canadian Hedge Bank and (ii) any Secured Cash Management Agreement with a Canadian Cash Management Bank.</w:t>
      </w:r>
    </w:p>
    <w:p>
      <w:pPr>
        <w:spacing w:after="0" w:line="171" w:lineRule="exact"/>
        <w:rPr>
          <w:sz w:val="20"/>
          <w:szCs w:val="20"/>
          <w:color w:val="auto"/>
        </w:rPr>
      </w:pPr>
    </w:p>
    <w:p>
      <w:pPr>
        <w:jc w:val="both"/>
        <w:ind w:left="680" w:right="20" w:firstLine="642"/>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Secured Parties</w:t>
      </w:r>
      <w:r>
        <w:rPr>
          <w:rFonts w:ascii="Times New Roman" w:cs="Times New Roman" w:eastAsia="Times New Roman" w:hAnsi="Times New Roman"/>
          <w:sz w:val="20"/>
          <w:szCs w:val="20"/>
          <w:color w:val="auto"/>
        </w:rPr>
        <w:t xml:space="preserve">” means, collectively, the Administrative Agent, the Lenders, the Canadian Hedge Banks, the Canadian Cash Management Banks, each co-agent or sub-agent appointed by the Administrative Agent from time to time pursuant to </w:t>
      </w:r>
      <w:r>
        <w:rPr>
          <w:rFonts w:ascii="Times New Roman" w:cs="Times New Roman" w:eastAsia="Times New Roman" w:hAnsi="Times New Roman"/>
          <w:sz w:val="20"/>
          <w:szCs w:val="20"/>
          <w:u w:val="single" w:color="auto"/>
          <w:color w:val="auto"/>
        </w:rPr>
        <w:t>Section 11.5</w:t>
      </w:r>
      <w:r>
        <w:rPr>
          <w:rFonts w:ascii="Times New Roman" w:cs="Times New Roman" w:eastAsia="Times New Roman" w:hAnsi="Times New Roman"/>
          <w:sz w:val="20"/>
          <w:szCs w:val="20"/>
          <w:color w:val="auto"/>
        </w:rPr>
        <w:t>, any other holder from time to time of any Canadian Secured Obligations and, in each case, their respective successors and permitted assigns.</w:t>
      </w:r>
    </w:p>
    <w:p>
      <w:pPr>
        <w:spacing w:after="0" w:line="173" w:lineRule="exact"/>
        <w:rPr>
          <w:sz w:val="20"/>
          <w:szCs w:val="20"/>
          <w:color w:val="auto"/>
        </w:rPr>
      </w:pPr>
    </w:p>
    <w:p>
      <w:pPr>
        <w:jc w:val="both"/>
        <w:ind w:left="680" w:right="60" w:firstLine="642"/>
        <w:spacing w:after="0" w:line="27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Subsidiary</w:t>
      </w:r>
      <w:r>
        <w:rPr>
          <w:rFonts w:ascii="Times New Roman" w:cs="Times New Roman" w:eastAsia="Times New Roman" w:hAnsi="Times New Roman"/>
          <w:sz w:val="20"/>
          <w:szCs w:val="20"/>
          <w:color w:val="auto"/>
        </w:rPr>
        <w:t>” means any Subsidiary of Centuri that is organized under the laws of Canada or any province or territory thereof, including, without limitation, the Canadian Borrowers.</w:t>
      </w:r>
    </w:p>
    <w:p>
      <w:pPr>
        <w:spacing w:after="0" w:line="151" w:lineRule="exact"/>
        <w:rPr>
          <w:sz w:val="20"/>
          <w:szCs w:val="20"/>
          <w:color w:val="auto"/>
        </w:rPr>
      </w:pPr>
    </w:p>
    <w:p>
      <w:pPr>
        <w:jc w:val="both"/>
        <w:ind w:left="680" w:right="60" w:firstLine="642"/>
        <w:spacing w:after="0" w:line="26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Subsidiary Guarantors</w:t>
      </w:r>
      <w:r>
        <w:rPr>
          <w:rFonts w:ascii="Times New Roman" w:cs="Times New Roman" w:eastAsia="Times New Roman" w:hAnsi="Times New Roman"/>
          <w:sz w:val="20"/>
          <w:szCs w:val="20"/>
          <w:color w:val="auto"/>
        </w:rPr>
        <w:t xml:space="preserve">” means, collectively, all direct and indirect Canadian Subsidiaries in existence on the Closing Date (other than the Canadian Borrowers) or which become a party to the Canadian Credit Party Guarantee Agreement pursuant to </w:t>
      </w:r>
      <w:r>
        <w:rPr>
          <w:rFonts w:ascii="Times New Roman" w:cs="Times New Roman" w:eastAsia="Times New Roman" w:hAnsi="Times New Roman"/>
          <w:sz w:val="20"/>
          <w:szCs w:val="20"/>
          <w:u w:val="single" w:color="auto"/>
          <w:color w:val="auto"/>
        </w:rPr>
        <w:t>Section 8.14</w:t>
      </w:r>
      <w:r>
        <w:rPr>
          <w:rFonts w:ascii="Times New Roman" w:cs="Times New Roman" w:eastAsia="Times New Roman" w:hAnsi="Times New Roman"/>
          <w:sz w:val="20"/>
          <w:szCs w:val="20"/>
          <w:color w:val="auto"/>
        </w:rPr>
        <w:t>.</w:t>
      </w:r>
    </w:p>
    <w:p>
      <w:pPr>
        <w:spacing w:after="0" w:line="164" w:lineRule="exact"/>
        <w:rPr>
          <w:sz w:val="20"/>
          <w:szCs w:val="20"/>
          <w:color w:val="auto"/>
        </w:rPr>
      </w:pPr>
    </w:p>
    <w:p>
      <w:pPr>
        <w:jc w:val="both"/>
        <w:ind w:left="680" w:right="60" w:firstLine="642"/>
        <w:spacing w:after="0" w:line="30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Canadian Swingline Loan</w:t>
      </w:r>
      <w:r>
        <w:rPr>
          <w:rFonts w:ascii="Times New Roman" w:cs="Times New Roman" w:eastAsia="Times New Roman" w:hAnsi="Times New Roman"/>
          <w:sz w:val="19"/>
          <w:szCs w:val="19"/>
          <w:color w:val="auto"/>
        </w:rPr>
        <w:t xml:space="preserve">” means any swingline loan denominated in Canadian Dollars made by the applicable Swingline Lender to a Canadian Borrower pursuant to </w:t>
      </w:r>
      <w:r>
        <w:rPr>
          <w:rFonts w:ascii="Times New Roman" w:cs="Times New Roman" w:eastAsia="Times New Roman" w:hAnsi="Times New Roman"/>
          <w:sz w:val="19"/>
          <w:szCs w:val="19"/>
          <w:u w:val="single" w:color="auto"/>
          <w:color w:val="auto"/>
        </w:rPr>
        <w:t>Section 2.2</w:t>
      </w:r>
      <w:r>
        <w:rPr>
          <w:rFonts w:ascii="Times New Roman" w:cs="Times New Roman" w:eastAsia="Times New Roman" w:hAnsi="Times New Roman"/>
          <w:sz w:val="19"/>
          <w:szCs w:val="19"/>
          <w:color w:val="auto"/>
        </w:rPr>
        <w:t>, and all such swingline loans collectively as the context requires.</w:t>
      </w:r>
    </w:p>
    <w:p>
      <w:pPr>
        <w:spacing w:after="0" w:line="200" w:lineRule="exact"/>
        <w:rPr>
          <w:sz w:val="20"/>
          <w:szCs w:val="20"/>
          <w:color w:val="auto"/>
        </w:rPr>
      </w:pPr>
    </w:p>
    <w:p>
      <w:pPr>
        <w:spacing w:after="0" w:line="383" w:lineRule="exact"/>
        <w:rPr>
          <w:sz w:val="20"/>
          <w:szCs w:val="20"/>
          <w:color w:val="auto"/>
        </w:rPr>
      </w:pPr>
    </w:p>
    <w:p>
      <w:pPr>
        <w:spacing w:after="0"/>
        <w:tabs>
          <w:tab w:leader="none" w:pos="440" w:val="left"/>
        </w:tabs>
        <w:rPr>
          <w:sz w:val="20"/>
          <w:szCs w:val="20"/>
          <w:color w:val="auto"/>
        </w:rPr>
      </w:pPr>
      <w:r>
        <w:rPr>
          <w:sz w:val="1"/>
          <w:szCs w:val="1"/>
          <w:color w:val="auto"/>
        </w:rPr>
        <w:drawing>
          <wp:inline distT="0" distB="0" distL="0" distR="0">
            <wp:extent cx="8255" cy="101600"/>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27">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22</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ectPr>
          <w:pgSz w:w="11900" w:h="16838" w:orient="portrait"/>
          <w:cols w:equalWidth="0" w:num="1">
            <w:col w:w="11120"/>
          </w:cols>
          <w:pgMar w:left="320" w:top="1440" w:right="459" w:bottom="1440" w:gutter="0" w:footer="0" w:header="0"/>
        </w:sectPr>
      </w:pPr>
    </w:p>
    <w:bookmarkStart w:id="171" w:name="page172"/>
    <w:bookmarkEnd w:id="171"/>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440" w:val="left"/>
        </w:tabs>
        <w:rPr>
          <w:sz w:val="20"/>
          <w:szCs w:val="20"/>
          <w:color w:val="auto"/>
        </w:rPr>
      </w:pPr>
      <w:r>
        <w:rPr>
          <w:sz w:val="1"/>
          <w:szCs w:val="1"/>
          <w:color w:val="auto"/>
        </w:rPr>
        <w:drawing>
          <wp:inline distT="0" distB="0" distL="0" distR="0">
            <wp:extent cx="8255" cy="101600"/>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28">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23</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ectPr>
          <w:pgSz w:w="11900" w:h="16838" w:orient="portrait"/>
          <w:cols w:equalWidth="0" w:num="1">
            <w:col w:w="10139"/>
          </w:cols>
          <w:pgMar w:left="320" w:top="1440" w:right="1440" w:bottom="1440" w:gutter="0" w:footer="0" w:header="0"/>
        </w:sectPr>
      </w:pPr>
    </w:p>
    <w:bookmarkStart w:id="172" w:name="page173"/>
    <w:bookmarkEnd w:id="172"/>
    <w:p>
      <w:pPr>
        <w:spacing w:after="0" w:line="202" w:lineRule="exact"/>
        <w:rPr>
          <w:sz w:val="20"/>
          <w:szCs w:val="20"/>
          <w:color w:val="auto"/>
        </w:rPr>
      </w:pPr>
    </w:p>
    <w:p>
      <w:pPr>
        <w:jc w:val="both"/>
        <w:ind w:left="620" w:right="40" w:firstLine="642"/>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Swingline Note</w:t>
      </w:r>
      <w:r>
        <w:rPr>
          <w:rFonts w:ascii="Times New Roman" w:cs="Times New Roman" w:eastAsia="Times New Roman" w:hAnsi="Times New Roman"/>
          <w:sz w:val="20"/>
          <w:szCs w:val="20"/>
          <w:color w:val="auto"/>
        </w:rPr>
        <w:t xml:space="preserve">” means a promissory note made by the Canadian Borrowers in favor of the applicable Swingline Lender evidencing the Canadian Swingline Loans made by the Swingline Lender, substantially in the form attached as </w:t>
      </w:r>
      <w:r>
        <w:rPr>
          <w:rFonts w:ascii="Times New Roman" w:cs="Times New Roman" w:eastAsia="Times New Roman" w:hAnsi="Times New Roman"/>
          <w:sz w:val="20"/>
          <w:szCs w:val="20"/>
          <w:b w:val="1"/>
          <w:bCs w:val="1"/>
          <w:i w:val="1"/>
          <w:iCs w:val="1"/>
          <w:color w:val="auto"/>
        </w:rPr>
        <w:t>Exhibit A-4</w:t>
      </w:r>
      <w:r>
        <w:rPr>
          <w:rFonts w:ascii="Times New Roman" w:cs="Times New Roman" w:eastAsia="Times New Roman" w:hAnsi="Times New Roman"/>
          <w:sz w:val="20"/>
          <w:szCs w:val="20"/>
          <w:color w:val="auto"/>
        </w:rPr>
        <w:t>, and any substitutes therefor, and any replacements, restatements, renewals or extension thereof, in whole or in part.</w:t>
      </w:r>
    </w:p>
    <w:p>
      <w:pPr>
        <w:spacing w:after="0" w:line="171" w:lineRule="exact"/>
        <w:rPr>
          <w:sz w:val="20"/>
          <w:szCs w:val="20"/>
          <w:color w:val="auto"/>
        </w:rPr>
      </w:pPr>
    </w:p>
    <w:p>
      <w:pPr>
        <w:jc w:val="both"/>
        <w:ind w:left="620" w:right="20" w:firstLine="642"/>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Term Loan Note</w:t>
      </w:r>
      <w:r>
        <w:rPr>
          <w:rFonts w:ascii="Times New Roman" w:cs="Times New Roman" w:eastAsia="Times New Roman" w:hAnsi="Times New Roman"/>
          <w:sz w:val="20"/>
          <w:szCs w:val="20"/>
          <w:color w:val="auto"/>
        </w:rPr>
        <w:t xml:space="preserve">” means a promissory note made by any Canadian Borrower in favor of a Term Loan Lender evidencing the portion of any Incremental Term Loans made to such Canadian Borrower by such Term Loan Lender, substantially in the form attached as </w:t>
      </w:r>
      <w:r>
        <w:rPr>
          <w:rFonts w:ascii="Times New Roman" w:cs="Times New Roman" w:eastAsia="Times New Roman" w:hAnsi="Times New Roman"/>
          <w:sz w:val="20"/>
          <w:szCs w:val="20"/>
          <w:b w:val="1"/>
          <w:bCs w:val="1"/>
          <w:i w:val="1"/>
          <w:iCs w:val="1"/>
          <w:color w:val="auto"/>
        </w:rPr>
        <w:t>Exhibit A-6</w:t>
      </w:r>
      <w:r>
        <w:rPr>
          <w:rFonts w:ascii="Times New Roman" w:cs="Times New Roman" w:eastAsia="Times New Roman" w:hAnsi="Times New Roman"/>
          <w:sz w:val="20"/>
          <w:szCs w:val="20"/>
          <w:color w:val="auto"/>
        </w:rPr>
        <w:t>, and any substitutes therefor, and any replacements, restatements or extensions thereof, in whole or in part.</w:t>
      </w:r>
    </w:p>
    <w:p>
      <w:pPr>
        <w:spacing w:after="0" w:line="173" w:lineRule="exact"/>
        <w:rPr>
          <w:sz w:val="20"/>
          <w:szCs w:val="20"/>
          <w:color w:val="auto"/>
        </w:rPr>
      </w:pPr>
    </w:p>
    <w:p>
      <w:pPr>
        <w:jc w:val="both"/>
        <w:ind w:left="620" w:firstLine="642"/>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Termination Event</w:t>
      </w:r>
      <w:r>
        <w:rPr>
          <w:rFonts w:ascii="Times New Roman" w:cs="Times New Roman" w:eastAsia="Times New Roman" w:hAnsi="Times New Roman"/>
          <w:sz w:val="20"/>
          <w:szCs w:val="20"/>
          <w:color w:val="auto"/>
        </w:rPr>
        <w:t>” means a Canadian Pension Plan Unfunded Liability in excess of the Threshold Amount or the occurrence of any of the following which, individually or in the aggregate, has resulted or could reasonably be expected to result in liability of any Credit Party or any Subsidiary thereof in an aggregate amount in excess of the Threshold Amount: (a) the institution of any steps by any Governmental Authority to order the termination or wind-up, in full or in part, of any Canadian Employee Benefit Plan, (b) the institution of any steps by a Credit Party to terminate, in full or in part, any Canadian Pension Plan if such plan has a Canadian Pension Plan Unfunded Liability, (c) an event respecting any Canadian Employee Benefit Plan which could reasonably be expected to result in the revocation of the registration of such Canadian Employee Benefit Plan which could otherwise reasonably be expected to adversely affect the Tax status of any such Canadian Employee Benefit Plan, (d) any event or condition which would reasonably constitute grounds under Canadian Pension Laws for the full or partial termination of, or the appointment of a trustee or replacement administrator to administer, any Canadian Employee Benefit Plan, (e) the partial or complete withdrawal of any Credit Party from a Canadian Multiemployer Plan if a withdrawal liability is asserted by such plan or by any Governmental Authority, or (f) any event or condition which results in the increase in the liability of any Credit Party or any Subsidiary thereof under a Canadian Multiemployer Plan.</w:t>
      </w:r>
    </w:p>
    <w:p>
      <w:pPr>
        <w:spacing w:after="0" w:line="186" w:lineRule="exact"/>
        <w:rPr>
          <w:sz w:val="20"/>
          <w:szCs w:val="20"/>
          <w:color w:val="auto"/>
        </w:rPr>
      </w:pPr>
    </w:p>
    <w:p>
      <w:pPr>
        <w:jc w:val="both"/>
        <w:ind w:left="620" w:right="20" w:firstLine="642"/>
        <w:spacing w:after="0" w:line="26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Capital Expenditures</w:t>
      </w:r>
      <w:r>
        <w:rPr>
          <w:rFonts w:ascii="Times New Roman" w:cs="Times New Roman" w:eastAsia="Times New Roman" w:hAnsi="Times New Roman"/>
          <w:sz w:val="19"/>
          <w:szCs w:val="19"/>
          <w:color w:val="auto"/>
        </w:rPr>
        <w:t>” means, with respect to the Consolidated Companies on a Consolidated basis, for any period, (a) the additions to property, plant and equipment and other capital expenditures that are (or would be) set forth in a consolidated statement of cash flows of such Person for such period prepared in accordance with GAAP and (b) Capital Lease Obligations during such period, but excluding expenditures for the restoration, repair or replacement of any fixed or capital asset which was destroyed or damaged, in whole or in part, to the extent financed by the proceeds of an insurance policy maintained by such Person.</w:t>
      </w:r>
    </w:p>
    <w:p>
      <w:pPr>
        <w:spacing w:after="0" w:line="162" w:lineRule="exact"/>
        <w:rPr>
          <w:sz w:val="20"/>
          <w:szCs w:val="20"/>
          <w:color w:val="auto"/>
        </w:rPr>
      </w:pPr>
    </w:p>
    <w:p>
      <w:pPr>
        <w:jc w:val="both"/>
        <w:ind w:left="620" w:right="40" w:firstLine="642"/>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Lease Obligations</w:t>
      </w:r>
      <w:r>
        <w:rPr>
          <w:rFonts w:ascii="Times New Roman" w:cs="Times New Roman" w:eastAsia="Times New Roman" w:hAnsi="Times New Roman"/>
          <w:sz w:val="20"/>
          <w:szCs w:val="20"/>
          <w:color w:val="auto"/>
        </w:rPr>
        <w:t xml:space="preserve">” of any Person means, subject to </w:t>
      </w:r>
      <w:r>
        <w:rPr>
          <w:rFonts w:ascii="Times New Roman" w:cs="Times New Roman" w:eastAsia="Times New Roman" w:hAnsi="Times New Roman"/>
          <w:sz w:val="20"/>
          <w:szCs w:val="20"/>
          <w:u w:val="single" w:color="auto"/>
          <w:color w:val="auto"/>
        </w:rPr>
        <w:t>Section 1.3(b)</w:t>
      </w:r>
      <w:r>
        <w:rPr>
          <w:rFonts w:ascii="Times New Roman" w:cs="Times New Roman" w:eastAsia="Times New Roman" w:hAnsi="Times New Roman"/>
          <w:sz w:val="20"/>
          <w:szCs w:val="20"/>
          <w:color w:val="auto"/>
        </w:rPr>
        <w:t>, the obligations of such Person to pay rent or other amounts under any lease of (or other arrangement conveying the right to use) real or personal property, or a combination thereof, which obligations are required to be classified and accounted for as finance leases on a balance sheet of such Person under GAAP, and the amount of such obligations shall be the capitalized amount thereof determined in accordance with GAAP.</w:t>
      </w:r>
    </w:p>
    <w:p>
      <w:pPr>
        <w:spacing w:after="0" w:line="173" w:lineRule="exact"/>
        <w:rPr>
          <w:sz w:val="20"/>
          <w:szCs w:val="20"/>
          <w:color w:val="auto"/>
        </w:rPr>
      </w:pPr>
    </w:p>
    <w:p>
      <w:pPr>
        <w:jc w:val="both"/>
        <w:ind w:left="620" w:right="40" w:firstLine="642"/>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Collateralize</w:t>
      </w:r>
      <w:r>
        <w:rPr>
          <w:rFonts w:ascii="Times New Roman" w:cs="Times New Roman" w:eastAsia="Times New Roman" w:hAnsi="Times New Roman"/>
          <w:sz w:val="20"/>
          <w:szCs w:val="20"/>
          <w:color w:val="auto"/>
        </w:rPr>
        <w:t>” means, to deposit in a Controlled Account or to pledge and deposit with, or deliver to the Administrative Agent, or directly to the applicable Issuing Lender (with notice thereof to the Administrative Agent), for the benefit of one or more of the Issuing Lenders, one or both of the Swingline Lenders or the Lenders, as collateral for L/C Obligations or obligations of the Lenders to fund participations in respect of L/C Obligations or Swingline Loans, cash or deposit account balances or, if the Administrative Agent and the applicable Issuing Lender and/or the applicable Swingline Lender, as the case may be, shall agree, in their sole discretion, other credit support, in each case pursuant to documentation in form and substance satisfactory to the Administrative Agent, such Issuing Lender</w:t>
      </w:r>
    </w:p>
    <w:p>
      <w:pPr>
        <w:spacing w:after="0" w:line="200" w:lineRule="exact"/>
        <w:rPr>
          <w:sz w:val="20"/>
          <w:szCs w:val="20"/>
          <w:color w:val="auto"/>
        </w:rPr>
      </w:pPr>
    </w:p>
    <w:p>
      <w:pPr>
        <w:spacing w:after="0" w:line="39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24</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-34290</wp:posOffset>
            </wp:positionV>
            <wp:extent cx="8255" cy="1016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29">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1040"/>
          </w:cols>
          <w:pgMar w:left="380" w:top="1440" w:right="479" w:bottom="1440" w:gutter="0" w:footer="0" w:header="0"/>
        </w:sectPr>
      </w:pPr>
    </w:p>
    <w:bookmarkStart w:id="173" w:name="page174"/>
    <w:bookmarkEnd w:id="173"/>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440" w:val="left"/>
        </w:tabs>
        <w:rPr>
          <w:sz w:val="20"/>
          <w:szCs w:val="20"/>
          <w:color w:val="auto"/>
        </w:rPr>
      </w:pPr>
      <w:r>
        <w:rPr>
          <w:sz w:val="1"/>
          <w:szCs w:val="1"/>
          <w:color w:val="auto"/>
        </w:rPr>
        <w:drawing>
          <wp:inline distT="0" distB="0" distL="0" distR="0">
            <wp:extent cx="8255" cy="101600"/>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30">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25</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ectPr>
          <w:pgSz w:w="11900" w:h="16838" w:orient="portrait"/>
          <w:cols w:equalWidth="0" w:num="1">
            <w:col w:w="10139"/>
          </w:cols>
          <w:pgMar w:left="320" w:top="1440" w:right="1440" w:bottom="1440" w:gutter="0" w:footer="0" w:header="0"/>
        </w:sectPr>
      </w:pPr>
    </w:p>
    <w:bookmarkStart w:id="174" w:name="page175"/>
    <w:bookmarkEnd w:id="174"/>
    <w:p>
      <w:pPr>
        <w:spacing w:after="0" w:line="202" w:lineRule="exact"/>
        <w:rPr>
          <w:sz w:val="20"/>
          <w:szCs w:val="20"/>
          <w:color w:val="auto"/>
        </w:rPr>
      </w:pPr>
    </w:p>
    <w:p>
      <w:pPr>
        <w:ind w:left="680" w:right="120"/>
        <w:spacing w:after="0" w:line="263" w:lineRule="auto"/>
        <w:rPr>
          <w:sz w:val="20"/>
          <w:szCs w:val="20"/>
          <w:color w:val="auto"/>
        </w:rPr>
      </w:pPr>
      <w:r>
        <w:rPr>
          <w:rFonts w:ascii="Times New Roman" w:cs="Times New Roman" w:eastAsia="Times New Roman" w:hAnsi="Times New Roman"/>
          <w:sz w:val="20"/>
          <w:szCs w:val="20"/>
          <w:color w:val="auto"/>
        </w:rPr>
        <w:t>and/or such Swingline Lender, as applicable. “</w:t>
      </w:r>
      <w:r>
        <w:rPr>
          <w:rFonts w:ascii="Times New Roman" w:cs="Times New Roman" w:eastAsia="Times New Roman" w:hAnsi="Times New Roman"/>
          <w:sz w:val="20"/>
          <w:szCs w:val="20"/>
          <w:u w:val="single" w:color="auto"/>
          <w:color w:val="auto"/>
        </w:rPr>
        <w:t>Cash Collateral</w:t>
      </w:r>
      <w:r>
        <w:rPr>
          <w:rFonts w:ascii="Times New Roman" w:cs="Times New Roman" w:eastAsia="Times New Roman" w:hAnsi="Times New Roman"/>
          <w:sz w:val="20"/>
          <w:szCs w:val="20"/>
          <w:color w:val="auto"/>
        </w:rPr>
        <w:t>” shall have a meaning correlative to the foregoing and shall include the proceeds of such cash collateral and other credit support.</w:t>
      </w:r>
    </w:p>
    <w:p>
      <w:pPr>
        <w:spacing w:after="0" w:line="178" w:lineRule="exact"/>
        <w:rPr>
          <w:sz w:val="20"/>
          <w:szCs w:val="20"/>
          <w:color w:val="auto"/>
        </w:rPr>
      </w:pPr>
    </w:p>
    <w:p>
      <w:pPr>
        <w:ind w:left="680" w:right="120" w:firstLine="642"/>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Equivalents</w:t>
      </w:r>
      <w:r>
        <w:rPr>
          <w:rFonts w:ascii="Times New Roman" w:cs="Times New Roman" w:eastAsia="Times New Roman" w:hAnsi="Times New Roman"/>
          <w:sz w:val="20"/>
          <w:szCs w:val="20"/>
          <w:color w:val="auto"/>
        </w:rPr>
        <w:t>” means, collectively, (a) marketable direct obligations issued or unconditionally guaranteed by Canada or the United States (or any agency thereof) maturing within one</w:t>
      </w:r>
    </w:p>
    <w:p>
      <w:pPr>
        <w:spacing w:after="0" w:line="1" w:lineRule="exact"/>
        <w:rPr>
          <w:sz w:val="20"/>
          <w:szCs w:val="20"/>
          <w:color w:val="auto"/>
        </w:rPr>
      </w:pPr>
    </w:p>
    <w:p>
      <w:pPr>
        <w:jc w:val="both"/>
        <w:ind w:left="680" w:right="100" w:firstLine="4"/>
        <w:spacing w:after="0" w:line="258" w:lineRule="auto"/>
        <w:tabs>
          <w:tab w:leader="none" w:pos="96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year from the date of acquisition thereof, (b) commercial paper maturing no more than two hundred seventy (270) days from the date of creation thereof and currently having the highest rating obtainable from either S&amp;P or Moody’s (or, if at any time either S&amp;P or Moody’s are not rating such fund, an equivalent rating from another nationally recognized statistical rating agency), (c) investments in certificates of deposit, banker’s acceptances, money market deposits and time deposits maturing within one hundred eighty (180) days from the date of acquisition thereof issued or guaranteed by or placed with, and money market deposit accounts issued or offered by, any domestic office of any commercial bank organized under the laws of the United States of America or any state thereof that has a combined capital and surplus and undivided profits of not less than $500,000,000 and having a long-term debt rating of “A” or better by S&amp;P or “A2” or better from Moody’s (or, if at any time either S&amp;P or Moody’s are not rating the debt of such bank, an equivalent rating from another nationally recognized statistical rating agency), (d) time deposits maturing no more than thirty (30) days from the date of creation thereof with commercial banks or savings banks or savings and loan associations each having membership either in the FDIC or the CDIC or the deposits of which are insured by the FDIC or the CDIC and in amounts not exceeding the maximum amounts of insurance thereunder, and (e) investments in any money market fund or money market mutual fund that has (i) substantially all of its assets invested in the types of investments referred to in clauses (a) through (d) above,</w:t>
      </w:r>
    </w:p>
    <w:p>
      <w:pPr>
        <w:spacing w:after="0" w:line="9" w:lineRule="exact"/>
        <w:rPr>
          <w:rFonts w:ascii="Times New Roman" w:cs="Times New Roman" w:eastAsia="Times New Roman" w:hAnsi="Times New Roman"/>
          <w:sz w:val="19"/>
          <w:szCs w:val="19"/>
          <w:color w:val="auto"/>
        </w:rPr>
      </w:pPr>
    </w:p>
    <w:p>
      <w:pPr>
        <w:ind w:left="980" w:hanging="296"/>
        <w:spacing w:after="0" w:line="231" w:lineRule="auto"/>
        <w:tabs>
          <w:tab w:leader="none" w:pos="98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assets of not less than $250,000,000 and</w:t>
      </w:r>
    </w:p>
    <w:p>
      <w:pPr>
        <w:ind w:left="1020" w:hanging="336"/>
        <w:spacing w:after="0" w:line="237" w:lineRule="auto"/>
        <w:tabs>
          <w:tab w:leader="none" w:pos="102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rating of at least A-2 from S&amp;P or at least P-2 from Moody’s (or, if at any time either S&amp;P or</w:t>
      </w:r>
    </w:p>
    <w:p>
      <w:pPr>
        <w:ind w:left="680"/>
        <w:spacing w:after="0"/>
        <w:rPr>
          <w:sz w:val="20"/>
          <w:szCs w:val="20"/>
          <w:color w:val="auto"/>
        </w:rPr>
      </w:pPr>
      <w:r>
        <w:rPr>
          <w:rFonts w:ascii="Times New Roman" w:cs="Times New Roman" w:eastAsia="Times New Roman" w:hAnsi="Times New Roman"/>
          <w:sz w:val="20"/>
          <w:szCs w:val="20"/>
          <w:color w:val="auto"/>
        </w:rPr>
        <w:t>Moody’s are not rating such fund, an equivalent rating from another nationally recognized statistical rating agency).</w:t>
      </w:r>
    </w:p>
    <w:p>
      <w:pPr>
        <w:spacing w:after="0" w:line="189" w:lineRule="exact"/>
        <w:rPr>
          <w:sz w:val="20"/>
          <w:szCs w:val="20"/>
          <w:color w:val="auto"/>
        </w:rPr>
      </w:pPr>
    </w:p>
    <w:p>
      <w:pPr>
        <w:jc w:val="both"/>
        <w:ind w:left="680" w:right="120" w:firstLine="642"/>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Management Agreement</w:t>
      </w:r>
      <w:r>
        <w:rPr>
          <w:rFonts w:ascii="Times New Roman" w:cs="Times New Roman" w:eastAsia="Times New Roman" w:hAnsi="Times New Roman"/>
          <w:sz w:val="20"/>
          <w:szCs w:val="20"/>
          <w:color w:val="auto"/>
        </w:rPr>
        <w:t>” means any agreement to provide cash management services, including treasury, depository, overdraft, credit or debit card (including non-card electronic payables and purchasing cards), electronic funds transfer and other cash management arrangements.</w:t>
      </w:r>
    </w:p>
    <w:p>
      <w:pPr>
        <w:spacing w:after="0" w:line="18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Management Bank</w:t>
      </w:r>
      <w:r>
        <w:rPr>
          <w:rFonts w:ascii="Times New Roman" w:cs="Times New Roman" w:eastAsia="Times New Roman" w:hAnsi="Times New Roman"/>
          <w:sz w:val="20"/>
          <w:szCs w:val="20"/>
          <w:color w:val="auto"/>
        </w:rPr>
        <w:t>” means any US Cash Management Bank or Canadian Cash Management Bank.</w:t>
      </w:r>
    </w:p>
    <w:p>
      <w:pPr>
        <w:spacing w:after="0" w:line="21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CDIC</w:t>
      </w:r>
      <w:r>
        <w:rPr>
          <w:rFonts w:ascii="Times New Roman" w:cs="Times New Roman" w:eastAsia="Times New Roman" w:hAnsi="Times New Roman"/>
          <w:sz w:val="20"/>
          <w:szCs w:val="20"/>
          <w:color w:val="auto"/>
        </w:rPr>
        <w:t>” means the Canada Deposit Insurance Corporation.</w:t>
      </w:r>
    </w:p>
    <w:p>
      <w:pPr>
        <w:spacing w:after="0" w:line="225" w:lineRule="exact"/>
        <w:rPr>
          <w:sz w:val="20"/>
          <w:szCs w:val="20"/>
          <w:color w:val="auto"/>
        </w:rPr>
      </w:pPr>
    </w:p>
    <w:p>
      <w:pPr>
        <w:jc w:val="both"/>
        <w:ind w:left="680" w:right="100" w:firstLine="642"/>
        <w:spacing w:after="0" w:line="248" w:lineRule="auto"/>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CDOR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7F00"/>
        </w:rPr>
        <w:t>Rate</w:t>
      </w:r>
      <w:r>
        <w:rPr>
          <w:rFonts w:ascii="Times New Roman" w:cs="Times New Roman" w:eastAsia="Times New Roman" w:hAnsi="Times New Roman"/>
          <w:sz w:val="20"/>
          <w:szCs w:val="20"/>
          <w:color w:val="007F00"/>
        </w:rPr>
        <w:t>” means the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rate of interest</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7F00"/>
          <w:strike w:val="1"/>
        </w:rPr>
        <w:t>per annum</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determined</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7F00"/>
          <w:strike w:val="1"/>
        </w:rPr>
        <w:t>by the Administrative Agent</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on the basis of the rate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applicable to Canadian Dollar bankers’ acceptances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7F00"/>
          <w:strike w:val="1"/>
        </w:rPr>
        <w:t>for the applicable Interest Period</w:t>
      </w:r>
      <w:r>
        <w:rPr>
          <w:rFonts w:ascii="Times New Roman" w:cs="Times New Roman" w:eastAsia="Times New Roman" w:hAnsi="Times New Roman"/>
          <w:sz w:val="20"/>
          <w:szCs w:val="20"/>
          <w:color w:val="FF0000"/>
        </w:rPr>
        <w:t xml:space="preserve"> (or if such Interest Period is not equal to a number of months, for a term equivalent to the number of months closest to such Interest Period) appearing on the “CDOR Page”, or any successor page of Refinitiv Benchmark Services (UK) Limited (or such other page or commercially available source displaying Canadian interbank bid rates for Canadian Dollar bankers’ acceptances as may be designated by the Administrative Agent from time to time), as of 10:00 a.m. (Toronto, Ontario time) on the first day of the applicable Interest Period (or if such day is not a Business Day, then on the immediately preceding Business Day). Each calculation by the Administrative Agent of the CDOR Rate shall be conclusive and </w:t>
      </w:r>
      <w:r>
        <w:rPr>
          <w:rFonts w:ascii="Times New Roman" w:cs="Times New Roman" w:eastAsia="Times New Roman" w:hAnsi="Times New Roman"/>
          <w:sz w:val="20"/>
          <w:szCs w:val="20"/>
          <w:color w:val="FF0000"/>
          <w:strike w:val="1"/>
        </w:rPr>
        <w:t>binding for all purposes, absent manifest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-1123950</wp:posOffset>
            </wp:positionV>
            <wp:extent cx="85788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31">
                      <a:extLst>
                        <a:ext uri="{28A0092B-C50C-407E-A947-70E740481C1C}"/>
                      </a:extLst>
                    </a:blip>
                    <a:srcRect/>
                    <a:stretch>
                      <a:fillRect/>
                    </a:stretch>
                  </pic:blipFill>
                  <pic:spPr bwMode="auto">
                    <a:xfrm>
                      <a:off x="0" y="0"/>
                      <a:ext cx="857885" cy="8255"/>
                    </a:xfrm>
                    <a:prstGeom prst="rect">
                      <a:avLst/>
                    </a:prstGeom>
                    <a:noFill/>
                  </pic:spPr>
                </pic:pic>
              </a:graphicData>
            </a:graphic>
          </wp:anchor>
        </w:drawing>
      </w:r>
    </w:p>
    <w:p>
      <w:pPr>
        <w:spacing w:after="0" w:line="165" w:lineRule="exact"/>
        <w:rPr>
          <w:sz w:val="20"/>
          <w:szCs w:val="20"/>
          <w:color w:val="auto"/>
        </w:rPr>
      </w:pPr>
    </w:p>
    <w:p>
      <w:pPr>
        <w:ind w:left="680" w:firstLine="642"/>
        <w:spacing w:after="0" w:line="263" w:lineRule="auto"/>
        <w:rPr>
          <w:sz w:val="20"/>
          <w:szCs w:val="20"/>
          <w:color w:val="auto"/>
        </w:rPr>
      </w:pPr>
      <w:r>
        <w:rPr>
          <w:rFonts w:ascii="Times New Roman" w:cs="Times New Roman" w:eastAsia="Times New Roman" w:hAnsi="Times New Roman"/>
          <w:sz w:val="20"/>
          <w:szCs w:val="20"/>
          <w:color w:val="007F00"/>
          <w:strike w:val="1"/>
        </w:rPr>
        <w:t xml:space="preserve">Notwithstanding the </w:t>
      </w:r>
      <w:r>
        <w:rPr>
          <w:rFonts w:ascii="Times New Roman" w:cs="Times New Roman" w:eastAsia="Times New Roman" w:hAnsi="Times New Roman"/>
          <w:sz w:val="20"/>
          <w:szCs w:val="20"/>
          <w:color w:val="FF0000"/>
          <w:strike w:val="1"/>
        </w:rPr>
        <w:t>foregoing, if the CDOR Rate shall</w:t>
      </w:r>
      <w:r>
        <w:rPr>
          <w:rFonts w:ascii="Times New Roman" w:cs="Times New Roman" w:eastAsia="Times New Roman" w:hAnsi="Times New Roman"/>
          <w:sz w:val="20"/>
          <w:szCs w:val="20"/>
          <w:color w:val="007F00"/>
          <w:strike w:val="1"/>
        </w:rPr>
        <w:t xml:space="preserve"> be less than </w:t>
      </w:r>
      <w:r>
        <w:rPr>
          <w:rFonts w:ascii="Times New Roman" w:cs="Times New Roman" w:eastAsia="Times New Roman" w:hAnsi="Times New Roman"/>
          <w:sz w:val="20"/>
          <w:szCs w:val="20"/>
          <w:color w:val="FF0000"/>
          <w:strike w:val="1"/>
        </w:rPr>
        <w:t>zero, such rate shall</w:t>
      </w:r>
      <w:r>
        <w:rPr>
          <w:rFonts w:ascii="Times New Roman" w:cs="Times New Roman" w:eastAsia="Times New Roman" w:hAnsi="Times New Roman"/>
          <w:sz w:val="20"/>
          <w:szCs w:val="20"/>
          <w:color w:val="007F00"/>
          <w:strike w:val="1"/>
        </w:rPr>
        <w:t xml:space="preserve"> be deemed to be </w:t>
      </w:r>
      <w:r>
        <w:rPr>
          <w:rFonts w:ascii="Times New Roman" w:cs="Times New Roman" w:eastAsia="Times New Roman" w:hAnsi="Times New Roman"/>
          <w:sz w:val="20"/>
          <w:szCs w:val="20"/>
          <w:color w:val="FF0000"/>
          <w:strike w:val="1"/>
        </w:rPr>
        <w:t>zero</w:t>
      </w:r>
      <w:r>
        <w:rPr>
          <w:rFonts w:ascii="Times New Roman" w:cs="Times New Roman" w:eastAsia="Times New Roman" w:hAnsi="Times New Roman"/>
          <w:sz w:val="20"/>
          <w:szCs w:val="20"/>
          <w:color w:val="007F00"/>
          <w:strike w:val="1"/>
        </w:rPr>
        <w:t xml:space="preserve"> for purposes of </w:t>
      </w:r>
      <w:r>
        <w:rPr>
          <w:rFonts w:ascii="Times New Roman" w:cs="Times New Roman" w:eastAsia="Times New Roman" w:hAnsi="Times New Roman"/>
          <w:sz w:val="20"/>
          <w:szCs w:val="20"/>
          <w:color w:val="FF0000"/>
          <w:strike w:val="1"/>
        </w:rPr>
        <w:t>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440" w:val="left"/>
        </w:tabs>
        <w:rPr>
          <w:sz w:val="20"/>
          <w:szCs w:val="20"/>
          <w:color w:val="auto"/>
        </w:rPr>
      </w:pPr>
      <w:r>
        <w:rPr>
          <w:sz w:val="1"/>
          <w:szCs w:val="1"/>
          <w:color w:val="auto"/>
        </w:rPr>
        <w:drawing>
          <wp:inline distT="0" distB="0" distL="0" distR="0">
            <wp:extent cx="8255" cy="101600"/>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32">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26</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ectPr>
          <w:pgSz w:w="11900" w:h="16838" w:orient="portrait"/>
          <w:cols w:equalWidth="0" w:num="1">
            <w:col w:w="11180"/>
          </w:cols>
          <w:pgMar w:left="320" w:top="1440" w:right="399" w:bottom="1440" w:gutter="0" w:footer="0" w:header="0"/>
        </w:sectPr>
      </w:pPr>
    </w:p>
    <w:bookmarkStart w:id="175" w:name="page176"/>
    <w:bookmarkEnd w:id="175"/>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CDOR Rate</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007F00"/>
          <w:strike w:val="1"/>
        </w:rPr>
        <w:t>Loan</w:t>
      </w:r>
      <w:r>
        <w:rPr>
          <w:rFonts w:ascii="Times New Roman" w:cs="Times New Roman" w:eastAsia="Times New Roman" w:hAnsi="Times New Roman"/>
          <w:sz w:val="20"/>
          <w:szCs w:val="20"/>
          <w:color w:val="007F00"/>
          <w:strike w:val="1"/>
        </w:rPr>
        <w:t>” means</w:t>
      </w:r>
      <w:r>
        <w:rPr>
          <w:rFonts w:ascii="Times New Roman" w:cs="Times New Roman" w:eastAsia="Times New Roman" w:hAnsi="Times New Roman"/>
          <w:sz w:val="20"/>
          <w:szCs w:val="20"/>
          <w:color w:val="FF0000"/>
          <w:strike w:val="1"/>
        </w:rPr>
        <w:t xml:space="preserve"> any Loan bearing </w:t>
      </w:r>
      <w:r>
        <w:rPr>
          <w:rFonts w:ascii="Times New Roman" w:cs="Times New Roman" w:eastAsia="Times New Roman" w:hAnsi="Times New Roman"/>
          <w:sz w:val="20"/>
          <w:szCs w:val="20"/>
          <w:color w:val="007F00"/>
          <w:strike w:val="1"/>
        </w:rPr>
        <w:t>interest at a rate</w:t>
      </w:r>
      <w:r>
        <w:rPr>
          <w:rFonts w:ascii="Times New Roman" w:cs="Times New Roman" w:eastAsia="Times New Roman" w:hAnsi="Times New Roman"/>
          <w:sz w:val="20"/>
          <w:szCs w:val="20"/>
          <w:color w:val="FF0000"/>
          <w:strike w:val="1"/>
        </w:rPr>
        <w:t xml:space="preserve"> determined </w:t>
      </w:r>
      <w:r>
        <w:rPr>
          <w:rFonts w:ascii="Times New Roman" w:cs="Times New Roman" w:eastAsia="Times New Roman" w:hAnsi="Times New Roman"/>
          <w:sz w:val="20"/>
          <w:szCs w:val="20"/>
          <w:color w:val="007F00"/>
          <w:strike w:val="1"/>
        </w:rPr>
        <w:t>by reference to</w:t>
      </w:r>
      <w:r>
        <w:rPr>
          <w:rFonts w:ascii="Times New Roman" w:cs="Times New Roman" w:eastAsia="Times New Roman" w:hAnsi="Times New Roman"/>
          <w:sz w:val="20"/>
          <w:szCs w:val="20"/>
          <w:color w:val="FF0000"/>
          <w:strike w:val="1"/>
        </w:rPr>
        <w:t xml:space="preserve"> the CDOR Rate.</w:t>
      </w:r>
    </w:p>
    <w:p>
      <w:pPr>
        <w:spacing w:after="0" w:line="2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Centuri</w:t>
      </w:r>
      <w:r>
        <w:rPr>
          <w:rFonts w:ascii="Times New Roman" w:cs="Times New Roman" w:eastAsia="Times New Roman" w:hAnsi="Times New Roman"/>
          <w:sz w:val="20"/>
          <w:szCs w:val="20"/>
          <w:color w:val="auto"/>
        </w:rPr>
        <w:t>” means Centuri Group, Inc. (formerly known as Centuri Construction Group, Inc.), a Nevada corporation.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Centuri Canada</w:t>
      </w:r>
      <w:r>
        <w:rPr>
          <w:rFonts w:ascii="Times New Roman" w:cs="Times New Roman" w:eastAsia="Times New Roman" w:hAnsi="Times New Roman"/>
          <w:sz w:val="20"/>
          <w:szCs w:val="20"/>
          <w:color w:val="auto"/>
        </w:rPr>
        <w:t>” means Centuri Canada Division Inc., a corporation organized under the laws of the Province of Ontario,</w:t>
      </w:r>
    </w:p>
    <w:p>
      <w:pPr>
        <w:spacing w:after="0" w:line="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Canada.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Centuri U.S. Division</w:t>
      </w:r>
      <w:r>
        <w:rPr>
          <w:rFonts w:ascii="Times New Roman" w:cs="Times New Roman" w:eastAsia="Times New Roman" w:hAnsi="Times New Roman"/>
          <w:sz w:val="19"/>
          <w:szCs w:val="19"/>
          <w:color w:val="auto"/>
        </w:rPr>
        <w:t>” means Centuri U.S. Division, Inc., formerly known as Meritus Group, Inc., a Nevada corporation.</w:t>
      </w:r>
    </w:p>
    <w:p>
      <w:pPr>
        <w:spacing w:after="0" w:line="223" w:lineRule="exact"/>
        <w:rPr>
          <w:sz w:val="20"/>
          <w:szCs w:val="20"/>
          <w:color w:val="auto"/>
        </w:rPr>
      </w:pPr>
    </w:p>
    <w:p>
      <w:pPr>
        <w:ind w:left="620" w:right="60" w:firstLine="642"/>
        <w:spacing w:after="0" w:line="27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CFC</w:t>
      </w:r>
      <w:r>
        <w:rPr>
          <w:rFonts w:ascii="Times New Roman" w:cs="Times New Roman" w:eastAsia="Times New Roman" w:hAnsi="Times New Roman"/>
          <w:sz w:val="20"/>
          <w:szCs w:val="20"/>
          <w:color w:val="auto"/>
        </w:rPr>
        <w:t>” means a Foreign Subsidiary that is a “controlled foreign corporation” under Section 957 of the Code and any Subsidiary owned directly or indirectly by such Foreign Subsidiary.</w:t>
      </w:r>
    </w:p>
    <w:p>
      <w:pPr>
        <w:spacing w:after="0" w:line="151" w:lineRule="exact"/>
        <w:rPr>
          <w:sz w:val="20"/>
          <w:szCs w:val="20"/>
          <w:color w:val="auto"/>
        </w:rPr>
      </w:pPr>
    </w:p>
    <w:p>
      <w:pPr>
        <w:jc w:val="both"/>
        <w:ind w:left="620" w:firstLine="642"/>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CFC Holdco</w:t>
      </w:r>
      <w:r>
        <w:rPr>
          <w:rFonts w:ascii="Times New Roman" w:cs="Times New Roman" w:eastAsia="Times New Roman" w:hAnsi="Times New Roman"/>
          <w:sz w:val="20"/>
          <w:szCs w:val="20"/>
          <w:color w:val="auto"/>
        </w:rPr>
        <w:t>” means a Subsidiary substantially all the assets of which consist of Equity Interests in Foreign Subsidiaries that each constitute a CFC and/or Indebtedness or accounts receivable owed by Foreign Subsidiaries that each constitute a CFC or are treated as owed by any such Foreign Subsidiaries for U.S. federal income tax purposes.</w:t>
      </w:r>
    </w:p>
    <w:p>
      <w:pPr>
        <w:spacing w:after="0" w:line="184" w:lineRule="exact"/>
        <w:rPr>
          <w:sz w:val="20"/>
          <w:szCs w:val="20"/>
          <w:color w:val="auto"/>
        </w:rPr>
      </w:pPr>
    </w:p>
    <w:p>
      <w:pPr>
        <w:jc w:val="both"/>
        <w:ind w:left="620" w:right="20" w:firstLine="642"/>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means an event or series of events by which (a) Centuri shall fail to own, directly or indirectly, and control (i) one hundred percent (100%) on a fully diluted basis of the economic and voting Equity Interests of each US Borrower, and (ii) one hundred percent (100%) on a fully diluted basis of the economic and voting Equity Interests of Centuri Canada or (b) Southwest Gas shall fail to own, directly or indirectly, and control at least fifty-one percent (51%) on a fully diluted basis of the economic and voting Equity Interests of each of the Borrowers.</w:t>
      </w:r>
    </w:p>
    <w:p>
      <w:pPr>
        <w:spacing w:after="0" w:line="180" w:lineRule="exact"/>
        <w:rPr>
          <w:sz w:val="20"/>
          <w:szCs w:val="20"/>
          <w:color w:val="auto"/>
        </w:rPr>
      </w:pPr>
    </w:p>
    <w:p>
      <w:pPr>
        <w:jc w:val="both"/>
        <w:ind w:left="620" w:right="40" w:firstLine="642"/>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Law</w:t>
      </w:r>
      <w:r>
        <w:rPr>
          <w:rFonts w:ascii="Times New Roman" w:cs="Times New Roman" w:eastAsia="Times New Roman" w:hAnsi="Times New Roman"/>
          <w:sz w:val="20"/>
          <w:szCs w:val="20"/>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anything herein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implemented or issued.</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CIBC</w:t>
      </w:r>
      <w:r>
        <w:rPr>
          <w:rFonts w:ascii="Times New Roman" w:cs="Times New Roman" w:eastAsia="Times New Roman" w:hAnsi="Times New Roman"/>
          <w:sz w:val="20"/>
          <w:szCs w:val="20"/>
          <w:color w:val="auto"/>
        </w:rPr>
        <w:t>” means Canadian Imperial Bank of Commerce.</w:t>
      </w:r>
    </w:p>
    <w:p>
      <w:pPr>
        <w:spacing w:after="0" w:line="211" w:lineRule="exact"/>
        <w:rPr>
          <w:sz w:val="20"/>
          <w:szCs w:val="20"/>
          <w:color w:val="auto"/>
        </w:rPr>
      </w:pPr>
    </w:p>
    <w:p>
      <w:pPr>
        <w:jc w:val="both"/>
        <w:ind w:left="620" w:right="60" w:firstLine="642"/>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Class</w:t>
      </w:r>
      <w:r>
        <w:rPr>
          <w:rFonts w:ascii="Times New Roman" w:cs="Times New Roman" w:eastAsia="Times New Roman" w:hAnsi="Times New Roman"/>
          <w:sz w:val="20"/>
          <w:szCs w:val="20"/>
          <w:color w:val="auto"/>
        </w:rPr>
        <w:t>” means (a) when used in reference to any Loan, whether such Loan is a Revolving Credit Loan, Swingline Loan, Term Loan, Extended Term Loan, Extended Revolving Credit Loan, Refinancing Revolving Loan of a given Refinancing Series or Refinancing Term Loan of a given Refinancing Series, and (b) when used in reference to any Commitment, whether such Commitment is a Revolving Credit Commitment, a Term Loan Commitment, an Extended Revolving Credit Commitment or Refinancing Revolving Credit Commitment of a given Refinancing Series.</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means the date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27</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-34290</wp:posOffset>
            </wp:positionV>
            <wp:extent cx="8255" cy="1016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33">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1060"/>
          </w:cols>
          <w:pgMar w:left="380" w:top="1440" w:right="459" w:bottom="1440" w:gutter="0" w:footer="0" w:header="0"/>
        </w:sectPr>
      </w:pPr>
    </w:p>
    <w:bookmarkStart w:id="176" w:name="page177"/>
    <w:bookmarkEnd w:id="176"/>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United States Internal Revenue Code of 1986, and the rules and regulations promulgated thereunder.</w:t>
      </w:r>
    </w:p>
    <w:p>
      <w:pPr>
        <w:spacing w:after="0" w:line="211" w:lineRule="exact"/>
        <w:rPr>
          <w:sz w:val="20"/>
          <w:szCs w:val="20"/>
          <w:color w:val="auto"/>
        </w:rPr>
      </w:pPr>
    </w:p>
    <w:p>
      <w:pPr>
        <w:ind w:left="620" w:right="80" w:firstLine="642"/>
        <w:spacing w:after="0" w:line="27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means the collateral security for the Secured Obligations pledged or granted pursuant to the Security Documents.</w:t>
      </w:r>
    </w:p>
    <w:p>
      <w:pPr>
        <w:spacing w:after="0" w:line="15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 Fee</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5.3(a)</w:t>
      </w:r>
      <w:r>
        <w:rPr>
          <w:rFonts w:ascii="Times New Roman" w:cs="Times New Roman" w:eastAsia="Times New Roman" w:hAnsi="Times New Roman"/>
          <w:sz w:val="20"/>
          <w:szCs w:val="20"/>
          <w:color w:val="auto"/>
        </w:rPr>
        <w:t>.</w:t>
      </w:r>
    </w:p>
    <w:p>
      <w:pPr>
        <w:spacing w:after="0" w:line="225" w:lineRule="exact"/>
        <w:rPr>
          <w:sz w:val="20"/>
          <w:szCs w:val="20"/>
          <w:color w:val="auto"/>
        </w:rPr>
      </w:pPr>
    </w:p>
    <w:p>
      <w:pPr>
        <w:ind w:left="620" w:right="80" w:firstLine="642"/>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 Percentage</w:t>
      </w:r>
      <w:r>
        <w:rPr>
          <w:rFonts w:ascii="Times New Roman" w:cs="Times New Roman" w:eastAsia="Times New Roman" w:hAnsi="Times New Roman"/>
          <w:sz w:val="20"/>
          <w:szCs w:val="20"/>
          <w:color w:val="auto"/>
        </w:rPr>
        <w:t>” means, as to any Lender, such Lender’s Revolving Credit Commitment Percentage or Term Loan Percentage, as applicable.</w:t>
      </w:r>
    </w:p>
    <w:p>
      <w:pPr>
        <w:spacing w:after="0" w:line="178" w:lineRule="exact"/>
        <w:rPr>
          <w:sz w:val="20"/>
          <w:szCs w:val="20"/>
          <w:color w:val="auto"/>
        </w:rPr>
      </w:pPr>
    </w:p>
    <w:p>
      <w:pPr>
        <w:ind w:left="620" w:right="80" w:firstLine="642"/>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Commitments</w:t>
      </w:r>
      <w:r>
        <w:rPr>
          <w:rFonts w:ascii="Times New Roman" w:cs="Times New Roman" w:eastAsia="Times New Roman" w:hAnsi="Times New Roman"/>
          <w:sz w:val="20"/>
          <w:szCs w:val="20"/>
          <w:color w:val="auto"/>
        </w:rPr>
        <w:t>” means, collectively, as to all Lenders, the Revolving Credit Commitments and the Term Loan Commitments of such Lenders.</w:t>
      </w:r>
    </w:p>
    <w:p>
      <w:pPr>
        <w:spacing w:after="0" w:line="1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Commodity Exchange Act</w:t>
      </w:r>
      <w:r>
        <w:rPr>
          <w:rFonts w:ascii="Times New Roman" w:cs="Times New Roman" w:eastAsia="Times New Roman" w:hAnsi="Times New Roman"/>
          <w:sz w:val="19"/>
          <w:szCs w:val="19"/>
          <w:color w:val="auto"/>
        </w:rPr>
        <w:t>” means the Commodity Exchange Act (7 U.S.C. § 1 et seq.). “</w:t>
      </w:r>
      <w:r>
        <w:rPr>
          <w:rFonts w:ascii="Times New Roman" w:cs="Times New Roman" w:eastAsia="Times New Roman" w:hAnsi="Times New Roman"/>
          <w:sz w:val="19"/>
          <w:szCs w:val="19"/>
          <w:u w:val="single" w:color="auto"/>
          <w:color w:val="auto"/>
        </w:rPr>
        <w:t>Connection Income Taxes</w:t>
      </w:r>
      <w:r>
        <w:rPr>
          <w:rFonts w:ascii="Times New Roman" w:cs="Times New Roman" w:eastAsia="Times New Roman" w:hAnsi="Times New Roman"/>
          <w:sz w:val="19"/>
          <w:szCs w:val="19"/>
          <w:color w:val="auto"/>
        </w:rPr>
        <w:t>” means</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Other Connection Taxes that are imposed on or measured by</w:t>
      </w:r>
    </w:p>
    <w:p>
      <w:pPr>
        <w:spacing w:after="0" w:line="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net income (however denominated) or that are franchise Taxes or branch profits Taxes.</w:t>
      </w:r>
    </w:p>
    <w:p>
      <w:pPr>
        <w:spacing w:after="0" w:line="191" w:lineRule="exact"/>
        <w:rPr>
          <w:sz w:val="20"/>
          <w:szCs w:val="20"/>
          <w:color w:val="auto"/>
        </w:rPr>
      </w:pPr>
    </w:p>
    <w:p>
      <w:pPr>
        <w:ind w:left="620" w:right="80" w:firstLine="642"/>
        <w:spacing w:after="0" w:line="27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w:t>
      </w:r>
      <w:r>
        <w:rPr>
          <w:rFonts w:ascii="Times New Roman" w:cs="Times New Roman" w:eastAsia="Times New Roman" w:hAnsi="Times New Roman"/>
          <w:sz w:val="20"/>
          <w:szCs w:val="20"/>
          <w:color w:val="auto"/>
        </w:rPr>
        <w:t>” means, when used with reference to financial statements or financial statement items of any Person, such statements or items on a consolidated basis in accordance with applicable principles of consolidation under GAAP.</w:t>
      </w:r>
    </w:p>
    <w:p>
      <w:pPr>
        <w:spacing w:after="0" w:line="15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Companies</w:t>
      </w:r>
      <w:r>
        <w:rPr>
          <w:rFonts w:ascii="Times New Roman" w:cs="Times New Roman" w:eastAsia="Times New Roman" w:hAnsi="Times New Roman"/>
          <w:sz w:val="20"/>
          <w:szCs w:val="20"/>
          <w:color w:val="auto"/>
        </w:rPr>
        <w:t>” means Centuri and its Subsidiaries.</w:t>
      </w:r>
    </w:p>
    <w:p>
      <w:pPr>
        <w:spacing w:after="0" w:line="225" w:lineRule="exact"/>
        <w:rPr>
          <w:sz w:val="20"/>
          <w:szCs w:val="20"/>
          <w:color w:val="auto"/>
        </w:rPr>
      </w:pPr>
    </w:p>
    <w:p>
      <w:pPr>
        <w:ind w:left="620" w:right="80" w:firstLine="642"/>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EBITDA</w:t>
      </w:r>
      <w:r>
        <w:rPr>
          <w:rFonts w:ascii="Times New Roman" w:cs="Times New Roman" w:eastAsia="Times New Roman" w:hAnsi="Times New Roman"/>
          <w:sz w:val="20"/>
          <w:szCs w:val="20"/>
          <w:color w:val="auto"/>
        </w:rPr>
        <w:t>” means, for any period, the sum of the following determined on a Consolidated basis, without duplication, for the Consolidated Companies in accordance with GAAP:</w:t>
      </w:r>
    </w:p>
    <w:p>
      <w:pPr>
        <w:spacing w:after="0" w:line="178" w:lineRule="exact"/>
        <w:rPr>
          <w:sz w:val="20"/>
          <w:szCs w:val="20"/>
          <w:color w:val="auto"/>
        </w:rPr>
      </w:pPr>
    </w:p>
    <w:p>
      <w:pPr>
        <w:ind w:left="2220" w:hanging="311"/>
        <w:spacing w:after="0"/>
        <w:tabs>
          <w:tab w:leader="none" w:pos="222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Consolidated Net Income for such period </w:t>
      </w:r>
      <w:r>
        <w:rPr>
          <w:rFonts w:ascii="Times New Roman" w:cs="Times New Roman" w:eastAsia="Times New Roman" w:hAnsi="Times New Roman"/>
          <w:sz w:val="20"/>
          <w:szCs w:val="20"/>
          <w:u w:val="single" w:color="auto"/>
          <w:color w:val="auto"/>
        </w:rPr>
        <w:t>plus</w:t>
      </w:r>
    </w:p>
    <w:p>
      <w:pPr>
        <w:spacing w:after="0" w:line="211" w:lineRule="exact"/>
        <w:rPr>
          <w:rFonts w:ascii="Times New Roman" w:cs="Times New Roman" w:eastAsia="Times New Roman" w:hAnsi="Times New Roman"/>
          <w:sz w:val="20"/>
          <w:szCs w:val="20"/>
          <w:color w:val="auto"/>
        </w:rPr>
      </w:pPr>
    </w:p>
    <w:p>
      <w:pPr>
        <w:ind w:left="620" w:right="580" w:firstLine="646"/>
        <w:spacing w:after="0" w:line="277" w:lineRule="auto"/>
        <w:tabs>
          <w:tab w:leader="none" w:pos="1865"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the following, without duplication, to the extent deducted in determining Consolidated Net Income (other than as set forth in clause (b)(x)(B)) for such period:</w:t>
      </w:r>
    </w:p>
    <w:p>
      <w:pPr>
        <w:spacing w:after="0" w:line="151" w:lineRule="exact"/>
        <w:rPr>
          <w:rFonts w:ascii="Times New Roman" w:cs="Times New Roman" w:eastAsia="Times New Roman" w:hAnsi="Times New Roman"/>
          <w:sz w:val="20"/>
          <w:szCs w:val="20"/>
          <w:color w:val="auto"/>
        </w:rPr>
      </w:pPr>
    </w:p>
    <w:p>
      <w:pPr>
        <w:ind w:left="2540" w:hanging="631"/>
        <w:spacing w:after="0"/>
        <w:tabs>
          <w:tab w:leader="none" w:pos="254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income and franchise taxes,</w:t>
      </w:r>
    </w:p>
    <w:p>
      <w:pPr>
        <w:spacing w:after="0" w:line="225" w:lineRule="exact"/>
        <w:rPr>
          <w:sz w:val="20"/>
          <w:szCs w:val="20"/>
          <w:color w:val="auto"/>
        </w:rPr>
      </w:pPr>
    </w:p>
    <w:p>
      <w:pPr>
        <w:ind w:left="2540" w:hanging="631"/>
        <w:spacing w:after="0"/>
        <w:tabs>
          <w:tab w:leader="none" w:pos="254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Interest Expense,</w:t>
      </w:r>
    </w:p>
    <w:p>
      <w:pPr>
        <w:spacing w:after="0" w:line="211" w:lineRule="exact"/>
        <w:rPr>
          <w:rFonts w:ascii="Times New Roman" w:cs="Times New Roman" w:eastAsia="Times New Roman" w:hAnsi="Times New Roman"/>
          <w:sz w:val="20"/>
          <w:szCs w:val="20"/>
          <w:color w:val="auto"/>
        </w:rPr>
      </w:pPr>
    </w:p>
    <w:p>
      <w:pPr>
        <w:jc w:val="both"/>
        <w:ind w:left="1260" w:right="80" w:firstLine="648"/>
        <w:spacing w:after="0" w:line="272" w:lineRule="auto"/>
        <w:tabs>
          <w:tab w:leader="none" w:pos="2503"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amortization (including, for the avoidance of doubt, impairment charges, and amortization of goodwill and intangible assets acquired or arising from a business acquisition, regardless of whether presented as a separate line item or included in other book entries), depreciation and other non-cash charges (except to the extent that such non-cash charges are reserved for cash charges to be taken in the future), including any non-cash equity based compensation expense,</w:t>
      </w:r>
    </w:p>
    <w:p>
      <w:pPr>
        <w:spacing w:after="0" w:line="159" w:lineRule="exact"/>
        <w:rPr>
          <w:rFonts w:ascii="Times New Roman" w:cs="Times New Roman" w:eastAsia="Times New Roman" w:hAnsi="Times New Roman"/>
          <w:sz w:val="19"/>
          <w:szCs w:val="19"/>
          <w:color w:val="auto"/>
        </w:rPr>
      </w:pPr>
    </w:p>
    <w:p>
      <w:pPr>
        <w:ind w:left="1260" w:right="80" w:firstLine="648"/>
        <w:spacing w:after="0" w:line="277" w:lineRule="auto"/>
        <w:tabs>
          <w:tab w:leader="none" w:pos="2506"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non-recurring expenses and restructuring charges reducing Consolidated Net Income which do not represent a cash item in such period,</w:t>
      </w:r>
    </w:p>
    <w:p>
      <w:pPr>
        <w:spacing w:after="0" w:line="151" w:lineRule="exact"/>
        <w:rPr>
          <w:rFonts w:ascii="Times New Roman" w:cs="Times New Roman" w:eastAsia="Times New Roman" w:hAnsi="Times New Roman"/>
          <w:sz w:val="20"/>
          <w:szCs w:val="20"/>
          <w:color w:val="auto"/>
        </w:rPr>
      </w:pPr>
    </w:p>
    <w:p>
      <w:pPr>
        <w:ind w:left="2540" w:hanging="631"/>
        <w:spacing w:after="0"/>
        <w:tabs>
          <w:tab w:leader="none" w:pos="254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one-time fees and expenses in connection with the Drum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28</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-43180</wp:posOffset>
            </wp:positionV>
            <wp:extent cx="8255" cy="1016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34">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1080"/>
          </w:cols>
          <w:pgMar w:left="380" w:top="1440" w:right="439" w:bottom="1440" w:gutter="0" w:footer="0" w:header="0"/>
        </w:sectPr>
      </w:pPr>
    </w:p>
    <w:bookmarkStart w:id="177" w:name="page178"/>
    <w:bookmarkEnd w:id="177"/>
    <w:p>
      <w:pPr>
        <w:spacing w:after="0" w:line="202" w:lineRule="exact"/>
        <w:rPr>
          <w:sz w:val="20"/>
          <w:szCs w:val="20"/>
          <w:color w:val="auto"/>
        </w:rPr>
      </w:pPr>
    </w:p>
    <w:p>
      <w:pPr>
        <w:ind w:left="1260" w:right="60" w:firstLine="648"/>
        <w:spacing w:after="0" w:line="263" w:lineRule="auto"/>
        <w:tabs>
          <w:tab w:leader="none" w:pos="2506"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unrealized losses resulting from mark to market accounting for hedging activities, including, without limitation those resulting from the application of FASB Accounting Standards Codification 815,</w:t>
      </w:r>
    </w:p>
    <w:p>
      <w:pPr>
        <w:spacing w:after="0" w:line="178" w:lineRule="exact"/>
        <w:rPr>
          <w:rFonts w:ascii="Times New Roman" w:cs="Times New Roman" w:eastAsia="Times New Roman" w:hAnsi="Times New Roman"/>
          <w:sz w:val="20"/>
          <w:szCs w:val="20"/>
          <w:color w:val="auto"/>
        </w:rPr>
      </w:pPr>
    </w:p>
    <w:p>
      <w:pPr>
        <w:ind w:left="2520" w:hanging="612"/>
        <w:spacing w:after="0"/>
        <w:tabs>
          <w:tab w:leader="none" w:pos="252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unrealized non-cash losses resulting from foreign currency balance sheet adjustments required by</w:t>
      </w:r>
    </w:p>
    <w:p>
      <w:pPr>
        <w:spacing w:after="0" w:line="19" w:lineRule="exact"/>
        <w:rPr>
          <w:rFonts w:ascii="Times New Roman" w:cs="Times New Roman" w:eastAsia="Times New Roman" w:hAnsi="Times New Roman"/>
          <w:sz w:val="20"/>
          <w:szCs w:val="20"/>
          <w:color w:val="auto"/>
        </w:rPr>
      </w:pPr>
    </w:p>
    <w:p>
      <w:pPr>
        <w:ind w:left="12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GAAP,</w:t>
      </w:r>
    </w:p>
    <w:p>
      <w:pPr>
        <w:spacing w:after="0" w:line="202" w:lineRule="exact"/>
        <w:rPr>
          <w:rFonts w:ascii="Times New Roman" w:cs="Times New Roman" w:eastAsia="Times New Roman" w:hAnsi="Times New Roman"/>
          <w:sz w:val="20"/>
          <w:szCs w:val="20"/>
          <w:color w:val="auto"/>
        </w:rPr>
      </w:pPr>
    </w:p>
    <w:p>
      <w:pPr>
        <w:jc w:val="both"/>
        <w:ind w:left="1260" w:right="20" w:firstLine="648"/>
        <w:spacing w:after="0" w:line="257" w:lineRule="auto"/>
        <w:tabs>
          <w:tab w:leader="none" w:pos="2508"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transaction fees, charges and other amounts related to this Agreement and any amendment or other modification to the Loan Documents, in each case to the extent paid within six (6) months of the Closing Date or the effectiveness of such amendment or other modification,</w:t>
      </w:r>
    </w:p>
    <w:p>
      <w:pPr>
        <w:spacing w:after="0" w:line="170" w:lineRule="exact"/>
        <w:rPr>
          <w:rFonts w:ascii="Times New Roman" w:cs="Times New Roman" w:eastAsia="Times New Roman" w:hAnsi="Times New Roman"/>
          <w:sz w:val="20"/>
          <w:szCs w:val="20"/>
          <w:color w:val="auto"/>
        </w:rPr>
      </w:pPr>
    </w:p>
    <w:p>
      <w:pPr>
        <w:jc w:val="both"/>
        <w:ind w:left="1260" w:right="60" w:firstLine="648"/>
        <w:spacing w:after="0" w:line="263" w:lineRule="auto"/>
        <w:tabs>
          <w:tab w:leader="none" w:pos="2506" w:val="left"/>
        </w:tabs>
        <w:numPr>
          <w:ilvl w:val="1"/>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transaction fees, charges and other amounts (including any financing fees, merger and acquisition fees, legal fees and expenses, due diligence fees or any other fees and expenses in connection therewith) in connection with any Permitted Acquisition, Investment, disposition, issuance or repurchase of Equity Interests, or the incurrence, amendment or waiver of Indebtedness permitted hereunder (other than those related to the Transactions or with respect to any amendment or modification of the Loan Documents), in each case, whether or not consummated, in each case to the extent paid within six (6) months of the closing or effectiveness of such event or the termination or abandonment of such transaction, as the case may be;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aggregate amount added pursuant to this clause (b)(ix) taken together with the aggregate amount added pursuant to clause (b)(x) for any four quarter period shall in no event exceed twenty percent (20%) of Consolidated EBITDA for such period (calculated prior to any such add-backs pursuant to clauses (b)(ix) and (b)(x)),</w:t>
      </w:r>
    </w:p>
    <w:p>
      <w:pPr>
        <w:spacing w:after="0" w:line="172" w:lineRule="exact"/>
        <w:rPr>
          <w:rFonts w:ascii="Times New Roman" w:cs="Times New Roman" w:eastAsia="Times New Roman" w:hAnsi="Times New Roman"/>
          <w:sz w:val="19"/>
          <w:szCs w:val="19"/>
          <w:color w:val="auto"/>
        </w:rPr>
      </w:pPr>
    </w:p>
    <w:p>
      <w:pPr>
        <w:jc w:val="both"/>
        <w:ind w:left="1260" w:firstLine="648"/>
        <w:spacing w:after="0" w:line="260" w:lineRule="auto"/>
        <w:tabs>
          <w:tab w:leader="none" w:pos="2505" w:val="left"/>
        </w:tabs>
        <w:numPr>
          <w:ilvl w:val="1"/>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other unusual and non-recurring cash expenses or charges, (B) the amount of any “run rate” synergies, operating expense reductions and other net cost savings and integration costs, in each case projected by the Borrowers in connection with Permitted Acquisitions, Asset Dispositions (including the termination or discontinuance of activities constituting such business) and/or other operating improvement, restructuring, cost savings initiative or other similar initiative taken after the Closing Date that have been consummated during the applicable period (calculated on a Pro Forma Basis as though such synergies, expense reductions and cost savings had been realized on the first day of the period for which Consolidated EBITDA is being determined), net of the amount of actual benefits realized during such period from such actions and (C) solely during the period from June 30, 2021 through December 31, 2022, the amount of projected EBITDA relating to the fourteen Exelon and Avangrid Master Services Agreements awarded in 2020 in an amount equal to $14,300,000 </w:t>
      </w:r>
      <w:r>
        <w:rPr>
          <w:rFonts w:ascii="Times New Roman" w:cs="Times New Roman" w:eastAsia="Times New Roman" w:hAnsi="Times New Roman"/>
          <w:sz w:val="19"/>
          <w:szCs w:val="19"/>
          <w:u w:val="single" w:color="auto"/>
          <w:color w:val="auto"/>
        </w:rPr>
        <w:t>less</w:t>
      </w:r>
      <w:r>
        <w:rPr>
          <w:rFonts w:ascii="Times New Roman" w:cs="Times New Roman" w:eastAsia="Times New Roman" w:hAnsi="Times New Roman"/>
          <w:sz w:val="19"/>
          <w:szCs w:val="19"/>
          <w:color w:val="auto"/>
        </w:rPr>
        <w:t xml:space="preserve"> the cumulative amount of actual EBITDA relating to such agreements after June 30, 2021);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jc w:val="both"/>
        <w:ind w:left="1260" w:firstLine="6"/>
        <w:spacing w:after="0" w:line="245" w:lineRule="auto"/>
        <w:tabs>
          <w:tab w:leader="none" w:pos="1497"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synergies, expense reductions and cost savings are reasonably identifiable, factually supportable, expected to have a continuing impact on the operations of the Combined Companies and have been determined by the Borrowers in good faith to be reasonably anticipated to be realizable within eighteen (18) months following any such action as set forth in reasonable detail on a certificate of a Responsible Officer of Centuri delivered to the Administrative Agent, (ii) no such amounts shall be added pursuant to this clause to the extent duplicative of any expenses or charges otherwise added to Consolidated EBITDA, whether through a pro forma adjustment, the definition of Pro Forma Basis or otherwise and (iii) the aggregate amount added pursuant to this clause (b)(x) taken together with the aggregate amount added pursuant to clause (b)(ix) for any four quarter period shall in no event exceed twenty percent (20%) of Consolidated EBITDA for such period (calculated prior to any such add-backs pursuant to clauses (b)(ix) and (b)(x)), </w:t>
      </w:r>
      <w:r>
        <w:rPr>
          <w:rFonts w:ascii="Times New Roman" w:cs="Times New Roman" w:eastAsia="Times New Roman" w:hAnsi="Times New Roman"/>
          <w:sz w:val="20"/>
          <w:szCs w:val="20"/>
          <w:u w:val="single" w:color="auto"/>
          <w:color w:val="auto"/>
        </w:rPr>
        <w:t>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29</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-42545</wp:posOffset>
            </wp:positionV>
            <wp:extent cx="8255" cy="1016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35">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1060"/>
          </w:cols>
          <w:pgMar w:left="380" w:top="1440" w:right="459" w:bottom="1440" w:gutter="0" w:footer="0" w:header="0"/>
        </w:sectPr>
      </w:pPr>
    </w:p>
    <w:bookmarkStart w:id="178" w:name="page179"/>
    <w:bookmarkEnd w:id="178"/>
    <w:p>
      <w:pPr>
        <w:spacing w:after="0" w:line="202" w:lineRule="exact"/>
        <w:rPr>
          <w:sz w:val="20"/>
          <w:szCs w:val="20"/>
          <w:color w:val="auto"/>
        </w:rPr>
      </w:pPr>
    </w:p>
    <w:p>
      <w:pPr>
        <w:ind w:left="1940" w:hanging="614"/>
        <w:spacing w:after="0"/>
        <w:tabs>
          <w:tab w:leader="none" w:pos="194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the following, without duplication, to the extent included in determining Consolidated Net Income for</w:t>
      </w:r>
    </w:p>
    <w:p>
      <w:pPr>
        <w:spacing w:after="0" w:line="19" w:lineRule="exact"/>
        <w:rPr>
          <w:rFonts w:ascii="Times New Roman" w:cs="Times New Roman" w:eastAsia="Times New Roman" w:hAnsi="Times New Roman"/>
          <w:sz w:val="20"/>
          <w:szCs w:val="20"/>
          <w:color w:val="auto"/>
        </w:rPr>
      </w:pPr>
    </w:p>
    <w:p>
      <w:pPr>
        <w:ind w:left="6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period:</w:t>
      </w:r>
    </w:p>
    <w:p>
      <w:pPr>
        <w:spacing w:after="0" w:line="202" w:lineRule="exact"/>
        <w:rPr>
          <w:rFonts w:ascii="Times New Roman" w:cs="Times New Roman" w:eastAsia="Times New Roman" w:hAnsi="Times New Roman"/>
          <w:sz w:val="20"/>
          <w:szCs w:val="20"/>
          <w:color w:val="auto"/>
        </w:rPr>
      </w:pPr>
    </w:p>
    <w:p>
      <w:pPr>
        <w:ind w:left="2600" w:hanging="631"/>
        <w:spacing w:after="0"/>
        <w:tabs>
          <w:tab w:leader="none" w:pos="2600"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income,</w:t>
      </w:r>
    </w:p>
    <w:p>
      <w:pPr>
        <w:spacing w:after="0" w:line="211" w:lineRule="exact"/>
        <w:rPr>
          <w:rFonts w:ascii="Times New Roman" w:cs="Times New Roman" w:eastAsia="Times New Roman" w:hAnsi="Times New Roman"/>
          <w:sz w:val="20"/>
          <w:szCs w:val="20"/>
          <w:color w:val="auto"/>
        </w:rPr>
      </w:pPr>
    </w:p>
    <w:p>
      <w:pPr>
        <w:ind w:left="2600" w:hanging="631"/>
        <w:spacing w:after="0"/>
        <w:tabs>
          <w:tab w:leader="none" w:pos="2600"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unusual or non-recurring gains,</w:t>
      </w:r>
    </w:p>
    <w:p>
      <w:pPr>
        <w:spacing w:after="0" w:line="224" w:lineRule="exact"/>
        <w:rPr>
          <w:rFonts w:ascii="Times New Roman" w:cs="Times New Roman" w:eastAsia="Times New Roman" w:hAnsi="Times New Roman"/>
          <w:sz w:val="20"/>
          <w:szCs w:val="20"/>
          <w:color w:val="auto"/>
        </w:rPr>
      </w:pPr>
    </w:p>
    <w:p>
      <w:pPr>
        <w:ind w:left="2600" w:hanging="631"/>
        <w:spacing w:after="0"/>
        <w:tabs>
          <w:tab w:leader="none" w:pos="2600"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unrealized gains for items set forth in the foregoing clauses (b)(vi) and (vii),</w:t>
      </w:r>
    </w:p>
    <w:p>
      <w:pPr>
        <w:spacing w:after="0" w:line="211" w:lineRule="exact"/>
        <w:rPr>
          <w:rFonts w:ascii="Times New Roman" w:cs="Times New Roman" w:eastAsia="Times New Roman" w:hAnsi="Times New Roman"/>
          <w:sz w:val="20"/>
          <w:szCs w:val="20"/>
          <w:color w:val="auto"/>
        </w:rPr>
      </w:pPr>
    </w:p>
    <w:p>
      <w:pPr>
        <w:ind w:left="2600" w:hanging="631"/>
        <w:spacing w:after="0"/>
        <w:tabs>
          <w:tab w:leader="none" w:pos="2600"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non-cash gains or non-cash items increasing Consolidated Net Income, and</w:t>
      </w:r>
    </w:p>
    <w:p>
      <w:pPr>
        <w:spacing w:after="0" w:line="224" w:lineRule="exact"/>
        <w:rPr>
          <w:rFonts w:ascii="Times New Roman" w:cs="Times New Roman" w:eastAsia="Times New Roman" w:hAnsi="Times New Roman"/>
          <w:sz w:val="20"/>
          <w:szCs w:val="20"/>
          <w:color w:val="auto"/>
        </w:rPr>
      </w:pPr>
    </w:p>
    <w:p>
      <w:pPr>
        <w:jc w:val="both"/>
        <w:ind w:left="1320" w:right="40" w:firstLine="648"/>
        <w:spacing w:after="0" w:line="257" w:lineRule="auto"/>
        <w:tabs>
          <w:tab w:leader="none" w:pos="2565"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cash expense made during such period which represents the reversal of any non-cash expense that was added in a prior period pursuant to clause (b)(iii) above subsequent to the fiscal quarter in which the relevant non-cash expenses, charges or losses were incurred.</w:t>
      </w:r>
    </w:p>
    <w:p>
      <w:pPr>
        <w:spacing w:after="0" w:line="1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For purposes of this Agreement, Consolidated EBITDA shall be adjusted on a Pro Forma Basis. Notwithstanding the</w:t>
      </w:r>
    </w:p>
    <w:p>
      <w:pPr>
        <w:spacing w:after="0" w:line="21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foregoing, Consolidated EBITDA for the fiscal quarters ending September</w:t>
      </w:r>
    </w:p>
    <w:p>
      <w:pPr>
        <w:spacing w:after="0" w:line="8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30, 2020, January 3, 2021, April 4, 2021 and July 4, 2021 shall be the amounts corresponding to such</w:t>
      </w:r>
    </w:p>
    <w:p>
      <w:pPr>
        <w:spacing w:after="0" w:line="1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 xml:space="preserve">fiscal quarters set forth on </w:t>
      </w:r>
      <w:r>
        <w:rPr>
          <w:rFonts w:ascii="Times New Roman" w:cs="Times New Roman" w:eastAsia="Times New Roman" w:hAnsi="Times New Roman"/>
          <w:sz w:val="20"/>
          <w:szCs w:val="20"/>
          <w:u w:val="single" w:color="auto"/>
          <w:color w:val="auto"/>
        </w:rPr>
        <w:t>Schedule 1.1(c)</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jc w:val="both"/>
        <w:ind w:left="680" w:right="20" w:firstLine="642"/>
        <w:spacing w:after="0" w:line="26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Funded Indebtedness</w:t>
      </w:r>
      <w:r>
        <w:rPr>
          <w:rFonts w:ascii="Times New Roman" w:cs="Times New Roman" w:eastAsia="Times New Roman" w:hAnsi="Times New Roman"/>
          <w:sz w:val="20"/>
          <w:szCs w:val="20"/>
          <w:color w:val="auto"/>
        </w:rPr>
        <w:t>” means, as of any date of determination with respect to the Consolidated Companies on a Consolidated basis, without duplication, the sum of all Indebtedness (other than Indebtedness in respect of obligations under any undrawn letter of credit) of the Consolidated Companies.</w:t>
      </w:r>
    </w:p>
    <w:p>
      <w:pPr>
        <w:spacing w:after="0" w:line="164" w:lineRule="exact"/>
        <w:rPr>
          <w:sz w:val="20"/>
          <w:szCs w:val="20"/>
          <w:color w:val="auto"/>
        </w:rPr>
      </w:pPr>
    </w:p>
    <w:p>
      <w:pPr>
        <w:jc w:val="both"/>
        <w:ind w:left="680" w:right="40" w:firstLine="642"/>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Interest Coverage Ratio</w:t>
      </w:r>
      <w:r>
        <w:rPr>
          <w:rFonts w:ascii="Times New Roman" w:cs="Times New Roman" w:eastAsia="Times New Roman" w:hAnsi="Times New Roman"/>
          <w:sz w:val="20"/>
          <w:szCs w:val="20"/>
          <w:color w:val="auto"/>
        </w:rPr>
        <w:t>” means, as of any date of determination, determined on a Consolidated basis, without duplication, for the Consolidated Companies in accordance with GAAP: the ratio of (a) Consolidated EBITDA for the period of four (4) consecutive fiscal quarters ending on such date to (b) Consolidated Interest Expense for such period.</w:t>
      </w:r>
    </w:p>
    <w:p>
      <w:pPr>
        <w:spacing w:after="0" w:line="171" w:lineRule="exact"/>
        <w:rPr>
          <w:sz w:val="20"/>
          <w:szCs w:val="20"/>
          <w:color w:val="auto"/>
        </w:rPr>
      </w:pPr>
    </w:p>
    <w:p>
      <w:pPr>
        <w:jc w:val="both"/>
        <w:ind w:left="680" w:firstLine="642"/>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Interest Expense</w:t>
      </w:r>
      <w:r>
        <w:rPr>
          <w:rFonts w:ascii="Times New Roman" w:cs="Times New Roman" w:eastAsia="Times New Roman" w:hAnsi="Times New Roman"/>
          <w:sz w:val="20"/>
          <w:szCs w:val="20"/>
          <w:color w:val="auto"/>
        </w:rPr>
        <w:t xml:space="preserve">” means, for any period, the sum of the following determined on a Consolidated basis, without duplication, for the Consolidated Companies in accordance with GAAP, interest expense (including, without limitation, interest expense attributable to Capital Lease Obligations and all net payment obligations pursuant to Hedge Agreements) for such period. For purposes of this Agreement, Consolidated Interest Expense shall be adjusted on a Pro Forma Basis. Notwithstanding the foregoing, Consolidated Interest Expense for the period of four (4) consecutive fiscal quarters ending on September 30, 2021, December 31, 2021 and March 31, 2022 shall be calculated (i) for the fiscal quarter ending September 30, 2021, Consolidated Interest Expense for the fiscal quarter ending on such date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four (4), (ii) for the fiscal quarter ending December 31, 2021, Consolidated Interest Expense for the two consecutive fiscal quarters ending on such date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two (2) and (iii) for the fiscal quarter ending March 31, 2022, Consolidated Interest Expense for the three consecutive fiscal quarters ending on such date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four-third (4/3).</w:t>
      </w:r>
    </w:p>
    <w:p>
      <w:pPr>
        <w:spacing w:after="0" w:line="182" w:lineRule="exact"/>
        <w:rPr>
          <w:sz w:val="20"/>
          <w:szCs w:val="20"/>
          <w:color w:val="auto"/>
        </w:rPr>
      </w:pPr>
    </w:p>
    <w:p>
      <w:pPr>
        <w:jc w:val="both"/>
        <w:ind w:left="680" w:right="40" w:firstLine="642"/>
        <w:spacing w:after="0" w:line="26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Net Leverage Ratio</w:t>
      </w:r>
      <w:r>
        <w:rPr>
          <w:rFonts w:ascii="Times New Roman" w:cs="Times New Roman" w:eastAsia="Times New Roman" w:hAnsi="Times New Roman"/>
          <w:sz w:val="19"/>
          <w:szCs w:val="19"/>
          <w:color w:val="auto"/>
        </w:rPr>
        <w:t xml:space="preserve">” means, as of any date of determination, the ratio of (a) Consolidated Funded Indebtedness on such date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the amount of Unrestricted cash and Cash Equivalents of Centuri and its Subsidiaries (excluding the proceeds of any Incremental Term Loans or any other Indebtedness incurred or made substantially concurrent with the determination of the amount of such Unrestricted cash and Cash Equivalents) on such date, not to exceed $150,000,000, to (b)</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tabs>
          <w:tab w:leader="none" w:pos="440" w:val="left"/>
        </w:tabs>
        <w:rPr>
          <w:sz w:val="20"/>
          <w:szCs w:val="20"/>
          <w:color w:val="auto"/>
        </w:rPr>
      </w:pPr>
      <w:r>
        <w:rPr>
          <w:sz w:val="1"/>
          <w:szCs w:val="1"/>
          <w:color w:val="auto"/>
        </w:rPr>
        <w:drawing>
          <wp:inline distT="0" distB="0" distL="0" distR="0">
            <wp:extent cx="8255" cy="101600"/>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36">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30</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ectPr>
          <w:pgSz w:w="11900" w:h="16838" w:orient="portrait"/>
          <w:cols w:equalWidth="0" w:num="1">
            <w:col w:w="11100"/>
          </w:cols>
          <w:pgMar w:left="320" w:top="1440" w:right="479" w:bottom="1440" w:gutter="0" w:footer="0" w:header="0"/>
        </w:sectPr>
      </w:pPr>
    </w:p>
    <w:bookmarkStart w:id="179" w:name="page180"/>
    <w:bookmarkEnd w:id="179"/>
    <w:p>
      <w:pPr>
        <w:spacing w:after="0" w:line="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Consolidated EBITDA for the period of four (4) consecutive fiscal quarters ending on or immediately prior to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-43180</wp:posOffset>
            </wp:positionV>
            <wp:extent cx="8255" cy="1016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37">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0079"/>
          </w:cols>
          <w:pgMar w:left="380" w:top="1440" w:right="1440" w:bottom="1440" w:gutter="0" w:footer="0" w:header="0"/>
        </w:sectPr>
      </w:pPr>
    </w:p>
    <w:bookmarkStart w:id="180" w:name="page181"/>
    <w:bookmarkEnd w:id="180"/>
    <w:p>
      <w:pPr>
        <w:spacing w:after="0" w:line="202" w:lineRule="exact"/>
        <w:rPr>
          <w:sz w:val="20"/>
          <w:szCs w:val="20"/>
          <w:color w:val="auto"/>
        </w:rPr>
      </w:pPr>
    </w:p>
    <w:p>
      <w:pPr>
        <w:jc w:val="both"/>
        <w:ind w:left="620" w:right="40" w:firstLine="642"/>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Net Income</w:t>
      </w:r>
      <w:r>
        <w:rPr>
          <w:rFonts w:ascii="Times New Roman" w:cs="Times New Roman" w:eastAsia="Times New Roman" w:hAnsi="Times New Roman"/>
          <w:sz w:val="20"/>
          <w:szCs w:val="20"/>
          <w:color w:val="auto"/>
        </w:rPr>
        <w:t xml:space="preserve">” means, for any period, the net income (or loss) of the Consolidated Companies for such period, determined on a Consolidated basis, without duplication, in accordance with GAAP;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in calculating Consolidated Net Income of the Consolidated Companies for any period, there shall be excluded (a) the net income (or loss) of any Person (other than a Subsidiary which shall be subject to clause (c) below), in which any of the Consolidated Companies has a joint interest with a third party, except to the extent such net income is actually paid in cash to any of the Consolidated Companies by dividend or other distribution during such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net income (or loss) of</w:t>
      </w:r>
    </w:p>
    <w:p>
      <w:pPr>
        <w:jc w:val="both"/>
        <w:ind w:left="620"/>
        <w:spacing w:after="0" w:line="257" w:lineRule="auto"/>
        <w:rPr>
          <w:sz w:val="20"/>
          <w:szCs w:val="20"/>
          <w:color w:val="auto"/>
        </w:rPr>
      </w:pPr>
      <w:r>
        <w:rPr>
          <w:rFonts w:ascii="Times New Roman" w:cs="Times New Roman" w:eastAsia="Times New Roman" w:hAnsi="Times New Roman"/>
          <w:sz w:val="19"/>
          <w:szCs w:val="19"/>
          <w:color w:val="auto"/>
        </w:rPr>
        <w:t>W.S. Nicholls Western Construction, Ltd. and VRO Construction Partners 1, LLC attributable to the ownership percentage held by the Consolidated Companies shall be included regardless of whether such amounts are paid in cash to the Consolidated Companies),</w:t>
      </w:r>
    </w:p>
    <w:p>
      <w:pPr>
        <w:jc w:val="both"/>
        <w:ind w:left="620" w:firstLine="4"/>
        <w:spacing w:after="0" w:line="247" w:lineRule="auto"/>
        <w:tabs>
          <w:tab w:leader="none" w:pos="899"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net income (or loss) of any Person accrued prior to the date it becomes a Subsidiary of any of the Consolidated Companies or is merged into or consolidated with any of the Consolidated Companies or that Person’s assets are acquired by any of the Consolidated Companies except to the extent included pursuant to the foregoing clause (a), (c) the net income (if positive), of any Subsidiary to the extent that the declaration or payment of dividends or similar distributions by such Subsidiary to any of the Consolidated Companies of such net income (i) is not at the time permitted by operation of the terms of its charter or any agreement, instrument, judgment, decree, order, statute, rule or governmental regulation applicable to such Subsidiary or (ii) would be subject to any taxes payable on such dividends or distributions, but in each case only to the extent of such prohibition or taxes and (d) any gain or loss from Asset Dispositions during such period.</w:t>
      </w:r>
    </w:p>
    <w:p>
      <w:pPr>
        <w:spacing w:after="0" w:line="171" w:lineRule="exact"/>
        <w:rPr>
          <w:sz w:val="20"/>
          <w:szCs w:val="20"/>
          <w:color w:val="auto"/>
        </w:rPr>
      </w:pPr>
    </w:p>
    <w:p>
      <w:pPr>
        <w:jc w:val="both"/>
        <w:ind w:left="620" w:right="40" w:firstLine="642"/>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Assets</w:t>
      </w:r>
      <w:r>
        <w:rPr>
          <w:rFonts w:ascii="Times New Roman" w:cs="Times New Roman" w:eastAsia="Times New Roman" w:hAnsi="Times New Roman"/>
          <w:sz w:val="20"/>
          <w:szCs w:val="20"/>
          <w:color w:val="auto"/>
        </w:rPr>
        <w:t xml:space="preserve">” means, on any date of determination, the Consolidated total assets of Centuri and its Subsidiaries as set forth on the Consolidated balance sheet of Centuri as of the last day of the fiscal quarter of Centuri ending on or immediately prior to such date and for which financial statements have been provided to the Administrative Agent in accordance with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determined on a Consolidated basis.</w:t>
      </w:r>
    </w:p>
    <w:p>
      <w:pPr>
        <w:spacing w:after="0" w:line="173" w:lineRule="exact"/>
        <w:rPr>
          <w:sz w:val="20"/>
          <w:szCs w:val="20"/>
          <w:color w:val="auto"/>
        </w:rPr>
      </w:pPr>
    </w:p>
    <w:p>
      <w:pPr>
        <w:jc w:val="both"/>
        <w:ind w:left="620" w:right="40" w:firstLine="642"/>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0"/>
          <w:szCs w:val="20"/>
          <w:u w:val="single" w:color="auto"/>
          <w:color w:val="auto"/>
        </w:rPr>
        <w:t>Controlling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Controlled</w:t>
      </w:r>
      <w:r>
        <w:rPr>
          <w:rFonts w:ascii="Times New Roman" w:cs="Times New Roman" w:eastAsia="Times New Roman" w:hAnsi="Times New Roman"/>
          <w:sz w:val="20"/>
          <w:szCs w:val="20"/>
          <w:color w:val="auto"/>
        </w:rPr>
        <w:t>” have meanings correlative thereto.</w:t>
      </w:r>
    </w:p>
    <w:p>
      <w:pPr>
        <w:spacing w:after="0" w:line="171" w:lineRule="exact"/>
        <w:rPr>
          <w:sz w:val="20"/>
          <w:szCs w:val="20"/>
          <w:color w:val="auto"/>
        </w:rPr>
      </w:pPr>
    </w:p>
    <w:p>
      <w:pPr>
        <w:jc w:val="both"/>
        <w:ind w:left="620" w:right="60" w:firstLine="642"/>
        <w:spacing w:after="0" w:line="277" w:lineRule="auto"/>
        <w:rPr>
          <w:sz w:val="20"/>
          <w:szCs w:val="20"/>
          <w:color w:val="auto"/>
        </w:rPr>
      </w:pPr>
      <w:r>
        <w:rPr>
          <w:rFonts w:ascii="Times New Roman" w:cs="Times New Roman" w:eastAsia="Times New Roman" w:hAnsi="Times New Roman"/>
          <w:sz w:val="20"/>
          <w:szCs w:val="20"/>
          <w:u w:val="single" w:color="auto"/>
          <w:color w:val="0000FF"/>
        </w:rPr>
        <w:t>“CORRA” means a rate equal to the Canadian Overnight Repo Rate Average, as administered and published by the CORRA Administrator.</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9"/>
          <w:szCs w:val="19"/>
          <w:u w:val="single" w:color="auto"/>
          <w:color w:val="0000FF"/>
        </w:rPr>
        <w:t>“CORRA Administrator” means the Bank of Canada (or any successor administrator of the Term CORRA Reference Rate).</w:t>
      </w:r>
    </w:p>
    <w:p>
      <w:pPr>
        <w:spacing w:after="0" w:line="223" w:lineRule="exact"/>
        <w:rPr>
          <w:sz w:val="20"/>
          <w:szCs w:val="20"/>
          <w:color w:val="auto"/>
        </w:rPr>
      </w:pPr>
    </w:p>
    <w:p>
      <w:pPr>
        <w:jc w:val="both"/>
        <w:ind w:left="620" w:right="60" w:firstLine="642"/>
        <w:spacing w:after="0" w:line="30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Corresponding Tenor</w:t>
      </w:r>
      <w:r>
        <w:rPr>
          <w:rFonts w:ascii="Times New Roman" w:cs="Times New Roman" w:eastAsia="Times New Roman" w:hAnsi="Times New Roman"/>
          <w:sz w:val="19"/>
          <w:szCs w:val="19"/>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29" w:lineRule="exact"/>
        <w:rPr>
          <w:sz w:val="20"/>
          <w:szCs w:val="20"/>
          <w:color w:val="auto"/>
        </w:rPr>
      </w:pPr>
    </w:p>
    <w:p>
      <w:pPr>
        <w:jc w:val="both"/>
        <w:ind w:left="620" w:right="60" w:firstLine="642"/>
        <w:spacing w:after="0" w:line="27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Facility</w:t>
      </w:r>
      <w:r>
        <w:rPr>
          <w:rFonts w:ascii="Times New Roman" w:cs="Times New Roman" w:eastAsia="Times New Roman" w:hAnsi="Times New Roman"/>
          <w:sz w:val="20"/>
          <w:szCs w:val="20"/>
          <w:color w:val="auto"/>
        </w:rPr>
        <w:t>” means, collectively, the Revolving Credit Facility, the Term Loan Facility, the Swingline Facility and the L/C Facility.</w:t>
      </w:r>
    </w:p>
    <w:p>
      <w:pPr>
        <w:spacing w:after="0" w:line="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Parties</w:t>
      </w:r>
      <w:r>
        <w:rPr>
          <w:rFonts w:ascii="Times New Roman" w:cs="Times New Roman" w:eastAsia="Times New Roman" w:hAnsi="Times New Roman"/>
          <w:sz w:val="20"/>
          <w:szCs w:val="20"/>
          <w:color w:val="auto"/>
        </w:rPr>
        <w:t>” means, collectively, the US Credit Parties and the Canadian Credit Parties. “</w:t>
      </w:r>
      <w:r>
        <w:rPr>
          <w:rFonts w:ascii="Times New Roman" w:cs="Times New Roman" w:eastAsia="Times New Roman" w:hAnsi="Times New Roman"/>
          <w:sz w:val="20"/>
          <w:szCs w:val="20"/>
          <w:u w:val="single" w:color="auto"/>
          <w:color w:val="auto"/>
        </w:rPr>
        <w:t>Daily Simple SOFR</w:t>
      </w:r>
      <w:r>
        <w:rPr>
          <w:rFonts w:ascii="Times New Roman" w:cs="Times New Roman" w:eastAsia="Times New Roman" w:hAnsi="Times New Roman"/>
          <w:sz w:val="20"/>
          <w:szCs w:val="20"/>
          <w:color w:val="auto"/>
        </w:rPr>
        <w:t>” means,</w:t>
      </w:r>
    </w:p>
    <w:p>
      <w:pPr>
        <w:spacing w:after="0" w:line="2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for any day, SOFR, with the conventions for this rate (which will</w:t>
      </w:r>
    </w:p>
    <w:p>
      <w:pPr>
        <w:spacing w:after="0" w:line="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include a lookback) being established by the Administrative Agent in accordance with the conventions</w:t>
      </w:r>
    </w:p>
    <w:p>
      <w:pPr>
        <w:ind w:left="620" w:right="320"/>
        <w:spacing w:after="0" w:line="254" w:lineRule="auto"/>
        <w:rPr>
          <w:sz w:val="20"/>
          <w:szCs w:val="20"/>
          <w:color w:val="auto"/>
        </w:rPr>
      </w:pPr>
      <w:r>
        <w:rPr>
          <w:rFonts w:ascii="Times New Roman" w:cs="Times New Roman" w:eastAsia="Times New Roman" w:hAnsi="Times New Roman"/>
          <w:sz w:val="20"/>
          <w:szCs w:val="20"/>
          <w:color w:val="auto"/>
        </w:rPr>
        <w:t xml:space="preserve">for this rate selected or recommended by the Relevant Governmental Body for determining “Daily Simple SOFR” for syndicated business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the Administrative Agent decides that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-42545</wp:posOffset>
            </wp:positionV>
            <wp:extent cx="8255" cy="1016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38">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1060"/>
          </w:cols>
          <w:pgMar w:left="380" w:top="1440" w:right="459" w:bottom="1440" w:gutter="0" w:footer="0" w:header="0"/>
        </w:sectPr>
      </w:pPr>
    </w:p>
    <w:bookmarkStart w:id="181" w:name="page182"/>
    <w:bookmarkEnd w:id="181"/>
    <w:p>
      <w:pPr>
        <w:spacing w:after="0" w:line="202" w:lineRule="exact"/>
        <w:rPr>
          <w:sz w:val="20"/>
          <w:szCs w:val="20"/>
          <w:color w:val="auto"/>
        </w:rPr>
      </w:pPr>
    </w:p>
    <w:p>
      <w:pPr>
        <w:ind w:left="620" w:right="140"/>
        <w:spacing w:after="0" w:line="263" w:lineRule="auto"/>
        <w:rPr>
          <w:sz w:val="20"/>
          <w:szCs w:val="20"/>
          <w:color w:val="auto"/>
        </w:rPr>
      </w:pPr>
      <w:r>
        <w:rPr>
          <w:rFonts w:ascii="Times New Roman" w:cs="Times New Roman" w:eastAsia="Times New Roman" w:hAnsi="Times New Roman"/>
          <w:sz w:val="20"/>
          <w:szCs w:val="20"/>
          <w:color w:val="auto"/>
        </w:rPr>
        <w:t>such convention is not administratively feasible for the Administrative Agent, then the Administrative Agent may establish another convention in its reasonable discretion.</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Debt Issuance</w:t>
      </w:r>
      <w:r>
        <w:rPr>
          <w:rFonts w:ascii="Times New Roman" w:cs="Times New Roman" w:eastAsia="Times New Roman" w:hAnsi="Times New Roman"/>
          <w:sz w:val="19"/>
          <w:szCs w:val="19"/>
          <w:color w:val="auto"/>
        </w:rPr>
        <w:t>” means the issuance of any Indebtedness for borrowed money by any Credit Party or any of its Subsidiaries.</w:t>
      </w:r>
    </w:p>
    <w:p>
      <w:pPr>
        <w:spacing w:after="0" w:line="223" w:lineRule="exact"/>
        <w:rPr>
          <w:sz w:val="20"/>
          <w:szCs w:val="20"/>
          <w:color w:val="auto"/>
        </w:rPr>
      </w:pPr>
    </w:p>
    <w:p>
      <w:pPr>
        <w:jc w:val="both"/>
        <w:ind w:left="620" w:right="20" w:firstLine="642"/>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 Ratings</w:t>
      </w:r>
      <w:r>
        <w:rPr>
          <w:rFonts w:ascii="Times New Roman" w:cs="Times New Roman" w:eastAsia="Times New Roman" w:hAnsi="Times New Roman"/>
          <w:sz w:val="20"/>
          <w:szCs w:val="20"/>
          <w:color w:val="auto"/>
        </w:rPr>
        <w:t>” means the collective reference to (a) the public corporate family rating of Centuri as determined by Moody’s from time to time, (b) the public corporate credit rating of Centuri as determined by S&amp;P from time to time and (c) the public ratings with respect to the Term Loan Facility as determined by both Moody’s and S&amp;P from time to time, and “</w:t>
      </w:r>
      <w:r>
        <w:rPr>
          <w:rFonts w:ascii="Times New Roman" w:cs="Times New Roman" w:eastAsia="Times New Roman" w:hAnsi="Times New Roman"/>
          <w:sz w:val="20"/>
          <w:szCs w:val="20"/>
          <w:u w:val="single" w:color="auto"/>
          <w:color w:val="auto"/>
        </w:rPr>
        <w:t>Debt Rating</w:t>
      </w:r>
      <w:r>
        <w:rPr>
          <w:rFonts w:ascii="Times New Roman" w:cs="Times New Roman" w:eastAsia="Times New Roman" w:hAnsi="Times New Roman"/>
          <w:sz w:val="20"/>
          <w:szCs w:val="20"/>
          <w:color w:val="auto"/>
        </w:rPr>
        <w:t>” means, as applicable, any of the foregoing.</w:t>
      </w:r>
    </w:p>
    <w:p>
      <w:pPr>
        <w:spacing w:after="0" w:line="173" w:lineRule="exact"/>
        <w:rPr>
          <w:sz w:val="20"/>
          <w:szCs w:val="20"/>
          <w:color w:val="auto"/>
        </w:rPr>
      </w:pPr>
    </w:p>
    <w:p>
      <w:pPr>
        <w:jc w:val="both"/>
        <w:ind w:left="620" w:right="60" w:firstLine="642"/>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Debtor Relief Laws</w:t>
      </w:r>
      <w:r>
        <w:rPr>
          <w:rFonts w:ascii="Times New Roman" w:cs="Times New Roman" w:eastAsia="Times New Roman" w:hAnsi="Times New Roman"/>
          <w:sz w:val="20"/>
          <w:szCs w:val="20"/>
          <w:color w:val="auto"/>
        </w:rPr>
        <w:t>” means the Bankruptcy Code of the United States of America, the Bankruptcy and Insolvency Act (Canada), the Winding-Up and Restructuring Act (Canada), the Companies’ Creditors Arrangement Act (Canada) and all other liquidation, conservatorship, bankruptcy, assignment for the benefit of creditors, moratorium, rearrangement, receivership, insolvency, reorganization, or similar debtor relief Laws of the United States, Canada or other applicable jurisdictions from time to time in effect.</w:t>
      </w:r>
    </w:p>
    <w:p>
      <w:pPr>
        <w:spacing w:after="0" w:line="174" w:lineRule="exact"/>
        <w:rPr>
          <w:sz w:val="20"/>
          <w:szCs w:val="20"/>
          <w:color w:val="auto"/>
        </w:rPr>
      </w:pPr>
    </w:p>
    <w:p>
      <w:pPr>
        <w:jc w:val="both"/>
        <w:ind w:left="620" w:right="60" w:firstLine="642"/>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xml:space="preserve">” means any of the events specified in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which with the passage of time, the giving of notice or any other condition, would constitute an Event of Default.</w:t>
      </w:r>
    </w:p>
    <w:p>
      <w:pPr>
        <w:spacing w:after="0" w:line="178" w:lineRule="exact"/>
        <w:rPr>
          <w:sz w:val="20"/>
          <w:szCs w:val="20"/>
          <w:color w:val="auto"/>
        </w:rPr>
      </w:pPr>
    </w:p>
    <w:p>
      <w:pPr>
        <w:jc w:val="both"/>
        <w:ind w:left="620" w:firstLine="642"/>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Defaulting Lender</w:t>
      </w:r>
      <w:r>
        <w:rPr>
          <w:rFonts w:ascii="Times New Roman" w:cs="Times New Roman" w:eastAsia="Times New Roman" w:hAnsi="Times New Roman"/>
          <w:sz w:val="19"/>
          <w:szCs w:val="19"/>
          <w:color w:val="auto"/>
        </w:rPr>
        <w:t xml:space="preserve">” means, subject to </w:t>
      </w:r>
      <w:r>
        <w:rPr>
          <w:rFonts w:ascii="Times New Roman" w:cs="Times New Roman" w:eastAsia="Times New Roman" w:hAnsi="Times New Roman"/>
          <w:sz w:val="19"/>
          <w:szCs w:val="19"/>
          <w:u w:val="single" w:color="auto"/>
          <w:color w:val="auto"/>
        </w:rPr>
        <w:t>Section 5.15(b)</w:t>
      </w:r>
      <w:r>
        <w:rPr>
          <w:rFonts w:ascii="Times New Roman" w:cs="Times New Roman" w:eastAsia="Times New Roman" w:hAnsi="Times New Roman"/>
          <w:sz w:val="19"/>
          <w:szCs w:val="19"/>
          <w:color w:val="auto"/>
        </w:rPr>
        <w:t>, any Lender that (a) has failed to (i) fund all or any portion of the Revolving Credit Loans or any Term Loan required to be funded by it hereunder within two Business Days of the date such Loans were required to be funded hereunder unless such Lender notifies the Administrative Agent and Centuri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any Issuing Lender, any Swingline Lender or any other Lender any other amount required to be paid by it hereunder (including in respect of its participation in Letters of Credit or Swingline Loans) within two Business Days of the date when due, (b) has notified Centuri, the Administrative Agent, any Issuing Lender or any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Centuri, to confirm in writing to the Administrative Agent and Centuri that it will comply with its prospective funding obligations 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Lender shall cease to be a Defaulting Lender pursuant to this clause (c) upon receipt of such written confirmation by the Administrative Agent and Centuri),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CDIC, the FDIC or any other state or federal regulatory authority acting in such a capacity or (iii) become the subject of a Bail-In Action;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w:t>
      </w:r>
    </w:p>
    <w:p>
      <w:pPr>
        <w:spacing w:after="0" w:line="200" w:lineRule="exact"/>
        <w:rPr>
          <w:sz w:val="20"/>
          <w:szCs w:val="20"/>
          <w:color w:val="auto"/>
        </w:rPr>
      </w:pPr>
    </w:p>
    <w:p>
      <w:pPr>
        <w:spacing w:after="0" w:line="39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-42545</wp:posOffset>
            </wp:positionV>
            <wp:extent cx="8255" cy="1016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39">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1060"/>
          </w:cols>
          <w:pgMar w:left="380" w:top="1440" w:right="459" w:bottom="1440" w:gutter="0" w:footer="0" w:header="0"/>
        </w:sectPr>
      </w:pPr>
    </w:p>
    <w:bookmarkStart w:id="182" w:name="page183"/>
    <w:bookmarkEnd w:id="182"/>
    <w:p>
      <w:pPr>
        <w:spacing w:after="0" w:line="95" w:lineRule="exact"/>
        <w:rPr>
          <w:sz w:val="20"/>
          <w:szCs w:val="20"/>
          <w:color w:val="auto"/>
        </w:rPr>
      </w:pPr>
    </w:p>
    <w:p>
      <w:pPr>
        <w:ind w:left="620"/>
        <w:spacing w:after="0" w:line="277" w:lineRule="auto"/>
        <w:rPr>
          <w:sz w:val="20"/>
          <w:szCs w:val="20"/>
          <w:color w:val="auto"/>
        </w:rPr>
      </w:pPr>
      <w:r>
        <w:rPr>
          <w:rFonts w:ascii="Times New Roman" w:cs="Times New Roman" w:eastAsia="Times New Roman" w:hAnsi="Times New Roman"/>
          <w:sz w:val="20"/>
          <w:szCs w:val="20"/>
          <w:color w:val="auto"/>
        </w:rPr>
        <w:t>or writs of attachment on its assets or permit such Lender (or such Governmental Authority) to reject, repudiate, disavow or disaffirm any contracts or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34</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-43180</wp:posOffset>
            </wp:positionV>
            <wp:extent cx="8255" cy="1016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40">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1060"/>
          </w:cols>
          <w:pgMar w:left="380" w:top="1440" w:right="459" w:bottom="1440" w:gutter="0" w:footer="0" w:header="0"/>
        </w:sectPr>
      </w:pPr>
    </w:p>
    <w:bookmarkStart w:id="183" w:name="page184"/>
    <w:bookmarkEnd w:id="183"/>
    <w:p>
      <w:pPr>
        <w:spacing w:after="0" w:line="202" w:lineRule="exact"/>
        <w:rPr>
          <w:sz w:val="20"/>
          <w:szCs w:val="20"/>
          <w:color w:val="auto"/>
        </w:rPr>
      </w:pPr>
    </w:p>
    <w:p>
      <w:pPr>
        <w:jc w:val="both"/>
        <w:ind w:left="680" w:right="20"/>
        <w:spacing w:after="0" w:line="250" w:lineRule="auto"/>
        <w:rPr>
          <w:sz w:val="20"/>
          <w:szCs w:val="20"/>
          <w:color w:val="auto"/>
        </w:rPr>
      </w:pPr>
      <w:r>
        <w:rPr>
          <w:rFonts w:ascii="Times New Roman" w:cs="Times New Roman" w:eastAsia="Times New Roman" w:hAnsi="Times New Roman"/>
          <w:sz w:val="20"/>
          <w:szCs w:val="20"/>
          <w:color w:val="auto"/>
        </w:rPr>
        <w:t xml:space="preserve">made with such Lender. Any determination by the Administrative Agent that a Lender is a Defaulting Lender under any one or more of clauses (a) through (d) above shall be conclusive and binding absent manifest error, and such Lender shall be deemed to be a Defaulting Lender (subject to </w:t>
      </w:r>
      <w:r>
        <w:rPr>
          <w:rFonts w:ascii="Times New Roman" w:cs="Times New Roman" w:eastAsia="Times New Roman" w:hAnsi="Times New Roman"/>
          <w:sz w:val="20"/>
          <w:szCs w:val="20"/>
          <w:u w:val="single" w:color="auto"/>
          <w:color w:val="auto"/>
        </w:rPr>
        <w:t>Section 5.15(b)</w:t>
      </w:r>
      <w:r>
        <w:rPr>
          <w:rFonts w:ascii="Times New Roman" w:cs="Times New Roman" w:eastAsia="Times New Roman" w:hAnsi="Times New Roman"/>
          <w:sz w:val="20"/>
          <w:szCs w:val="20"/>
          <w:color w:val="auto"/>
        </w:rPr>
        <w:t>) upon delivery of written notice of such determination to Centuri, each Issuing Lender, each Swingline Lender and each Lender.</w:t>
      </w:r>
    </w:p>
    <w:p>
      <w:pPr>
        <w:spacing w:after="0" w:line="192" w:lineRule="exact"/>
        <w:rPr>
          <w:sz w:val="20"/>
          <w:szCs w:val="20"/>
          <w:color w:val="auto"/>
        </w:rPr>
      </w:pPr>
    </w:p>
    <w:p>
      <w:pPr>
        <w:jc w:val="both"/>
        <w:ind w:left="680" w:firstLine="642"/>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Disqualified Equity Interests</w:t>
      </w:r>
      <w:r>
        <w:rPr>
          <w:rFonts w:ascii="Times New Roman" w:cs="Times New Roman" w:eastAsia="Times New Roman" w:hAnsi="Times New Roman"/>
          <w:sz w:val="19"/>
          <w:szCs w:val="19"/>
          <w:color w:val="auto"/>
        </w:rPr>
        <w:t>” means any Equity Interests that, by their terms (or by the terms of any security or other Equity Interest into which they are convertible or for which they are exchangeable) or upon the happening of any event or condition,</w:t>
      </w:r>
    </w:p>
    <w:p>
      <w:pPr>
        <w:spacing w:after="0" w:line="1" w:lineRule="exact"/>
        <w:rPr>
          <w:sz w:val="20"/>
          <w:szCs w:val="20"/>
          <w:color w:val="auto"/>
        </w:rPr>
      </w:pPr>
    </w:p>
    <w:p>
      <w:pPr>
        <w:jc w:val="both"/>
        <w:ind w:left="680" w:firstLine="4"/>
        <w:spacing w:after="0" w:line="259" w:lineRule="auto"/>
        <w:tabs>
          <w:tab w:leader="none" w:pos="952"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mature or are mandatorily redeemable (other than solely for Qualified Equity Interests), pursuant to a sinking fund obligation or otherwise (except as a result of a change of control or asset sale so long as any rights of the holders thereof upon the occurrence of a change of control or asset sale event shall be subject to the prior repayment in full of the Loans and all other Obligations that are accrued and payable and the termination of the Commitments), (b) are redeemable at the option of the holder thereof (other than solely for Qualified Equity Interests) (except as a result of a change of control or asset sale so long as any rights of the holders thereof upon the occurrence of a change of control or asset sale event shall be subject to the prior repayment in full of the Loans and all other Obligations that are accrued and payable and the termination of the Commitments), in whole or in part, (c) provide for the scheduled payment of dividends in cash or (d) are or become convertible into or exchangeable for Indebtedness or any other Equity Interests that would constitute Disqualified Equity Interests, in each case, prior to the date that is 91 days after the Term Loan Maturity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such Equity Interests are issued pursuant to a plan for the benefit of the Consolidated Companies or by any such plan to such employees, such Equity Interests shall not constitute Disqualified Equity Interests solely because they may be required to be repurchased by the Consolidated Companies in order to satisfy applicable statutory or regulatory obligations.</w:t>
      </w:r>
    </w:p>
    <w:p>
      <w:pPr>
        <w:spacing w:after="0" w:line="179" w:lineRule="exact"/>
        <w:rPr>
          <w:sz w:val="20"/>
          <w:szCs w:val="20"/>
          <w:color w:val="auto"/>
        </w:rPr>
      </w:pPr>
    </w:p>
    <w:p>
      <w:pPr>
        <w:jc w:val="both"/>
        <w:ind w:left="680" w:right="40" w:firstLine="642"/>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Amount</w:t>
      </w:r>
      <w:r>
        <w:rPr>
          <w:rFonts w:ascii="Times New Roman" w:cs="Times New Roman" w:eastAsia="Times New Roman" w:hAnsi="Times New Roman"/>
          <w:sz w:val="20"/>
          <w:szCs w:val="20"/>
          <w:color w:val="auto"/>
        </w:rPr>
        <w:t>” means, with respect to any sum expressed in Canadian Dollars, the amount of Dollars which is equivalent to the amount so expressed in Canadian Dollars at the Spot Rate determined by the Administrative Agent to be available to it at the relevant time (including on each Revaluation Date).</w:t>
      </w:r>
    </w:p>
    <w:p>
      <w:pPr>
        <w:spacing w:after="0" w:line="18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means, unless otherwise qualified, dollars in lawful currency of the United</w:t>
      </w:r>
    </w:p>
    <w:p>
      <w:pPr>
        <w:spacing w:after="0" w:line="1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States.</w:t>
      </w:r>
    </w:p>
    <w:p>
      <w:pPr>
        <w:spacing w:after="0" w:line="18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Drum</w:t>
      </w:r>
      <w:r>
        <w:rPr>
          <w:rFonts w:ascii="Times New Roman" w:cs="Times New Roman" w:eastAsia="Times New Roman" w:hAnsi="Times New Roman"/>
          <w:sz w:val="20"/>
          <w:szCs w:val="20"/>
          <w:color w:val="auto"/>
        </w:rPr>
        <w:t>” means Drum Parent, Inc., a Delaware corporation.</w:t>
      </w:r>
    </w:p>
    <w:p>
      <w:pPr>
        <w:spacing w:after="0" w:line="21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Drum Acquisition</w:t>
      </w:r>
      <w:r>
        <w:rPr>
          <w:rFonts w:ascii="Times New Roman" w:cs="Times New Roman" w:eastAsia="Times New Roman" w:hAnsi="Times New Roman"/>
          <w:sz w:val="20"/>
          <w:szCs w:val="20"/>
          <w:color w:val="auto"/>
        </w:rPr>
        <w:t>” means the acquisition of Drum and its Subsidiaries pursuant to the Drum Merger Agreement.</w:t>
      </w:r>
    </w:p>
    <w:p>
      <w:pPr>
        <w:spacing w:after="0" w:line="2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Drum Material Adverse Effect</w:t>
      </w:r>
      <w:r>
        <w:rPr>
          <w:rFonts w:ascii="Times New Roman" w:cs="Times New Roman" w:eastAsia="Times New Roman" w:hAnsi="Times New Roman"/>
          <w:sz w:val="20"/>
          <w:szCs w:val="20"/>
          <w:color w:val="auto"/>
        </w:rPr>
        <w:t>” means a “Material Adverse Effect”, as defined in the Drum Merger Agreement.</w:t>
      </w:r>
    </w:p>
    <w:p>
      <w:pPr>
        <w:spacing w:after="0" w:line="225" w:lineRule="exact"/>
        <w:rPr>
          <w:sz w:val="20"/>
          <w:szCs w:val="20"/>
          <w:color w:val="auto"/>
        </w:rPr>
      </w:pPr>
    </w:p>
    <w:p>
      <w:pPr>
        <w:jc w:val="both"/>
        <w:ind w:left="680" w:right="40" w:firstLine="642"/>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Drum Merger Agreement</w:t>
      </w:r>
      <w:r>
        <w:rPr>
          <w:rFonts w:ascii="Times New Roman" w:cs="Times New Roman" w:eastAsia="Times New Roman" w:hAnsi="Times New Roman"/>
          <w:sz w:val="20"/>
          <w:szCs w:val="20"/>
          <w:color w:val="auto"/>
        </w:rPr>
        <w:t>” means that certain Agreement and Plan of Merger effective as of June 28, 2021, by and among Drum, Electric T&amp;D Holdings LLC, as buyer, Centuri, ETDH Merger Sub, Inc. and OCM Drum Investors, L.P., as representative of the stockholders and optionholders of Drum immediately prior to the Drum Acquisition, as sellers, together with all schedules and exhibits thereto and as the same may be amended, restated, supplemented or otherwise modified from time to time prior to the Closing Date.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440" w:val="left"/>
        </w:tabs>
        <w:rPr>
          <w:sz w:val="20"/>
          <w:szCs w:val="20"/>
          <w:color w:val="auto"/>
        </w:rPr>
      </w:pPr>
      <w:r>
        <w:rPr>
          <w:sz w:val="1"/>
          <w:szCs w:val="1"/>
          <w:color w:val="auto"/>
        </w:rPr>
        <w:drawing>
          <wp:inline distT="0" distB="0" distL="0" distR="0">
            <wp:extent cx="8255" cy="101600"/>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41">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35</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ectPr>
          <w:pgSz w:w="11900" w:h="16838" w:orient="portrait"/>
          <w:cols w:equalWidth="0" w:num="1">
            <w:col w:w="11100"/>
          </w:cols>
          <w:pgMar w:left="320" w:top="1440" w:right="479" w:bottom="1440" w:gutter="0" w:footer="0" w:header="0"/>
        </w:sectPr>
      </w:pPr>
    </w:p>
    <w:bookmarkStart w:id="184" w:name="page185"/>
    <w:bookmarkEnd w:id="184"/>
    <w:p>
      <w:pPr>
        <w:spacing w:after="0" w:line="95" w:lineRule="exact"/>
        <w:rPr>
          <w:sz w:val="20"/>
          <w:szCs w:val="20"/>
          <w:color w:val="auto"/>
        </w:rPr>
      </w:pPr>
    </w:p>
    <w:p>
      <w:pPr>
        <w:jc w:val="both"/>
        <w:ind w:left="680" w:firstLine="642"/>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ECF Percentage</w:t>
      </w:r>
      <w:r>
        <w:rPr>
          <w:rFonts w:ascii="Times New Roman" w:cs="Times New Roman" w:eastAsia="Times New Roman" w:hAnsi="Times New Roman"/>
          <w:sz w:val="20"/>
          <w:szCs w:val="20"/>
          <w:color w:val="auto"/>
        </w:rPr>
        <w:t>” means, with respect to any Fiscal Year, (a) 50%, if the Consolidated Net Leverage Ratio at the end of such Fiscal Year is greater than 4.00 to 1.00, (b) 25%, if the Consolidated Net Leverage Ratio at the end of such Fiscal Year is greater than to 3.50 to 1.00 but less than or equal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440" w:val="left"/>
        </w:tabs>
        <w:rPr>
          <w:sz w:val="20"/>
          <w:szCs w:val="20"/>
          <w:color w:val="auto"/>
        </w:rPr>
      </w:pPr>
      <w:r>
        <w:rPr>
          <w:sz w:val="1"/>
          <w:szCs w:val="1"/>
          <w:color w:val="auto"/>
        </w:rPr>
        <w:drawing>
          <wp:inline distT="0" distB="0" distL="0" distR="0">
            <wp:extent cx="8255" cy="101600"/>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42">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36</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ectPr>
          <w:pgSz w:w="11900" w:h="16838" w:orient="portrait"/>
          <w:cols w:equalWidth="0" w:num="1">
            <w:col w:w="11080"/>
          </w:cols>
          <w:pgMar w:left="320" w:top="1440" w:right="499" w:bottom="1440" w:gutter="0" w:footer="0" w:header="0"/>
        </w:sectPr>
      </w:pPr>
    </w:p>
    <w:bookmarkStart w:id="185" w:name="page186"/>
    <w:bookmarkEnd w:id="185"/>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4.00 to 1.00 and (c) 0%, if the Consolidated Net Leverage Ratio at the end of such Fiscal Year is less than or equal to 3.50 to 1.00.</w:t>
      </w:r>
    </w:p>
    <w:p>
      <w:pPr>
        <w:spacing w:after="0" w:line="223" w:lineRule="exact"/>
        <w:rPr>
          <w:sz w:val="20"/>
          <w:szCs w:val="20"/>
          <w:color w:val="auto"/>
        </w:rPr>
      </w:pPr>
    </w:p>
    <w:p>
      <w:pPr>
        <w:jc w:val="both"/>
        <w:ind w:left="620" w:firstLine="642"/>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Financial Institution</w:t>
      </w:r>
      <w:r>
        <w:rPr>
          <w:rFonts w:ascii="Times New Roman" w:cs="Times New Roman" w:eastAsia="Times New Roman" w:hAnsi="Times New Roman"/>
          <w:sz w:val="20"/>
          <w:szCs w:val="20"/>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Member Country</w:t>
      </w:r>
      <w:r>
        <w:rPr>
          <w:rFonts w:ascii="Times New Roman" w:cs="Times New Roman" w:eastAsia="Times New Roman" w:hAnsi="Times New Roman"/>
          <w:sz w:val="20"/>
          <w:szCs w:val="20"/>
          <w:color w:val="auto"/>
        </w:rPr>
        <w:t>” means any of the member states of the European Union, Iceland, Liechtenstein, and Norway.</w:t>
      </w:r>
    </w:p>
    <w:p>
      <w:pPr>
        <w:spacing w:after="0" w:line="211" w:lineRule="exact"/>
        <w:rPr>
          <w:sz w:val="20"/>
          <w:szCs w:val="20"/>
          <w:color w:val="auto"/>
        </w:rPr>
      </w:pPr>
    </w:p>
    <w:p>
      <w:pPr>
        <w:jc w:val="both"/>
        <w:ind w:left="620" w:right="40" w:firstLine="642"/>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Resolution Authority</w:t>
      </w:r>
      <w:r>
        <w:rPr>
          <w:rFonts w:ascii="Times New Roman" w:cs="Times New Roman" w:eastAsia="Times New Roman" w:hAnsi="Times New Roman"/>
          <w:sz w:val="20"/>
          <w:szCs w:val="20"/>
          <w:color w:val="auto"/>
        </w:rPr>
        <w:t>” means any public administrative authority or any Person entrusted with public administrative authority of any EEA Member Country (including any delegee) having responsibility for the resolution of any credit institution or investment firm established in any EEA Member Country.</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Electronic Record</w:t>
      </w:r>
      <w:r>
        <w:rPr>
          <w:rFonts w:ascii="Times New Roman" w:cs="Times New Roman" w:eastAsia="Times New Roman" w:hAnsi="Times New Roman"/>
          <w:sz w:val="19"/>
          <w:szCs w:val="19"/>
          <w:color w:val="auto"/>
        </w:rPr>
        <w:t>” has the meaning assigned to that term in, and shall be interpreted in accordance with, 15 U.S.C. 7006.</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Electronic Signature</w:t>
      </w:r>
      <w:r>
        <w:rPr>
          <w:rFonts w:ascii="Times New Roman" w:cs="Times New Roman" w:eastAsia="Times New Roman" w:hAnsi="Times New Roman"/>
          <w:sz w:val="20"/>
          <w:szCs w:val="20"/>
          <w:color w:val="auto"/>
        </w:rPr>
        <w:t>” has the meaning assigned to that term in, and shall be interpreted in accordance with, 15 U.S.C.</w:t>
      </w:r>
    </w:p>
    <w:p>
      <w:pPr>
        <w:spacing w:after="0" w:line="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7006.</w:t>
      </w:r>
    </w:p>
    <w:p>
      <w:pPr>
        <w:spacing w:after="0" w:line="197" w:lineRule="exact"/>
        <w:rPr>
          <w:sz w:val="20"/>
          <w:szCs w:val="20"/>
          <w:color w:val="auto"/>
        </w:rPr>
      </w:pPr>
    </w:p>
    <w:p>
      <w:pPr>
        <w:jc w:val="both"/>
        <w:ind w:left="620" w:right="40" w:firstLine="642"/>
        <w:spacing w:after="0" w:line="27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Assignee</w:t>
      </w:r>
      <w:r>
        <w:rPr>
          <w:rFonts w:ascii="Times New Roman" w:cs="Times New Roman" w:eastAsia="Times New Roman" w:hAnsi="Times New Roman"/>
          <w:sz w:val="20"/>
          <w:szCs w:val="20"/>
          <w:color w:val="auto"/>
        </w:rPr>
        <w:t xml:space="preserve">” means any Person that meets the requirements to be an assignee under </w:t>
      </w:r>
      <w:r>
        <w:rPr>
          <w:rFonts w:ascii="Times New Roman" w:cs="Times New Roman" w:eastAsia="Times New Roman" w:hAnsi="Times New Roman"/>
          <w:sz w:val="20"/>
          <w:szCs w:val="20"/>
          <w:u w:val="single" w:color="auto"/>
          <w:color w:val="auto"/>
        </w:rPr>
        <w:t>Section 12.9(b)(iii)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(vi)</w:t>
      </w:r>
      <w:r>
        <w:rPr>
          <w:rFonts w:ascii="Times New Roman" w:cs="Times New Roman" w:eastAsia="Times New Roman" w:hAnsi="Times New Roman"/>
          <w:sz w:val="20"/>
          <w:szCs w:val="20"/>
          <w:color w:val="auto"/>
        </w:rPr>
        <w:t xml:space="preserve"> (subject to such consents, if any, as may be required under </w:t>
      </w:r>
      <w:r>
        <w:rPr>
          <w:rFonts w:ascii="Times New Roman" w:cs="Times New Roman" w:eastAsia="Times New Roman" w:hAnsi="Times New Roman"/>
          <w:sz w:val="20"/>
          <w:szCs w:val="20"/>
          <w:u w:val="single" w:color="auto"/>
          <w:color w:val="auto"/>
        </w:rPr>
        <w:t>Section 12.9(b)(iii)</w:t>
      </w:r>
      <w:r>
        <w:rPr>
          <w:rFonts w:ascii="Times New Roman" w:cs="Times New Roman" w:eastAsia="Times New Roman" w:hAnsi="Times New Roman"/>
          <w:sz w:val="20"/>
          <w:szCs w:val="20"/>
          <w:color w:val="auto"/>
        </w:rPr>
        <w:t>).</w:t>
      </w:r>
    </w:p>
    <w:p>
      <w:pPr>
        <w:spacing w:after="0" w:line="151" w:lineRule="exact"/>
        <w:rPr>
          <w:sz w:val="20"/>
          <w:szCs w:val="20"/>
          <w:color w:val="auto"/>
        </w:rPr>
      </w:pPr>
    </w:p>
    <w:p>
      <w:pPr>
        <w:jc w:val="both"/>
        <w:ind w:left="620" w:right="40" w:firstLine="642"/>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Employee Benefit Plan</w:t>
      </w:r>
      <w:r>
        <w:rPr>
          <w:rFonts w:ascii="Times New Roman" w:cs="Times New Roman" w:eastAsia="Times New Roman" w:hAnsi="Times New Roman"/>
          <w:sz w:val="20"/>
          <w:szCs w:val="20"/>
          <w:color w:val="auto"/>
        </w:rPr>
        <w:t>” means (a) any employee benefit plan within the meaning of Section 3(3) of ERISA that is maintained for employees of any Credit Party or any ERISA Affiliate or</w:t>
      </w:r>
    </w:p>
    <w:p>
      <w:pPr>
        <w:spacing w:after="0" w:line="1" w:lineRule="exact"/>
        <w:rPr>
          <w:sz w:val="20"/>
          <w:szCs w:val="20"/>
          <w:color w:val="auto"/>
        </w:rPr>
      </w:pPr>
    </w:p>
    <w:p>
      <w:pPr>
        <w:ind w:left="620" w:right="40" w:firstLine="4"/>
        <w:spacing w:after="0" w:line="254" w:lineRule="auto"/>
        <w:tabs>
          <w:tab w:leader="none" w:pos="91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Pension Plan or Multiemployer Plan that has at any time within the preceding seven (7) years been maintained, funded or administered for the employees of any Credit Party or any current or former ERISA Affiliate.</w:t>
      </w:r>
    </w:p>
    <w:p>
      <w:pPr>
        <w:spacing w:after="0" w:line="173" w:lineRule="exact"/>
        <w:rPr>
          <w:sz w:val="20"/>
          <w:szCs w:val="20"/>
          <w:color w:val="auto"/>
        </w:rPr>
      </w:pPr>
    </w:p>
    <w:p>
      <w:pPr>
        <w:jc w:val="both"/>
        <w:ind w:left="620" w:right="20" w:firstLine="642"/>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Claims</w:t>
      </w:r>
      <w:r>
        <w:rPr>
          <w:rFonts w:ascii="Times New Roman" w:cs="Times New Roman" w:eastAsia="Times New Roman" w:hAnsi="Times New Roman"/>
          <w:sz w:val="20"/>
          <w:szCs w:val="20"/>
          <w:color w:val="auto"/>
        </w:rPr>
        <w:t>” means any and all administrative, regulatory or judicial actions, suits, demands, demand letters, claims, liens, accusations, allegations, notices of noncompliance or violation, investigations (other than internal reports prepared by any Person in the ordinary course of business and not in response to any third party action or request of any kind) or proceedings relating in any way to any actual or alleged violation of or liability under any Environmental Law or relating to any permit issued, or any approval given, under any such Environmental Law, including, without limitation, any and all claims by Governmental Authorities for enforcement, cleanup, removal, response, remedial or other actions or damages, contribution, indemnification, cost recovery, compensation or injunctive relief resulting from Hazardous Materials or arising from alleged injury or threat of injury to human health or the environment.</w:t>
      </w:r>
    </w:p>
    <w:p>
      <w:pPr>
        <w:spacing w:after="0" w:line="185" w:lineRule="exact"/>
        <w:rPr>
          <w:sz w:val="20"/>
          <w:szCs w:val="20"/>
          <w:color w:val="auto"/>
        </w:rPr>
      </w:pPr>
    </w:p>
    <w:p>
      <w:pPr>
        <w:jc w:val="both"/>
        <w:ind w:left="620" w:right="40" w:firstLine="642"/>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means any and all federal, foreign, state, provincial and local laws, statutes, ordinances, codes, rules, standards and regulations, permits, licenses, approvals, interpretations and orders of courts or Governmental Authorities, relating to the protection of human health or the environment, including, but not limited to, requirements pertaining to the manufacture, processing,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37</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-34290</wp:posOffset>
            </wp:positionV>
            <wp:extent cx="8255" cy="1016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43">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1040"/>
          </w:cols>
          <w:pgMar w:left="380" w:top="1440" w:right="479" w:bottom="1440" w:gutter="0" w:footer="0" w:header="0"/>
        </w:sectPr>
      </w:pPr>
    </w:p>
    <w:bookmarkStart w:id="186" w:name="page187"/>
    <w:bookmarkEnd w:id="186"/>
    <w:p>
      <w:pPr>
        <w:spacing w:after="0" w:line="202" w:lineRule="exact"/>
        <w:rPr>
          <w:sz w:val="20"/>
          <w:szCs w:val="20"/>
          <w:color w:val="auto"/>
        </w:rPr>
      </w:pPr>
    </w:p>
    <w:p>
      <w:pPr>
        <w:ind w:left="680"/>
        <w:spacing w:after="0" w:line="263" w:lineRule="auto"/>
        <w:rPr>
          <w:sz w:val="20"/>
          <w:szCs w:val="20"/>
          <w:color w:val="auto"/>
        </w:rPr>
      </w:pPr>
      <w:r>
        <w:rPr>
          <w:rFonts w:ascii="Times New Roman" w:cs="Times New Roman" w:eastAsia="Times New Roman" w:hAnsi="Times New Roman"/>
          <w:sz w:val="20"/>
          <w:szCs w:val="20"/>
          <w:color w:val="auto"/>
        </w:rPr>
        <w:t>distribution, use, treatment, storage, disposal, transportation, handling, reporting, licensing, permitting, investigation or remediation of Hazardous Materials.</w:t>
      </w:r>
    </w:p>
    <w:p>
      <w:pPr>
        <w:spacing w:after="0" w:line="178" w:lineRule="exact"/>
        <w:rPr>
          <w:sz w:val="20"/>
          <w:szCs w:val="20"/>
          <w:color w:val="auto"/>
        </w:rPr>
      </w:pPr>
    </w:p>
    <w:p>
      <w:pPr>
        <w:jc w:val="both"/>
        <w:ind w:left="680" w:right="120" w:firstLine="642"/>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Equity Interests</w:t>
      </w:r>
      <w:r>
        <w:rPr>
          <w:rFonts w:ascii="Times New Roman" w:cs="Times New Roman" w:eastAsia="Times New Roman" w:hAnsi="Times New Roman"/>
          <w:sz w:val="19"/>
          <w:szCs w:val="19"/>
          <w:color w:val="auto"/>
        </w:rPr>
        <w:t>” means (a) in the case of a corporation, capital stock, (b) in the case of an association or business entity, any and all shares, interests, participations, rights or other equivalents (however designated) of capital stock, (c) in the case of a partnership, partnership interests (whether general or limited), (d) in the case of a limited liability company, membership interests,</w:t>
      </w:r>
    </w:p>
    <w:p>
      <w:pPr>
        <w:spacing w:after="0" w:line="2" w:lineRule="exact"/>
        <w:rPr>
          <w:sz w:val="20"/>
          <w:szCs w:val="20"/>
          <w:color w:val="auto"/>
        </w:rPr>
      </w:pPr>
    </w:p>
    <w:p>
      <w:pPr>
        <w:ind w:left="680" w:right="120" w:firstLine="4"/>
        <w:spacing w:after="0" w:line="254" w:lineRule="auto"/>
        <w:tabs>
          <w:tab w:leader="none" w:pos="949"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interest or participation that confers on a Person the right to receive a share of the profits and losses of, or distributions of assets of, the issuing Person and (f) any and all warrants, rights or options to purchase any of the foregoing.</w:t>
      </w:r>
    </w:p>
    <w:p>
      <w:pPr>
        <w:spacing w:after="0" w:line="17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means the Employee Retirement Income Security Act of 1974, and the rules and regulations thereunder.</w:t>
      </w:r>
    </w:p>
    <w:p>
      <w:pPr>
        <w:spacing w:after="0" w:line="225" w:lineRule="exact"/>
        <w:rPr>
          <w:sz w:val="20"/>
          <w:szCs w:val="20"/>
          <w:color w:val="auto"/>
        </w:rPr>
      </w:pPr>
    </w:p>
    <w:p>
      <w:pPr>
        <w:jc w:val="both"/>
        <w:ind w:left="680" w:right="160" w:firstLine="642"/>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Affiliate</w:t>
      </w:r>
      <w:r>
        <w:rPr>
          <w:rFonts w:ascii="Times New Roman" w:cs="Times New Roman" w:eastAsia="Times New Roman" w:hAnsi="Times New Roman"/>
          <w:sz w:val="20"/>
          <w:szCs w:val="20"/>
          <w:color w:val="auto"/>
        </w:rPr>
        <w:t>” means any Person who together with any Credit Party or any of its Subsidiaries is treated as a single employer within the meaning of Section 414(b), (c), (m) or (o) of the Code or Section 4001(b) of ERISA.</w:t>
      </w:r>
    </w:p>
    <w:p>
      <w:pPr>
        <w:spacing w:after="0" w:line="17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 Payment</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11.11(a)</w:t>
      </w:r>
      <w:r>
        <w:rPr>
          <w:rFonts w:ascii="Times New Roman" w:cs="Times New Roman" w:eastAsia="Times New Roman" w:hAnsi="Times New Roman"/>
          <w:sz w:val="20"/>
          <w:szCs w:val="20"/>
          <w:color w:val="auto"/>
        </w:rPr>
        <w:t>.</w:t>
      </w:r>
    </w:p>
    <w:p>
      <w:pPr>
        <w:spacing w:after="0" w:line="19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 Payment Deficiency Assignment</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11.11(d)</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 Payment Impacted Class</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11.11(d)</w:t>
      </w:r>
      <w:r>
        <w:rPr>
          <w:rFonts w:ascii="Times New Roman" w:cs="Times New Roman" w:eastAsia="Times New Roman" w:hAnsi="Times New Roman"/>
          <w:sz w:val="20"/>
          <w:szCs w:val="20"/>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 Payment Return Deficiency</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11.11(d)</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EU Bail-In Legislation</w:t>
      </w:r>
    </w:p>
    <w:p>
      <w:pPr>
        <w:spacing w:after="0" w:line="26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means the EU Bail-In Legislation Schedule published by the</w:t>
      </w:r>
    </w:p>
    <w:p>
      <w:pPr>
        <w:spacing w:after="0" w:line="11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Loan Market Association (or any successor thereto) as in effect from time to time.</w:t>
      </w:r>
    </w:p>
    <w:p>
      <w:pPr>
        <w:spacing w:after="0" w:line="225" w:lineRule="exact"/>
        <w:rPr>
          <w:sz w:val="20"/>
          <w:szCs w:val="20"/>
          <w:color w:val="auto"/>
        </w:rPr>
      </w:pPr>
    </w:p>
    <w:p>
      <w:pPr>
        <w:jc w:val="both"/>
        <w:ind w:left="680" w:right="160" w:firstLine="642"/>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Eurodollar Reserve Percentage</w:t>
      </w:r>
      <w:r>
        <w:rPr>
          <w:rFonts w:ascii="Times New Roman" w:cs="Times New Roman" w:eastAsia="Times New Roman" w:hAnsi="Times New Roman"/>
          <w:sz w:val="20"/>
          <w:szCs w:val="20"/>
          <w:color w:val="auto"/>
        </w:rPr>
        <w:t>” means, for any day, the percentage which is in effect for such day as prescribed by the FRB for determining the maximum reserve requirement (including, without limitation, any basic, supplemental or emergency reserves) in respect of eurocurrency liabilities or any similar category of liabilities for a member bank of the Federal Reserve System in New York City.</w:t>
      </w:r>
    </w:p>
    <w:p>
      <w:pPr>
        <w:spacing w:after="0" w:line="173" w:lineRule="exact"/>
        <w:rPr>
          <w:sz w:val="20"/>
          <w:szCs w:val="20"/>
          <w:color w:val="auto"/>
        </w:rPr>
      </w:pPr>
    </w:p>
    <w:p>
      <w:pPr>
        <w:ind w:left="680" w:right="420" w:firstLine="642"/>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xml:space="preserve">” means any of the events specified in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requirement for passage of time, giving of notice, or any other condition, has been satisfied.</w:t>
      </w:r>
    </w:p>
    <w:p>
      <w:pPr>
        <w:spacing w:after="0" w:line="17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Excess Cash Flow</w:t>
      </w:r>
      <w:r>
        <w:rPr>
          <w:rFonts w:ascii="Times New Roman" w:cs="Times New Roman" w:eastAsia="Times New Roman" w:hAnsi="Times New Roman"/>
          <w:sz w:val="19"/>
          <w:szCs w:val="19"/>
          <w:color w:val="auto"/>
        </w:rPr>
        <w:t>” means, for Centuri and its Subsidiaries on a Consolidated basis, in accordance with GAAP for any Fiscal</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Year:</w:t>
      </w:r>
    </w:p>
    <w:p>
      <w:pPr>
        <w:spacing w:after="0" w:line="203" w:lineRule="exact"/>
        <w:rPr>
          <w:sz w:val="20"/>
          <w:szCs w:val="20"/>
          <w:color w:val="auto"/>
        </w:rPr>
      </w:pPr>
    </w:p>
    <w:p>
      <w:pPr>
        <w:ind w:left="1960" w:hanging="633"/>
        <w:spacing w:after="0"/>
        <w:tabs>
          <w:tab w:leader="none" w:pos="196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without duplication, of:</w:t>
      </w:r>
    </w:p>
    <w:p>
      <w:pPr>
        <w:spacing w:after="0" w:line="211" w:lineRule="exact"/>
        <w:rPr>
          <w:rFonts w:ascii="Times New Roman" w:cs="Times New Roman" w:eastAsia="Times New Roman" w:hAnsi="Times New Roman"/>
          <w:sz w:val="20"/>
          <w:szCs w:val="20"/>
          <w:color w:val="auto"/>
        </w:rPr>
      </w:pPr>
    </w:p>
    <w:p>
      <w:pPr>
        <w:ind w:left="2600" w:hanging="631"/>
        <w:spacing w:after="0"/>
        <w:tabs>
          <w:tab w:leader="none" w:pos="2600"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Consolidated Net Income for such Fiscal Year; </w:t>
      </w:r>
      <w:r>
        <w:rPr>
          <w:rFonts w:ascii="Times New Roman" w:cs="Times New Roman" w:eastAsia="Times New Roman" w:hAnsi="Times New Roman"/>
          <w:sz w:val="20"/>
          <w:szCs w:val="20"/>
          <w:u w:val="single" w:color="auto"/>
          <w:color w:val="auto"/>
        </w:rPr>
        <w:t>plus</w:t>
      </w:r>
    </w:p>
    <w:p>
      <w:pPr>
        <w:spacing w:after="0" w:line="224" w:lineRule="exact"/>
        <w:rPr>
          <w:rFonts w:ascii="Times New Roman" w:cs="Times New Roman" w:eastAsia="Times New Roman" w:hAnsi="Times New Roman"/>
          <w:sz w:val="20"/>
          <w:szCs w:val="20"/>
          <w:color w:val="auto"/>
        </w:rPr>
      </w:pPr>
    </w:p>
    <w:p>
      <w:pPr>
        <w:jc w:val="both"/>
        <w:ind w:left="1320" w:right="160" w:firstLine="648"/>
        <w:spacing w:after="0" w:line="276" w:lineRule="auto"/>
        <w:tabs>
          <w:tab w:leader="none" w:pos="2562" w:val="left"/>
        </w:tabs>
        <w:numPr>
          <w:ilvl w:val="1"/>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 amount equal to the amount of all non-cash charges to the extent deducted in determining Consolidated Net Income for such Fiscal Year (excluding any non-cash charges representing an accrual or reserve for a potential cash charge in any future Fiscal Year or amortization of a prepaid cash gain that was paid in a prior Fiscal Year); </w:t>
      </w:r>
      <w:r>
        <w:rPr>
          <w:rFonts w:ascii="Times New Roman" w:cs="Times New Roman" w:eastAsia="Times New Roman" w:hAnsi="Times New Roman"/>
          <w:sz w:val="19"/>
          <w:szCs w:val="19"/>
          <w:u w:val="single" w:color="auto"/>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440" w:val="left"/>
        </w:tabs>
        <w:rPr>
          <w:sz w:val="20"/>
          <w:szCs w:val="20"/>
          <w:color w:val="auto"/>
        </w:rPr>
      </w:pPr>
      <w:r>
        <w:rPr>
          <w:sz w:val="1"/>
          <w:szCs w:val="1"/>
          <w:color w:val="auto"/>
        </w:rPr>
        <w:drawing>
          <wp:inline distT="0" distB="0" distL="0" distR="0">
            <wp:extent cx="8255" cy="101600"/>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44">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38</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ectPr>
          <w:pgSz w:w="11900" w:h="16838" w:orient="portrait"/>
          <w:cols w:equalWidth="0" w:num="1">
            <w:col w:w="11220"/>
          </w:cols>
          <w:pgMar w:left="320" w:top="1440" w:right="359" w:bottom="1440" w:gutter="0" w:footer="0" w:header="0"/>
        </w:sectPr>
      </w:pPr>
    </w:p>
    <w:bookmarkStart w:id="187" w:name="page188"/>
    <w:bookmarkEnd w:id="187"/>
    <w:p>
      <w:pPr>
        <w:spacing w:after="0" w:line="95" w:lineRule="exact"/>
        <w:rPr>
          <w:sz w:val="20"/>
          <w:szCs w:val="20"/>
          <w:color w:val="auto"/>
        </w:rPr>
      </w:pPr>
    </w:p>
    <w:p>
      <w:pPr>
        <w:ind w:left="2540" w:hanging="631"/>
        <w:spacing w:after="0"/>
        <w:tabs>
          <w:tab w:leader="none" w:pos="2540"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decreases in Working Capital for such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39</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-34290</wp:posOffset>
            </wp:positionV>
            <wp:extent cx="8255" cy="1016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45">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0079"/>
          </w:cols>
          <w:pgMar w:left="380" w:top="1440" w:right="1440" w:bottom="1440" w:gutter="0" w:footer="0" w:header="0"/>
        </w:sectPr>
      </w:pPr>
    </w:p>
    <w:bookmarkStart w:id="188" w:name="page189"/>
    <w:bookmarkEnd w:id="188"/>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u w:val="single" w:color="auto"/>
          <w:color w:val="auto"/>
        </w:rPr>
        <w:t>minus</w:t>
      </w:r>
    </w:p>
    <w:p>
      <w:pPr>
        <w:spacing w:after="0" w:line="211" w:lineRule="exact"/>
        <w:rPr>
          <w:sz w:val="20"/>
          <w:szCs w:val="20"/>
          <w:color w:val="auto"/>
        </w:rPr>
      </w:pPr>
    </w:p>
    <w:p>
      <w:pPr>
        <w:ind w:left="1900" w:hanging="633"/>
        <w:spacing w:after="0"/>
        <w:tabs>
          <w:tab w:leader="none" w:pos="190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without duplication, of:</w:t>
      </w:r>
    </w:p>
    <w:p>
      <w:pPr>
        <w:spacing w:after="0" w:line="224" w:lineRule="exact"/>
        <w:rPr>
          <w:rFonts w:ascii="Times New Roman" w:cs="Times New Roman" w:eastAsia="Times New Roman" w:hAnsi="Times New Roman"/>
          <w:sz w:val="20"/>
          <w:szCs w:val="20"/>
          <w:color w:val="auto"/>
        </w:rPr>
      </w:pPr>
    </w:p>
    <w:p>
      <w:pPr>
        <w:jc w:val="both"/>
        <w:ind w:left="1260" w:firstLine="648"/>
        <w:spacing w:after="0" w:line="247" w:lineRule="auto"/>
        <w:tabs>
          <w:tab w:leader="none" w:pos="2501"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aggregate amount of cash actually paid by Centuri and its Subsidiaries during such Fiscal Year on account of Capital Expenditures, Permitted Acquisitions and other Investments pursuant to </w:t>
      </w:r>
      <w:r>
        <w:rPr>
          <w:rFonts w:ascii="Times New Roman" w:cs="Times New Roman" w:eastAsia="Times New Roman" w:hAnsi="Times New Roman"/>
          <w:sz w:val="20"/>
          <w:szCs w:val="20"/>
          <w:u w:val="single" w:color="auto"/>
          <w:color w:val="auto"/>
        </w:rPr>
        <w:t>Section 9.3</w:t>
      </w:r>
      <w:r>
        <w:rPr>
          <w:rFonts w:ascii="Times New Roman" w:cs="Times New Roman" w:eastAsia="Times New Roman" w:hAnsi="Times New Roman"/>
          <w:sz w:val="20"/>
          <w:szCs w:val="20"/>
          <w:color w:val="auto"/>
        </w:rPr>
        <w:t xml:space="preserve"> (but excluding Investments in cash or Cash Equivalents and Investments in Centuri or any Subsidiary) (other than any amounts that were committed during a prior Fiscal Year to the extent such amounts reduced Excess Cash Flow in such prior Fiscal Year per clause (b)(ii) below), except to the extent any such Capital Expenditure, Permitted Acquisition or other Investment is made with the proceeds of long-term Indebtedness (other than Revolving Credit Loans), any Equity Issuance, casualty proceeds, condemnation proceeds or other proceeds that would not be included in Consolidated EBITDA;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amount of Capital Expenditures deducted under this clause (b)(i) that are financed with long-term Indebtedness, any Equity Issuance, casualty proceeds, condemnation proceeds or other proceeds that would not be included in Consolidated EBITDA in a future period, shall be added to the calculation of Excess Cash Flow in the applicable future period; </w:t>
      </w:r>
      <w:r>
        <w:rPr>
          <w:rFonts w:ascii="Times New Roman" w:cs="Times New Roman" w:eastAsia="Times New Roman" w:hAnsi="Times New Roman"/>
          <w:sz w:val="20"/>
          <w:szCs w:val="20"/>
          <w:u w:val="single" w:color="auto"/>
          <w:color w:val="auto"/>
        </w:rPr>
        <w:t>plus</w:t>
      </w:r>
    </w:p>
    <w:p>
      <w:pPr>
        <w:spacing w:after="0" w:line="187" w:lineRule="exact"/>
        <w:rPr>
          <w:rFonts w:ascii="Times New Roman" w:cs="Times New Roman" w:eastAsia="Times New Roman" w:hAnsi="Times New Roman"/>
          <w:sz w:val="20"/>
          <w:szCs w:val="20"/>
          <w:color w:val="auto"/>
        </w:rPr>
      </w:pPr>
    </w:p>
    <w:p>
      <w:pPr>
        <w:jc w:val="both"/>
        <w:ind w:left="1260" w:right="40" w:firstLine="648"/>
        <w:spacing w:after="0" w:line="249" w:lineRule="auto"/>
        <w:tabs>
          <w:tab w:leader="none" w:pos="2502"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duplication of amounts deducted from Excess Cash Flow in other periods, (A) the aggregate consideration required to be paid in cash by Centuri and its Subsidiaries pursuant to binding contracts, commitments, letters of intent or purchase orders (such amount, the “</w:t>
      </w:r>
      <w:r>
        <w:rPr>
          <w:rFonts w:ascii="Times New Roman" w:cs="Times New Roman" w:eastAsia="Times New Roman" w:hAnsi="Times New Roman"/>
          <w:sz w:val="20"/>
          <w:szCs w:val="20"/>
          <w:u w:val="single" w:color="auto"/>
          <w:color w:val="auto"/>
        </w:rPr>
        <w:t>Contract Consideration</w:t>
      </w:r>
      <w:r>
        <w:rPr>
          <w:rFonts w:ascii="Times New Roman" w:cs="Times New Roman" w:eastAsia="Times New Roman" w:hAnsi="Times New Roman"/>
          <w:sz w:val="20"/>
          <w:szCs w:val="20"/>
          <w:color w:val="auto"/>
        </w:rPr>
        <w:t>”) entered into prior to or during such Fiscal Year and</w:t>
      </w:r>
    </w:p>
    <w:p>
      <w:pPr>
        <w:spacing w:after="0" w:line="3" w:lineRule="exact"/>
        <w:rPr>
          <w:rFonts w:ascii="Times New Roman" w:cs="Times New Roman" w:eastAsia="Times New Roman" w:hAnsi="Times New Roman"/>
          <w:sz w:val="20"/>
          <w:szCs w:val="20"/>
          <w:color w:val="auto"/>
        </w:rPr>
      </w:pPr>
    </w:p>
    <w:p>
      <w:pPr>
        <w:jc w:val="both"/>
        <w:ind w:left="1260"/>
        <w:spacing w:after="0" w:line="24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 any planned cash expenditures by Centuri and its Subsidiaries (such amount, the “</w:t>
      </w:r>
      <w:r>
        <w:rPr>
          <w:rFonts w:ascii="Times New Roman" w:cs="Times New Roman" w:eastAsia="Times New Roman" w:hAnsi="Times New Roman"/>
          <w:sz w:val="20"/>
          <w:szCs w:val="20"/>
          <w:u w:val="single" w:color="auto"/>
          <w:color w:val="auto"/>
        </w:rPr>
        <w:t>Planned Expenditures</w:t>
      </w:r>
      <w:r>
        <w:rPr>
          <w:rFonts w:ascii="Times New Roman" w:cs="Times New Roman" w:eastAsia="Times New Roman" w:hAnsi="Times New Roman"/>
          <w:sz w:val="20"/>
          <w:szCs w:val="20"/>
          <w:color w:val="auto"/>
        </w:rPr>
        <w:t xml:space="preserve">”), in the case of each of clauses (A) and (B), relating to Permitted Acquisitions, Capital Expenditures and other Investments pursuant to </w:t>
      </w:r>
      <w:r>
        <w:rPr>
          <w:rFonts w:ascii="Times New Roman" w:cs="Times New Roman" w:eastAsia="Times New Roman" w:hAnsi="Times New Roman"/>
          <w:sz w:val="20"/>
          <w:szCs w:val="20"/>
          <w:u w:val="single" w:color="auto"/>
          <w:color w:val="auto"/>
        </w:rPr>
        <w:t>Section 9.3</w:t>
      </w:r>
      <w:r>
        <w:rPr>
          <w:rFonts w:ascii="Times New Roman" w:cs="Times New Roman" w:eastAsia="Times New Roman" w:hAnsi="Times New Roman"/>
          <w:sz w:val="20"/>
          <w:szCs w:val="20"/>
          <w:color w:val="auto"/>
        </w:rPr>
        <w:t xml:space="preserve"> (but excluding Investments in cash or Cash Equivalents and Investments in Centuri or any Subsidiary) to be consummated or made during the period of four (4) consecutive fiscal quarters of Centuri following the end of such Fiscal Year and identified in writing to the Administrative Agent with reasonable supporting calculations, except to the extent any such Capital Expenditure, Permitted Acquisition or other Investment is made with the proceeds of long-term Indebtedness (other than Revolving Credit Loans), any Equity Issuance, casualty proceeds, condemnation proceeds or other proceeds that would not be included in Consolidated EBITDA;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that the aggregate amount of cash actually utilized to finance such Permitted Acquisitions, Capital Expenditures or other Investments during such following period of four consecutive fiscal quarters is less than such Contract Consideration and Planned Expenditures, the amount of such shortfall shall be added to the calculation of Excess Cash Flow, at the end of such period of four consecutive fiscal quarters;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any amount of Contract Consideration and/or Planned Expenditures relating to Capital Expenditures deducted under this clause (b)(ii) that are financed with long-term Indebtedness, any Equity Issuance, casualty proceeds, condemnation proceeds or other proceeds that would not be included in Consolidated EBITDA in a future period, shall be added to the calculation of Excess Cash Flow in the applicable future period;</w:t>
      </w:r>
    </w:p>
    <w:p>
      <w:pPr>
        <w:spacing w:after="0" w:line="187" w:lineRule="exact"/>
        <w:rPr>
          <w:rFonts w:ascii="Times New Roman" w:cs="Times New Roman" w:eastAsia="Times New Roman" w:hAnsi="Times New Roman"/>
          <w:sz w:val="20"/>
          <w:szCs w:val="20"/>
          <w:color w:val="auto"/>
        </w:rPr>
      </w:pPr>
    </w:p>
    <w:p>
      <w:pPr>
        <w:jc w:val="both"/>
        <w:ind w:left="1260" w:right="40" w:firstLine="648"/>
        <w:spacing w:after="0" w:line="250" w:lineRule="auto"/>
        <w:tabs>
          <w:tab w:leader="none" w:pos="2503"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aggregate amount of all scheduled principal payments or repayments of Indebtedness (other than mandatory prepayments of Loans) made by Centuri and its Subsidiaries during such Fiscal Year, but only to the extent that such payments or repayments by their terms cannot be reborrowed or redrawn and do not occur in connection with a refinancing of all or any portion of such Indebtedness, except to the extent such principal payments are financed with the proceeds of long-term Indebtedness, any Equity Issuance, casualty proceeds, condemnation proceeds or other proceeds that would not be included in Consolidated EBITDA; </w:t>
      </w:r>
      <w:r>
        <w:rPr>
          <w:rFonts w:ascii="Times New Roman" w:cs="Times New Roman" w:eastAsia="Times New Roman" w:hAnsi="Times New Roman"/>
          <w:sz w:val="20"/>
          <w:szCs w:val="20"/>
          <w:u w:val="single" w:color="auto"/>
          <w:color w:val="auto"/>
        </w:rPr>
        <w:t>plus</w:t>
      </w:r>
    </w:p>
    <w:p>
      <w:pPr>
        <w:spacing w:after="0" w:line="200" w:lineRule="exact"/>
        <w:rPr>
          <w:sz w:val="20"/>
          <w:szCs w:val="20"/>
          <w:color w:val="auto"/>
        </w:rPr>
      </w:pPr>
    </w:p>
    <w:p>
      <w:pPr>
        <w:spacing w:after="0" w:line="39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40</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-43180</wp:posOffset>
            </wp:positionV>
            <wp:extent cx="8255" cy="1016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46">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1040"/>
          </w:cols>
          <w:pgMar w:left="380" w:top="1440" w:right="479" w:bottom="1440" w:gutter="0" w:footer="0" w:header="0"/>
        </w:sectPr>
      </w:pPr>
    </w:p>
    <w:bookmarkStart w:id="189" w:name="page190"/>
    <w:bookmarkEnd w:id="189"/>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-43180</wp:posOffset>
            </wp:positionV>
            <wp:extent cx="8255" cy="1016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47">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0079"/>
          </w:cols>
          <w:pgMar w:left="380" w:top="1440" w:right="1440" w:bottom="1440" w:gutter="0" w:footer="0" w:header="0"/>
        </w:sectPr>
      </w:pPr>
    </w:p>
    <w:bookmarkStart w:id="190" w:name="page191"/>
    <w:bookmarkEnd w:id="190"/>
    <w:p>
      <w:pPr>
        <w:spacing w:after="0" w:line="202" w:lineRule="exact"/>
        <w:rPr>
          <w:sz w:val="20"/>
          <w:szCs w:val="20"/>
          <w:color w:val="auto"/>
        </w:rPr>
      </w:pPr>
    </w:p>
    <w:p>
      <w:pPr>
        <w:jc w:val="both"/>
        <w:ind w:left="1260" w:right="60" w:firstLine="648"/>
        <w:spacing w:after="0" w:line="250" w:lineRule="auto"/>
        <w:tabs>
          <w:tab w:leader="none" w:pos="2506"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Restricted Payments made by Centuri and its Subsidiaries in cash during such Excess Cash Flow Period pursuant to </w:t>
      </w:r>
      <w:r>
        <w:rPr>
          <w:rFonts w:ascii="Times New Roman" w:cs="Times New Roman" w:eastAsia="Times New Roman" w:hAnsi="Times New Roman"/>
          <w:sz w:val="20"/>
          <w:szCs w:val="20"/>
          <w:u w:val="single" w:color="auto"/>
          <w:color w:val="auto"/>
        </w:rPr>
        <w:t>Section 9.6(e)</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in each case to the extent that such Restricted Payments are not financed with the proceeds of long-term Indebtedness, any Equity Issuance, casualty proceeds, condemnation proceeds or other proceeds that would not be included in Consolidated EBITDA; </w:t>
      </w:r>
      <w:r>
        <w:rPr>
          <w:rFonts w:ascii="Times New Roman" w:cs="Times New Roman" w:eastAsia="Times New Roman" w:hAnsi="Times New Roman"/>
          <w:sz w:val="20"/>
          <w:szCs w:val="20"/>
          <w:u w:val="single" w:color="auto"/>
          <w:color w:val="auto"/>
        </w:rPr>
        <w:t>plus</w:t>
      </w:r>
    </w:p>
    <w:p>
      <w:pPr>
        <w:spacing w:after="0" w:line="191" w:lineRule="exact"/>
        <w:rPr>
          <w:rFonts w:ascii="Times New Roman" w:cs="Times New Roman" w:eastAsia="Times New Roman" w:hAnsi="Times New Roman"/>
          <w:sz w:val="20"/>
          <w:szCs w:val="20"/>
          <w:color w:val="auto"/>
        </w:rPr>
      </w:pPr>
    </w:p>
    <w:p>
      <w:pPr>
        <w:ind w:left="1260" w:right="60" w:firstLine="648"/>
        <w:spacing w:after="0" w:line="263" w:lineRule="auto"/>
        <w:tabs>
          <w:tab w:leader="none" w:pos="2505"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amount equal to the amount of all non-cash credits to the extent included in determining Consolidated Net Income for such Fiscal Year; </w:t>
      </w:r>
      <w:r>
        <w:rPr>
          <w:rFonts w:ascii="Times New Roman" w:cs="Times New Roman" w:eastAsia="Times New Roman" w:hAnsi="Times New Roman"/>
          <w:sz w:val="20"/>
          <w:szCs w:val="20"/>
          <w:u w:val="single" w:color="auto"/>
          <w:color w:val="auto"/>
        </w:rPr>
        <w:t>plus</w:t>
      </w:r>
    </w:p>
    <w:p>
      <w:pPr>
        <w:spacing w:after="0" w:line="178" w:lineRule="exact"/>
        <w:rPr>
          <w:rFonts w:ascii="Times New Roman" w:cs="Times New Roman" w:eastAsia="Times New Roman" w:hAnsi="Times New Roman"/>
          <w:sz w:val="20"/>
          <w:szCs w:val="20"/>
          <w:color w:val="auto"/>
        </w:rPr>
      </w:pPr>
    </w:p>
    <w:p>
      <w:pPr>
        <w:ind w:left="2540" w:hanging="631"/>
        <w:spacing w:after="0"/>
        <w:tabs>
          <w:tab w:leader="none" w:pos="254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increases to Working Capital for such Fiscal Year.</w:t>
      </w:r>
    </w:p>
    <w:p>
      <w:pPr>
        <w:spacing w:after="0" w:line="2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means the Securities Exchange Act of 1934 (15 U.S.C. 78a et seq.).</w:t>
      </w:r>
    </w:p>
    <w:p>
      <w:pPr>
        <w:spacing w:after="0" w:line="225" w:lineRule="exact"/>
        <w:rPr>
          <w:sz w:val="20"/>
          <w:szCs w:val="20"/>
          <w:color w:val="auto"/>
        </w:rPr>
      </w:pPr>
    </w:p>
    <w:p>
      <w:pPr>
        <w:jc w:val="both"/>
        <w:ind w:left="620" w:right="20" w:firstLine="642"/>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Subsidiary</w:t>
      </w:r>
      <w:r>
        <w:rPr>
          <w:rFonts w:ascii="Times New Roman" w:cs="Times New Roman" w:eastAsia="Times New Roman" w:hAnsi="Times New Roman"/>
          <w:sz w:val="20"/>
          <w:szCs w:val="20"/>
          <w:color w:val="auto"/>
        </w:rPr>
        <w:t>” means (a) each CFC, (b) each Subsidiary that is a direct or indirect Subsidiary of a CFC, (c) each CFC Holdco, (d) any Receivables Subsidiary, (e) any Subsidiary that is not a Wholly Owned Subsidiary if the organizational documents of such Subsidiary prohibit a guaranty by such Subsidiary of the Obligations or the pledge of the Equity Interests of such Subsidiary, and (f) any other Subsidiary with respect to which the Administrative Agent and the Borrower mutually agree that the cost of providing a Guarantee would be excessive in relation to the benefit to be afforded thereby.</w:t>
      </w:r>
    </w:p>
    <w:p>
      <w:pPr>
        <w:spacing w:after="0" w:line="180" w:lineRule="exact"/>
        <w:rPr>
          <w:sz w:val="20"/>
          <w:szCs w:val="20"/>
          <w:color w:val="auto"/>
        </w:rPr>
      </w:pPr>
    </w:p>
    <w:p>
      <w:pPr>
        <w:jc w:val="both"/>
        <w:ind w:left="620" w:right="40" w:firstLine="642"/>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Swap Obligation</w:t>
      </w:r>
      <w:r>
        <w:rPr>
          <w:rFonts w:ascii="Times New Roman" w:cs="Times New Roman" w:eastAsia="Times New Roman" w:hAnsi="Times New Roman"/>
          <w:sz w:val="20"/>
          <w:szCs w:val="20"/>
          <w:color w:val="auto"/>
        </w:rPr>
        <w:t>” means, with respect to any Credit Party, any Swap Obligation if, and to the extent that, all or a portion of the liability of such Credit Party for or the guarantee of such Credit Party of, or the grant by such Credit Party of a security interest to secure, such Swap Obligation (or any liability or guarantee thereof) is or becomes illegal under the Commodity Exchange Act or any rule, regulation or order of the Commodity Futures Trading Commission (or the application or official interpretation of any thereof) by virtue of such Credit Party’s failure for any reason to constitute an “eligible contract participant” as defined in the Commodity Exchange Act and the regulations thereunder at the time the liability for or the guarantee of such Credit Party or the grant of such security interest becomes effective with respect to such Swap Obligation (such determination being made after giving effect to any applicable keepwell, support or other agreement for the benefit of the applicable Credit Party, including the keepwell provisions in each applicable Guaranty Agreement). If a Swap Obligation arises under a master agreement governing more than one swap, such exclusion shall apply only to the portion of such Swap Obligation that is attributable to swaps for which such guarantee or security interest is or becomes illegal for the reasons identified in the immediately preceding sentence of this definition.</w:t>
      </w:r>
    </w:p>
    <w:p>
      <w:pPr>
        <w:spacing w:after="0" w:line="171" w:lineRule="exact"/>
        <w:rPr>
          <w:sz w:val="20"/>
          <w:szCs w:val="20"/>
          <w:color w:val="auto"/>
        </w:rPr>
      </w:pPr>
    </w:p>
    <w:p>
      <w:pPr>
        <w:jc w:val="both"/>
        <w:ind w:left="620" w:firstLine="642"/>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Taxes</w:t>
      </w:r>
      <w:r>
        <w:rPr>
          <w:rFonts w:ascii="Times New Roman" w:cs="Times New Roman" w:eastAsia="Times New Roman" w:hAnsi="Times New Roman"/>
          <w:sz w:val="20"/>
          <w:szCs w:val="20"/>
          <w:color w:val="auto"/>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United States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Centuri under </w:t>
      </w:r>
      <w:r>
        <w:rPr>
          <w:rFonts w:ascii="Times New Roman" w:cs="Times New Roman" w:eastAsia="Times New Roman" w:hAnsi="Times New Roman"/>
          <w:sz w:val="20"/>
          <w:szCs w:val="20"/>
          <w:u w:val="single" w:color="auto"/>
          <w:color w:val="auto"/>
        </w:rPr>
        <w:t>Section 5.12(b)</w:t>
      </w:r>
      <w:r>
        <w:rPr>
          <w:rFonts w:ascii="Times New Roman" w:cs="Times New Roman" w:eastAsia="Times New Roman" w:hAnsi="Times New Roman"/>
          <w:sz w:val="20"/>
          <w:szCs w:val="20"/>
          <w:color w:val="auto"/>
        </w:rPr>
        <w:t xml:space="preserve">) or (ii) such Lender changes its Lending Office, except in each case to the extent that, pursuant to </w:t>
      </w:r>
      <w:r>
        <w:rPr>
          <w:rFonts w:ascii="Times New Roman" w:cs="Times New Roman" w:eastAsia="Times New Roman" w:hAnsi="Times New Roman"/>
          <w:sz w:val="20"/>
          <w:szCs w:val="20"/>
          <w:u w:val="single" w:color="auto"/>
          <w:color w:val="auto"/>
        </w:rPr>
        <w:t>Section 5.11</w:t>
      </w:r>
      <w:r>
        <w:rPr>
          <w:rFonts w:ascii="Times New Roman" w:cs="Times New Roman" w:eastAsia="Times New Roman" w:hAnsi="Times New Roman"/>
          <w:sz w:val="20"/>
          <w:szCs w:val="20"/>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cs="Times New Roman" w:eastAsia="Times New Roman" w:hAnsi="Times New Roman"/>
          <w:sz w:val="20"/>
          <w:szCs w:val="20"/>
          <w:u w:val="single" w:color="auto"/>
          <w:color w:val="auto"/>
        </w:rPr>
        <w:t>Section 5.11(g)</w:t>
      </w:r>
      <w:r>
        <w:rPr>
          <w:rFonts w:ascii="Times New Roman" w:cs="Times New Roman" w:eastAsia="Times New Roman" w:hAnsi="Times New Roman"/>
          <w:sz w:val="20"/>
          <w:szCs w:val="20"/>
          <w:color w:val="auto"/>
        </w:rPr>
        <w:t>, (d) any United States federal withholding Taxes imposed under FATCA, and (e) any Canadian withholding Taxes imposed on a Lender by reason of such Lender (i)</w:t>
      </w:r>
    </w:p>
    <w:p>
      <w:pPr>
        <w:spacing w:after="0" w:line="200" w:lineRule="exact"/>
        <w:rPr>
          <w:sz w:val="20"/>
          <w:szCs w:val="20"/>
          <w:color w:val="auto"/>
        </w:rPr>
      </w:pPr>
    </w:p>
    <w:p>
      <w:pPr>
        <w:spacing w:after="0" w:line="39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-43180</wp:posOffset>
            </wp:positionV>
            <wp:extent cx="8255" cy="1016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48">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1060"/>
          </w:cols>
          <w:pgMar w:left="380" w:top="1440" w:right="459" w:bottom="1440" w:gutter="0" w:footer="0" w:header="0"/>
        </w:sectPr>
      </w:pPr>
    </w:p>
    <w:bookmarkStart w:id="191" w:name="page192"/>
    <w:bookmarkEnd w:id="191"/>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43</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-43180</wp:posOffset>
            </wp:positionV>
            <wp:extent cx="8255" cy="1016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49">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0079"/>
          </w:cols>
          <w:pgMar w:left="380" w:top="1440" w:right="1440" w:bottom="1440" w:gutter="0" w:footer="0" w:header="0"/>
        </w:sectPr>
      </w:pPr>
    </w:p>
    <w:bookmarkStart w:id="192" w:name="page193"/>
    <w:bookmarkEnd w:id="192"/>
    <w:p>
      <w:pPr>
        <w:spacing w:after="0" w:line="202" w:lineRule="exact"/>
        <w:rPr>
          <w:sz w:val="20"/>
          <w:szCs w:val="20"/>
          <w:color w:val="auto"/>
        </w:rPr>
      </w:pPr>
    </w:p>
    <w:p>
      <w:pPr>
        <w:jc w:val="both"/>
        <w:ind w:left="680" w:right="20"/>
        <w:spacing w:after="0" w:line="250" w:lineRule="auto"/>
        <w:rPr>
          <w:sz w:val="20"/>
          <w:szCs w:val="20"/>
          <w:color w:val="auto"/>
        </w:rPr>
      </w:pPr>
      <w:r>
        <w:rPr>
          <w:rFonts w:ascii="Times New Roman" w:cs="Times New Roman" w:eastAsia="Times New Roman" w:hAnsi="Times New Roman"/>
          <w:sz w:val="20"/>
          <w:szCs w:val="20"/>
          <w:color w:val="auto"/>
        </w:rPr>
        <w:t>being a “specified shareholder” (as defined in subsection 18(5) of the ITA) of a Credit Party or (ii) not dealing at arm’s length (for purposes of the ITA) with a “specified shareholder” (as defined in subsection 18(5) of the ITA) of the Credit Party. (except, in the case of (e)(i) or (ii), where any such non-arm’s length or specified shareholder relationship arises solely in connection with or as a result of, any Lender or other Recipient hereunder having become a party to, received or perfected a security interest under, or received, exercised or enforced any rights hereunder or under any other Loan Document).</w:t>
      </w:r>
    </w:p>
    <w:p>
      <w:pPr>
        <w:spacing w:after="0" w:line="18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has the meaning assigned thereto in the Statement of Purpose</w:t>
      </w:r>
    </w:p>
    <w:p>
      <w:pPr>
        <w:spacing w:after="0" w:line="1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hereto.</w:t>
      </w:r>
    </w:p>
    <w:p>
      <w:pPr>
        <w:spacing w:after="0" w:line="10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Existing Lenders</w:t>
      </w:r>
      <w:r>
        <w:rPr>
          <w:rFonts w:ascii="Times New Roman" w:cs="Times New Roman" w:eastAsia="Times New Roman" w:hAnsi="Times New Roman"/>
          <w:sz w:val="19"/>
          <w:szCs w:val="19"/>
          <w:color w:val="auto"/>
        </w:rPr>
        <w:t>” has the meaning assigned thereto in the Statement of Purpose hereto. “</w:t>
      </w:r>
      <w:r>
        <w:rPr>
          <w:rFonts w:ascii="Times New Roman" w:cs="Times New Roman" w:eastAsia="Times New Roman" w:hAnsi="Times New Roman"/>
          <w:sz w:val="19"/>
          <w:szCs w:val="19"/>
          <w:u w:val="single" w:color="auto"/>
          <w:color w:val="auto"/>
        </w:rPr>
        <w:t>Existing Letters of Credit</w:t>
      </w:r>
      <w:r>
        <w:rPr>
          <w:rFonts w:ascii="Times New Roman" w:cs="Times New Roman" w:eastAsia="Times New Roman" w:hAnsi="Times New Roman"/>
          <w:sz w:val="19"/>
          <w:szCs w:val="19"/>
          <w:color w:val="auto"/>
        </w:rPr>
        <w:t>” means</w:t>
      </w:r>
    </w:p>
    <w:p>
      <w:pPr>
        <w:spacing w:after="0" w:line="29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those letters of credit existing on the Closing Date and</w:t>
      </w:r>
    </w:p>
    <w:p>
      <w:pPr>
        <w:spacing w:after="0" w:line="14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 xml:space="preserve">identified on </w:t>
      </w:r>
      <w:r>
        <w:rPr>
          <w:rFonts w:ascii="Times New Roman" w:cs="Times New Roman" w:eastAsia="Times New Roman" w:hAnsi="Times New Roman"/>
          <w:sz w:val="20"/>
          <w:szCs w:val="20"/>
          <w:u w:val="single" w:color="auto"/>
          <w:color w:val="auto"/>
        </w:rPr>
        <w:t>Schedule 1.1(b)</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jc w:val="both"/>
        <w:ind w:left="680" w:right="40" w:firstLine="642"/>
        <w:spacing w:after="0" w:line="27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Extended Revolving Credit Commitment</w:t>
      </w:r>
      <w:r>
        <w:rPr>
          <w:rFonts w:ascii="Times New Roman" w:cs="Times New Roman" w:eastAsia="Times New Roman" w:hAnsi="Times New Roman"/>
          <w:sz w:val="20"/>
          <w:szCs w:val="20"/>
          <w:color w:val="auto"/>
        </w:rPr>
        <w:t xml:space="preserve">” means any Class of Revolving Credit Commitments the maturity of which shall have been extended pursuant to </w:t>
      </w:r>
      <w:r>
        <w:rPr>
          <w:rFonts w:ascii="Times New Roman" w:cs="Times New Roman" w:eastAsia="Times New Roman" w:hAnsi="Times New Roman"/>
          <w:sz w:val="20"/>
          <w:szCs w:val="20"/>
          <w:u w:val="single" w:color="auto"/>
          <w:color w:val="auto"/>
        </w:rPr>
        <w:t>Section 5.19</w:t>
      </w:r>
      <w:r>
        <w:rPr>
          <w:rFonts w:ascii="Times New Roman" w:cs="Times New Roman" w:eastAsia="Times New Roman" w:hAnsi="Times New Roman"/>
          <w:sz w:val="20"/>
          <w:szCs w:val="20"/>
          <w:color w:val="auto"/>
        </w:rPr>
        <w:t>.</w:t>
      </w:r>
    </w:p>
    <w:p>
      <w:pPr>
        <w:spacing w:after="0" w:line="151" w:lineRule="exact"/>
        <w:rPr>
          <w:sz w:val="20"/>
          <w:szCs w:val="20"/>
          <w:color w:val="auto"/>
        </w:rPr>
      </w:pPr>
    </w:p>
    <w:p>
      <w:pPr>
        <w:jc w:val="both"/>
        <w:ind w:left="680" w:right="40" w:firstLine="642"/>
        <w:spacing w:after="0" w:line="27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Extended Revolving Credit Loans</w:t>
      </w:r>
      <w:r>
        <w:rPr>
          <w:rFonts w:ascii="Times New Roman" w:cs="Times New Roman" w:eastAsia="Times New Roman" w:hAnsi="Times New Roman"/>
          <w:sz w:val="20"/>
          <w:szCs w:val="20"/>
          <w:color w:val="auto"/>
        </w:rPr>
        <w:t>” means any Revolving Credit Loans made pursuant to the Extended Revolving Credit Commitments.</w:t>
      </w:r>
    </w:p>
    <w:p>
      <w:pPr>
        <w:spacing w:after="0" w:line="151" w:lineRule="exact"/>
        <w:rPr>
          <w:sz w:val="20"/>
          <w:szCs w:val="20"/>
          <w:color w:val="auto"/>
        </w:rPr>
      </w:pPr>
    </w:p>
    <w:p>
      <w:pPr>
        <w:jc w:val="both"/>
        <w:ind w:left="680" w:right="40" w:firstLine="642"/>
        <w:spacing w:after="0" w:line="27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Extended Term Loans</w:t>
      </w:r>
      <w:r>
        <w:rPr>
          <w:rFonts w:ascii="Times New Roman" w:cs="Times New Roman" w:eastAsia="Times New Roman" w:hAnsi="Times New Roman"/>
          <w:sz w:val="20"/>
          <w:szCs w:val="20"/>
          <w:color w:val="auto"/>
        </w:rPr>
        <w:t xml:space="preserve">” means any Class of Term Loans the maturity of which shall have been extended pursuant to </w:t>
      </w:r>
      <w:r>
        <w:rPr>
          <w:rFonts w:ascii="Times New Roman" w:cs="Times New Roman" w:eastAsia="Times New Roman" w:hAnsi="Times New Roman"/>
          <w:sz w:val="20"/>
          <w:szCs w:val="20"/>
          <w:u w:val="single" w:color="auto"/>
          <w:color w:val="auto"/>
        </w:rPr>
        <w:t>Section 5.19</w:t>
      </w:r>
      <w:r>
        <w:rPr>
          <w:rFonts w:ascii="Times New Roman" w:cs="Times New Roman" w:eastAsia="Times New Roman" w:hAnsi="Times New Roman"/>
          <w:sz w:val="20"/>
          <w:szCs w:val="20"/>
          <w:color w:val="auto"/>
        </w:rPr>
        <w:t>.</w:t>
      </w:r>
    </w:p>
    <w:p>
      <w:pPr>
        <w:spacing w:after="0" w:line="15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Extension</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5.19(a)</w:t>
      </w:r>
      <w:r>
        <w:rPr>
          <w:rFonts w:ascii="Times New Roman" w:cs="Times New Roman" w:eastAsia="Times New Roman" w:hAnsi="Times New Roman"/>
          <w:sz w:val="20"/>
          <w:szCs w:val="20"/>
          <w:color w:val="auto"/>
        </w:rPr>
        <w:t>.</w:t>
      </w:r>
    </w:p>
    <w:p>
      <w:pPr>
        <w:spacing w:after="0" w:line="225" w:lineRule="exact"/>
        <w:rPr>
          <w:sz w:val="20"/>
          <w:szCs w:val="20"/>
          <w:color w:val="auto"/>
        </w:rPr>
      </w:pPr>
    </w:p>
    <w:p>
      <w:pPr>
        <w:jc w:val="both"/>
        <w:ind w:left="680" w:firstLine="642"/>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Extension Amendment</w:t>
      </w:r>
      <w:r>
        <w:rPr>
          <w:rFonts w:ascii="Times New Roman" w:cs="Times New Roman" w:eastAsia="Times New Roman" w:hAnsi="Times New Roman"/>
          <w:sz w:val="20"/>
          <w:szCs w:val="20"/>
          <w:color w:val="auto"/>
        </w:rPr>
        <w:t xml:space="preserve">” means an amendment to this Agreement (which may, at the option of the Administrative Agent and the Borrowers, be in the form of an amendment and restatement of this Agreement) among the Credit Parties, the applicable extending Lenders, the Administrative Agent and, to the extent required by </w:t>
      </w:r>
      <w:r>
        <w:rPr>
          <w:rFonts w:ascii="Times New Roman" w:cs="Times New Roman" w:eastAsia="Times New Roman" w:hAnsi="Times New Roman"/>
          <w:sz w:val="20"/>
          <w:szCs w:val="20"/>
          <w:u w:val="single" w:color="auto"/>
          <w:color w:val="auto"/>
        </w:rPr>
        <w:t>Section 5.19</w:t>
      </w:r>
      <w:r>
        <w:rPr>
          <w:rFonts w:ascii="Times New Roman" w:cs="Times New Roman" w:eastAsia="Times New Roman" w:hAnsi="Times New Roman"/>
          <w:sz w:val="20"/>
          <w:szCs w:val="20"/>
          <w:color w:val="auto"/>
        </w:rPr>
        <w:t xml:space="preserve">, the Issuing Lenders and/or the Swingline Lender implementing an Extension in accordance with </w:t>
      </w:r>
      <w:r>
        <w:rPr>
          <w:rFonts w:ascii="Times New Roman" w:cs="Times New Roman" w:eastAsia="Times New Roman" w:hAnsi="Times New Roman"/>
          <w:sz w:val="20"/>
          <w:szCs w:val="20"/>
          <w:u w:val="single" w:color="auto"/>
          <w:color w:val="auto"/>
        </w:rPr>
        <w:t>Section 5.19</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Extension Offer</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5.19(a)</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Extensions of Credit</w:t>
      </w:r>
      <w:r>
        <w:rPr>
          <w:rFonts w:ascii="Times New Roman" w:cs="Times New Roman" w:eastAsia="Times New Roman" w:hAnsi="Times New Roman"/>
          <w:sz w:val="20"/>
          <w:szCs w:val="20"/>
          <w:color w:val="auto"/>
        </w:rPr>
        <w:t>” means, as to any Lender at any time, (a) an amount equal to the sum of</w:t>
      </w:r>
    </w:p>
    <w:p>
      <w:pPr>
        <w:spacing w:after="0" w:line="17" w:lineRule="exact"/>
        <w:rPr>
          <w:sz w:val="20"/>
          <w:szCs w:val="20"/>
          <w:color w:val="auto"/>
        </w:rPr>
      </w:pPr>
    </w:p>
    <w:p>
      <w:pPr>
        <w:ind w:left="900" w:hanging="215"/>
        <w:spacing w:after="0"/>
        <w:tabs>
          <w:tab w:leader="none" w:pos="90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principal amount of all Revolving Credit Loans made by such Lender then outstanding,</w:t>
      </w:r>
    </w:p>
    <w:p>
      <w:pPr>
        <w:ind w:left="960" w:hanging="275"/>
        <w:spacing w:after="0" w:line="237" w:lineRule="auto"/>
        <w:tabs>
          <w:tab w:leader="none" w:pos="96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Lender’s Revolving Credit Commitment Percentage of the L/C Obligations then outstanding,</w:t>
      </w:r>
    </w:p>
    <w:p>
      <w:pPr>
        <w:ind w:left="680" w:right="40" w:firstLine="4"/>
        <w:spacing w:after="0"/>
        <w:tabs>
          <w:tab w:leader="none" w:pos="1281"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Lender’s Revolving Credit Commitment Percentage of the Swingline Loans then outstanding and (iv) the aggregate principal amount of the Term Loans made by such Lender then outstanding, or</w:t>
      </w:r>
    </w:p>
    <w:p>
      <w:pPr>
        <w:ind w:left="960" w:hanging="276"/>
        <w:spacing w:after="0"/>
        <w:tabs>
          <w:tab w:leader="none" w:pos="96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making of any Loan or participation in any Letter of Credit by such Lender, as the context requires.</w:t>
      </w:r>
    </w:p>
    <w:p>
      <w:pPr>
        <w:spacing w:after="0" w:line="19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FASB ASC</w:t>
      </w:r>
      <w:r>
        <w:rPr>
          <w:rFonts w:ascii="Times New Roman" w:cs="Times New Roman" w:eastAsia="Times New Roman" w:hAnsi="Times New Roman"/>
          <w:sz w:val="20"/>
          <w:szCs w:val="20"/>
          <w:color w:val="auto"/>
        </w:rPr>
        <w:t>” means the Accounting Standards Codification of the Financial Accounting Standards Board.</w:t>
      </w:r>
    </w:p>
    <w:p>
      <w:pPr>
        <w:spacing w:after="0" w:line="225" w:lineRule="exact"/>
        <w:rPr>
          <w:sz w:val="20"/>
          <w:szCs w:val="20"/>
          <w:color w:val="auto"/>
        </w:rPr>
      </w:pPr>
    </w:p>
    <w:p>
      <w:pPr>
        <w:jc w:val="both"/>
        <w:ind w:left="680" w:right="20" w:firstLine="642"/>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intergovernmental agreements and related legislation or official administrative rules or regulations with respect thereto.</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440" w:val="left"/>
        </w:tabs>
        <w:rPr>
          <w:sz w:val="20"/>
          <w:szCs w:val="20"/>
          <w:color w:val="auto"/>
        </w:rPr>
      </w:pPr>
      <w:r>
        <w:rPr>
          <w:sz w:val="1"/>
          <w:szCs w:val="1"/>
          <w:color w:val="auto"/>
        </w:rPr>
        <w:drawing>
          <wp:inline distT="0" distB="0" distL="0" distR="0">
            <wp:extent cx="8255" cy="10160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50">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44</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ectPr>
          <w:pgSz w:w="11900" w:h="16838" w:orient="portrait"/>
          <w:cols w:equalWidth="0" w:num="1">
            <w:col w:w="11100"/>
          </w:cols>
          <w:pgMar w:left="320" w:top="1440" w:right="479" w:bottom="1440" w:gutter="0" w:footer="0" w:header="0"/>
        </w:sectPr>
      </w:pPr>
    </w:p>
    <w:bookmarkStart w:id="193" w:name="page194"/>
    <w:bookmarkEnd w:id="193"/>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45</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-42545</wp:posOffset>
            </wp:positionV>
            <wp:extent cx="8255" cy="1016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51">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0079"/>
          </w:cols>
          <w:pgMar w:left="380" w:top="1440" w:right="1440" w:bottom="1440" w:gutter="0" w:footer="0" w:header="0"/>
        </w:sectPr>
      </w:pPr>
    </w:p>
    <w:bookmarkStart w:id="194" w:name="page195"/>
    <w:bookmarkEnd w:id="194"/>
    <w:p>
      <w:pPr>
        <w:spacing w:after="0" w:line="30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FCA</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FDIC</w:t>
      </w:r>
      <w:r>
        <w:rPr>
          <w:rFonts w:ascii="Times New Roman" w:cs="Times New Roman" w:eastAsia="Times New Roman" w:hAnsi="Times New Roman"/>
          <w:sz w:val="20"/>
          <w:szCs w:val="20"/>
          <w:color w:val="auto"/>
        </w:rPr>
        <w:t>” means the Federal</w:t>
      </w:r>
    </w:p>
    <w:p>
      <w:pPr>
        <w:spacing w:after="0" w:line="2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Deposit Insurance Corporation.</w:t>
      </w:r>
    </w:p>
    <w:p>
      <w:pPr>
        <w:spacing w:after="0" w:line="104" w:lineRule="exact"/>
        <w:rPr>
          <w:sz w:val="20"/>
          <w:szCs w:val="20"/>
          <w:color w:val="auto"/>
        </w:rPr>
      </w:pPr>
    </w:p>
    <w:p>
      <w:pPr>
        <w:jc w:val="both"/>
        <w:ind w:left="620" w:right="20" w:firstLine="642"/>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Funds Rate</w:t>
      </w:r>
      <w:r>
        <w:rPr>
          <w:rFonts w:ascii="Times New Roman" w:cs="Times New Roman" w:eastAsia="Times New Roman" w:hAnsi="Times New Roman"/>
          <w:sz w:val="20"/>
          <w:szCs w:val="20"/>
          <w:color w:val="auto"/>
        </w:rPr>
        <w:t xml:space="preserve">” means, for any day, the rate per annum equal to the weighted average of the rates on overnight federal funds transactions with members of the Federal Reserve System on such day (or, if such day is not a Business Day, for the immediately preceding Business Day), as published by the Federal Reserve Bank of New York on the Business Day next succeeding such day,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rate is not so published for any day which is a Business Day, the Federal Funds Rate for such day shall be the average of the quotation for such day on such transactions received by the Administrative Agent from three federal funds brokers of recognized standing selected by the Administrative Agent.</w:t>
      </w:r>
    </w:p>
    <w:p>
      <w:pPr>
        <w:spacing w:after="0" w:line="181" w:lineRule="exact"/>
        <w:rPr>
          <w:sz w:val="20"/>
          <w:szCs w:val="20"/>
          <w:color w:val="auto"/>
        </w:rPr>
      </w:pPr>
    </w:p>
    <w:p>
      <w:pPr>
        <w:jc w:val="both"/>
        <w:ind w:left="620" w:right="40" w:firstLine="642"/>
        <w:spacing w:after="0" w:line="263" w:lineRule="auto"/>
        <w:rPr>
          <w:sz w:val="20"/>
          <w:szCs w:val="20"/>
          <w:color w:val="auto"/>
        </w:rPr>
      </w:pPr>
      <w:r>
        <w:rPr>
          <w:rFonts w:ascii="Times New Roman" w:cs="Times New Roman" w:eastAsia="Times New Roman" w:hAnsi="Times New Roman"/>
          <w:sz w:val="20"/>
          <w:szCs w:val="20"/>
          <w:color w:val="auto"/>
        </w:rPr>
        <w:t>Notwithstanding the foregoing, if the Federal Funds Rate shall be less than zero, such rate shall be deemed to be zero for the purposes of this Agreement.</w:t>
      </w:r>
    </w:p>
    <w:p>
      <w:pPr>
        <w:spacing w:after="0" w:line="178" w:lineRule="exact"/>
        <w:rPr>
          <w:sz w:val="20"/>
          <w:szCs w:val="20"/>
          <w:color w:val="auto"/>
        </w:rPr>
      </w:pPr>
    </w:p>
    <w:p>
      <w:pPr>
        <w:jc w:val="both"/>
        <w:ind w:left="620" w:right="20" w:firstLine="642"/>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Fee Letters</w:t>
      </w:r>
      <w:r>
        <w:rPr>
          <w:rFonts w:ascii="Times New Roman" w:cs="Times New Roman" w:eastAsia="Times New Roman" w:hAnsi="Times New Roman"/>
          <w:sz w:val="20"/>
          <w:szCs w:val="20"/>
          <w:color w:val="auto"/>
        </w:rPr>
        <w:t>” means (a) that certain Wells Fargo Fee Letter dated as of July 13, 2021, amongst Centuri, Wells Fargo Securities, LLC and Wells Fargo, (b) that certain Joint Fee Letter dated as of July 13, 2021 amongst the Borrowers, the Arrangers, Wells Fargo, Bank of America, N.A., Canadian Imperial Bank of Commerce, PNC Bank, National Association, Truist Bank, U.S. Bank National Association and Bank of Montreal (c) any letter between one or more of the Borrowers and any Issuing Lender (other than Wells Fargo) relating to certain fees payable to such Issuing Lender in its capacity as such, in each case, as amended, restated, supplemented or otherwise modified from time to time.</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u w:val="single" w:color="auto"/>
          <w:color w:val="0000FF"/>
        </w:rPr>
        <w:t>“Fifth Amendment Effective Date” means May 13, 2024.</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First Amendment Effective Date</w:t>
      </w:r>
      <w:r>
        <w:rPr>
          <w:rFonts w:ascii="Times New Roman" w:cs="Times New Roman" w:eastAsia="Times New Roman" w:hAnsi="Times New Roman"/>
          <w:sz w:val="20"/>
          <w:szCs w:val="20"/>
          <w:color w:val="auto"/>
        </w:rPr>
        <w:t>” means November 4, 2022.</w:t>
      </w:r>
    </w:p>
    <w:p>
      <w:pPr>
        <w:spacing w:after="0" w:line="211" w:lineRule="exact"/>
        <w:rPr>
          <w:sz w:val="20"/>
          <w:szCs w:val="20"/>
          <w:color w:val="auto"/>
        </w:rPr>
      </w:pPr>
    </w:p>
    <w:p>
      <w:pPr>
        <w:jc w:val="both"/>
        <w:ind w:left="620" w:right="40" w:firstLine="642"/>
        <w:spacing w:after="0" w:line="27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First Tier Foreign Subsidiary</w:t>
      </w:r>
      <w:r>
        <w:rPr>
          <w:rFonts w:ascii="Times New Roman" w:cs="Times New Roman" w:eastAsia="Times New Roman" w:hAnsi="Times New Roman"/>
          <w:sz w:val="20"/>
          <w:szCs w:val="20"/>
          <w:color w:val="auto"/>
        </w:rPr>
        <w:t>” means any CFC or CFC Holdco the Equity Interests of which are owned directly by any US Credit Party.</w:t>
      </w:r>
    </w:p>
    <w:p>
      <w:pPr>
        <w:spacing w:after="0" w:line="98" w:lineRule="exact"/>
        <w:rPr>
          <w:sz w:val="20"/>
          <w:szCs w:val="20"/>
          <w:color w:val="auto"/>
        </w:rPr>
      </w:pPr>
    </w:p>
    <w:p>
      <w:pPr>
        <w:ind w:left="1260" w:right="40"/>
        <w:spacing w:after="0" w:line="39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Fiscal Year</w:t>
      </w:r>
      <w:r>
        <w:rPr>
          <w:rFonts w:ascii="Times New Roman" w:cs="Times New Roman" w:eastAsia="Times New Roman" w:hAnsi="Times New Roman"/>
          <w:sz w:val="20"/>
          <w:szCs w:val="20"/>
          <w:color w:val="auto"/>
        </w:rPr>
        <w:t>” means the fiscal year of the Consolidated Companies ending on December 31. “</w:t>
      </w:r>
      <w:r>
        <w:rPr>
          <w:rFonts w:ascii="Times New Roman" w:cs="Times New Roman" w:eastAsia="Times New Roman" w:hAnsi="Times New Roman"/>
          <w:sz w:val="20"/>
          <w:szCs w:val="20"/>
          <w:u w:val="single" w:color="auto"/>
          <w:color w:val="auto"/>
        </w:rPr>
        <w:t>Floor</w:t>
      </w:r>
      <w:r>
        <w:rPr>
          <w:rFonts w:ascii="Times New Roman" w:cs="Times New Roman" w:eastAsia="Times New Roman" w:hAnsi="Times New Roman"/>
          <w:sz w:val="20"/>
          <w:szCs w:val="20"/>
          <w:color w:val="auto"/>
        </w:rPr>
        <w:t>” means, (i) with respect to the Initial Term Loan Facility, 0.50%, (ii) with respect to any</w:t>
      </w:r>
    </w:p>
    <w:p>
      <w:pPr>
        <w:spacing w:after="0" w:line="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Incremental Term Loan, Refinancing Term Loan or Extended Term Loan, the applicable floor</w:t>
      </w:r>
    </w:p>
    <w:p>
      <w:pPr>
        <w:spacing w:after="0" w:line="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 xml:space="preserve">determined pursuant to </w:t>
      </w:r>
      <w:r>
        <w:rPr>
          <w:rFonts w:ascii="Times New Roman" w:cs="Times New Roman" w:eastAsia="Times New Roman" w:hAnsi="Times New Roman"/>
          <w:sz w:val="20"/>
          <w:szCs w:val="20"/>
          <w:u w:val="single" w:color="auto"/>
          <w:color w:val="auto"/>
        </w:rPr>
        <w:t>Section 5.13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5.18</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5.19</w:t>
      </w:r>
      <w:r>
        <w:rPr>
          <w:rFonts w:ascii="Times New Roman" w:cs="Times New Roman" w:eastAsia="Times New Roman" w:hAnsi="Times New Roman"/>
          <w:sz w:val="20"/>
          <w:szCs w:val="20"/>
          <w:color w:val="auto"/>
        </w:rPr>
        <w:t>, as applicable, and (iii) for any purpose other than as specified in clause (i), 0%.</w:t>
      </w:r>
    </w:p>
    <w:p>
      <w:pPr>
        <w:spacing w:after="0" w:line="189" w:lineRule="exact"/>
        <w:rPr>
          <w:sz w:val="20"/>
          <w:szCs w:val="20"/>
          <w:color w:val="auto"/>
        </w:rPr>
      </w:pPr>
    </w:p>
    <w:p>
      <w:pPr>
        <w:jc w:val="both"/>
        <w:ind w:left="620" w:firstLine="642"/>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Lender</w:t>
      </w:r>
      <w:r>
        <w:rPr>
          <w:rFonts w:ascii="Times New Roman" w:cs="Times New Roman" w:eastAsia="Times New Roman" w:hAnsi="Times New Roman"/>
          <w:sz w:val="20"/>
          <w:szCs w:val="20"/>
          <w:color w:val="auto"/>
        </w:rPr>
        <w:t>” means (a) with respect to the US Borrowers, a Lender that is not a U.S. Person, and (b) with respect to the Canadian Borrowers, a Lender that is resident or organized under the laws of a jurisdiction other than that in which the Canadian Borrowers are resident for tax purposes.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w:t>
      </w:r>
      <w:r>
        <w:rPr>
          <w:rFonts w:ascii="Times New Roman" w:cs="Times New Roman" w:eastAsia="Times New Roman" w:hAnsi="Times New Roman"/>
          <w:sz w:val="20"/>
          <w:szCs w:val="20"/>
          <w:color w:val="auto"/>
        </w:rPr>
        <w:t>” means any Subsidiary that is not a US Subsidiary.</w:t>
      </w:r>
    </w:p>
    <w:p>
      <w:pPr>
        <w:spacing w:after="0" w:line="1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FRB</w:t>
      </w:r>
      <w:r>
        <w:rPr>
          <w:rFonts w:ascii="Times New Roman" w:cs="Times New Roman" w:eastAsia="Times New Roman" w:hAnsi="Times New Roman"/>
          <w:sz w:val="20"/>
          <w:szCs w:val="20"/>
          <w:color w:val="auto"/>
        </w:rPr>
        <w:t>” means the Board of Governors of the Federal Reserve System of the United States. “</w:t>
      </w:r>
      <w:r>
        <w:rPr>
          <w:rFonts w:ascii="Times New Roman" w:cs="Times New Roman" w:eastAsia="Times New Roman" w:hAnsi="Times New Roman"/>
          <w:sz w:val="20"/>
          <w:szCs w:val="20"/>
          <w:u w:val="single" w:color="auto"/>
          <w:color w:val="auto"/>
        </w:rPr>
        <w:t>Fronting Exposure</w:t>
      </w:r>
      <w:r>
        <w:rPr>
          <w:rFonts w:ascii="Times New Roman" w:cs="Times New Roman" w:eastAsia="Times New Roman" w:hAnsi="Times New Roman"/>
          <w:sz w:val="20"/>
          <w:szCs w:val="20"/>
          <w:color w:val="auto"/>
        </w:rPr>
        <w:t>” means, at</w:t>
      </w:r>
    </w:p>
    <w:p>
      <w:pPr>
        <w:spacing w:after="0" w:line="2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any time there is a Defaulting Lender, (a) with respect to any</w:t>
      </w:r>
    </w:p>
    <w:p>
      <w:pPr>
        <w:spacing w:after="0" w:line="144" w:lineRule="exact"/>
        <w:rPr>
          <w:sz w:val="20"/>
          <w:szCs w:val="20"/>
          <w:color w:val="auto"/>
        </w:rPr>
      </w:pPr>
    </w:p>
    <w:p>
      <w:pPr>
        <w:jc w:val="both"/>
        <w:ind w:left="620"/>
        <w:spacing w:after="0" w:line="257" w:lineRule="auto"/>
        <w:rPr>
          <w:sz w:val="20"/>
          <w:szCs w:val="20"/>
          <w:color w:val="auto"/>
        </w:rPr>
      </w:pPr>
      <w:r>
        <w:rPr>
          <w:rFonts w:ascii="Times New Roman" w:cs="Times New Roman" w:eastAsia="Times New Roman" w:hAnsi="Times New Roman"/>
          <w:sz w:val="20"/>
          <w:szCs w:val="20"/>
          <w:color w:val="auto"/>
        </w:rPr>
        <w:t>Issuing Lender, such Defaulting Lender’s Revolving Credit Commitment Percentage of the outstanding L/C Obligations with respect to Letters of Credit issued by such Issuing Lender, other than such L/C Obligations as to which such Defaulting Lender’s participation obligation has been reallocated to other</w:t>
      </w:r>
    </w:p>
    <w:p>
      <w:pPr>
        <w:spacing w:after="0" w:line="200" w:lineRule="exact"/>
        <w:rPr>
          <w:sz w:val="20"/>
          <w:szCs w:val="20"/>
          <w:color w:val="auto"/>
        </w:rPr>
      </w:pPr>
    </w:p>
    <w:p>
      <w:pPr>
        <w:spacing w:after="0" w:line="39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46</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-43180</wp:posOffset>
            </wp:positionV>
            <wp:extent cx="8255" cy="1016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52">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1040"/>
          </w:cols>
          <w:pgMar w:left="380" w:top="1440" w:right="479" w:bottom="1440" w:gutter="0" w:footer="0" w:header="0"/>
        </w:sectPr>
      </w:pPr>
    </w:p>
    <w:bookmarkStart w:id="195" w:name="page196"/>
    <w:bookmarkEnd w:id="195"/>
    <w:p>
      <w:pPr>
        <w:ind w:left="620"/>
        <w:spacing w:after="0" w:line="277" w:lineRule="auto"/>
        <w:rPr>
          <w:sz w:val="20"/>
          <w:szCs w:val="20"/>
          <w:color w:val="auto"/>
        </w:rPr>
      </w:pPr>
      <w:r>
        <w:rPr>
          <w:rFonts w:ascii="Times New Roman" w:cs="Times New Roman" w:eastAsia="Times New Roman" w:hAnsi="Times New Roman"/>
          <w:sz w:val="20"/>
          <w:szCs w:val="20"/>
          <w:color w:val="auto"/>
        </w:rPr>
        <w:t>Lenders or Cash Collateralized in accordance with the terms hereof and (b) with respect to any Swingline Lender, such Defaulting Lender’s Revolving Credit Commitment Percentage of outstanding Swingline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47</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-34290</wp:posOffset>
            </wp:positionV>
            <wp:extent cx="8255" cy="1016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53">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1040"/>
          </w:cols>
          <w:pgMar w:left="380" w:top="1320" w:right="479" w:bottom="1440" w:gutter="0" w:footer="0" w:header="0"/>
        </w:sectPr>
      </w:pPr>
    </w:p>
    <w:bookmarkStart w:id="196" w:name="page197"/>
    <w:bookmarkEnd w:id="196"/>
    <w:p>
      <w:pPr>
        <w:spacing w:after="0" w:line="202" w:lineRule="exact"/>
        <w:rPr>
          <w:sz w:val="20"/>
          <w:szCs w:val="20"/>
          <w:color w:val="auto"/>
        </w:rPr>
      </w:pPr>
    </w:p>
    <w:p>
      <w:pPr>
        <w:ind w:left="620"/>
        <w:spacing w:after="0" w:line="263" w:lineRule="auto"/>
        <w:rPr>
          <w:sz w:val="20"/>
          <w:szCs w:val="20"/>
          <w:color w:val="auto"/>
        </w:rPr>
      </w:pPr>
      <w:r>
        <w:rPr>
          <w:rFonts w:ascii="Times New Roman" w:cs="Times New Roman" w:eastAsia="Times New Roman" w:hAnsi="Times New Roman"/>
          <w:sz w:val="20"/>
          <w:szCs w:val="20"/>
          <w:color w:val="auto"/>
        </w:rPr>
        <w:t>Loans other than Swingline Loans as to which such Defaulting Lender’s participation obligation has been reallocated to other Lenders or Cash Collateralized in accordance with the terms hereof.</w:t>
      </w:r>
    </w:p>
    <w:p>
      <w:pPr>
        <w:spacing w:after="0" w:line="178" w:lineRule="exact"/>
        <w:rPr>
          <w:sz w:val="20"/>
          <w:szCs w:val="20"/>
          <w:color w:val="auto"/>
        </w:rPr>
      </w:pPr>
    </w:p>
    <w:p>
      <w:pPr>
        <w:jc w:val="both"/>
        <w:ind w:left="620" w:right="120" w:firstLine="642"/>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Fund</w:t>
      </w:r>
      <w:r>
        <w:rPr>
          <w:rFonts w:ascii="Times New Roman" w:cs="Times New Roman" w:eastAsia="Times New Roman" w:hAnsi="Times New Roman"/>
          <w:sz w:val="20"/>
          <w:szCs w:val="20"/>
          <w:color w:val="auto"/>
        </w:rPr>
        <w:t>” means any Person (other than a natural Person) that is (or will be) engaged in making, purchasing, holding or otherwise investing in commercial loans, bonds and similar extensions of credit in the ordinary course of its activities.</w:t>
      </w:r>
    </w:p>
    <w:p>
      <w:pPr>
        <w:spacing w:after="0" w:line="178" w:lineRule="exact"/>
        <w:rPr>
          <w:sz w:val="20"/>
          <w:szCs w:val="20"/>
          <w:color w:val="auto"/>
        </w:rPr>
      </w:pPr>
    </w:p>
    <w:p>
      <w:pPr>
        <w:jc w:val="both"/>
        <w:ind w:left="620" w:right="100" w:firstLine="642"/>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80" w:lineRule="exact"/>
        <w:rPr>
          <w:sz w:val="20"/>
          <w:szCs w:val="20"/>
          <w:color w:val="auto"/>
        </w:rPr>
      </w:pPr>
    </w:p>
    <w:p>
      <w:pPr>
        <w:jc w:val="both"/>
        <w:ind w:left="620" w:right="140" w:firstLine="642"/>
        <w:spacing w:after="0" w:line="27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Approvals</w:t>
      </w:r>
      <w:r>
        <w:rPr>
          <w:rFonts w:ascii="Times New Roman" w:cs="Times New Roman" w:eastAsia="Times New Roman" w:hAnsi="Times New Roman"/>
          <w:sz w:val="20"/>
          <w:szCs w:val="20"/>
          <w:color w:val="auto"/>
        </w:rPr>
        <w:t>” means all authorizations, consents, approvals, permits, licenses and exemptions of, and all registrations and filings with or issued by, any Governmental Authorities.</w:t>
      </w:r>
    </w:p>
    <w:p>
      <w:pPr>
        <w:spacing w:after="0" w:line="151" w:lineRule="exact"/>
        <w:rPr>
          <w:sz w:val="20"/>
          <w:szCs w:val="20"/>
          <w:color w:val="auto"/>
        </w:rPr>
      </w:pPr>
    </w:p>
    <w:p>
      <w:pPr>
        <w:jc w:val="both"/>
        <w:ind w:left="620" w:right="140" w:firstLine="642"/>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Authority</w:t>
      </w:r>
      <w:r>
        <w:rPr>
          <w:rFonts w:ascii="Times New Roman" w:cs="Times New Roman" w:eastAsia="Times New Roman" w:hAnsi="Times New Roman"/>
          <w:sz w:val="20"/>
          <w:szCs w:val="20"/>
          <w:color w:val="auto"/>
        </w:rPr>
        <w:t>” means the government of the United States or Canada or any other nation, or of any political subdivision thereof, whether state, provincial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73" w:lineRule="exact"/>
        <w:rPr>
          <w:sz w:val="20"/>
          <w:szCs w:val="20"/>
          <w:color w:val="auto"/>
        </w:rPr>
      </w:pPr>
    </w:p>
    <w:p>
      <w:pPr>
        <w:jc w:val="both"/>
        <w:ind w:left="620" w:right="120" w:firstLine="642"/>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w:t>
      </w:r>
      <w:r>
        <w:rPr>
          <w:rFonts w:ascii="Times New Roman" w:cs="Times New Roman" w:eastAsia="Times New Roman" w:hAnsi="Times New Roman"/>
          <w:sz w:val="20"/>
          <w:szCs w:val="20"/>
          <w:color w:val="auto"/>
        </w:rPr>
        <w:t>” of or by any Person (the “</w:t>
      </w: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 means any obligation, contingent or otherwise, of the guarantor guaranteeing or having the economic effect of guaranteeing any Indebtedness or other obligation of any other Person (the “</w:t>
      </w:r>
      <w:r>
        <w:rPr>
          <w:rFonts w:ascii="Times New Roman" w:cs="Times New Roman" w:eastAsia="Times New Roman" w:hAnsi="Times New Roman"/>
          <w:sz w:val="20"/>
          <w:szCs w:val="20"/>
          <w:u w:val="single" w:color="auto"/>
          <w:color w:val="auto"/>
        </w:rPr>
        <w:t>primary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obligor</w:t>
      </w:r>
      <w:r>
        <w:rPr>
          <w:rFonts w:ascii="Times New Roman" w:cs="Times New Roman" w:eastAsia="Times New Roman" w:hAnsi="Times New Roman"/>
          <w:sz w:val="20"/>
          <w:szCs w:val="20"/>
          <w:color w:val="auto"/>
        </w:rPr>
        <w:t>”)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(d) as an account party in respect of any letter of credit or letter of guaranty issued to support such Indebtedness or obligation or (e) for the purpose of assuming in any other manner the obligee in respect of such Indebtedness or other obligation of the payment or performance thereof or to protect such obligee against loss in respect thereof (whether in whole or in part).</w:t>
      </w:r>
    </w:p>
    <w:p>
      <w:pPr>
        <w:spacing w:after="0" w:line="181" w:lineRule="exact"/>
        <w:rPr>
          <w:sz w:val="20"/>
          <w:szCs w:val="20"/>
          <w:color w:val="auto"/>
        </w:rPr>
      </w:pPr>
    </w:p>
    <w:p>
      <w:pPr>
        <w:jc w:val="both"/>
        <w:ind w:left="620" w:right="140" w:firstLine="642"/>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Guaranty Agreements</w:t>
      </w:r>
      <w:r>
        <w:rPr>
          <w:rFonts w:ascii="Times New Roman" w:cs="Times New Roman" w:eastAsia="Times New Roman" w:hAnsi="Times New Roman"/>
          <w:sz w:val="20"/>
          <w:szCs w:val="20"/>
          <w:color w:val="auto"/>
        </w:rPr>
        <w:t>” means, collectively, the US Credit Party Guaranty Agreement and the Canadian Credit Party Guarantee Agreement.</w:t>
      </w:r>
    </w:p>
    <w:p>
      <w:pPr>
        <w:spacing w:after="0" w:line="178" w:lineRule="exact"/>
        <w:rPr>
          <w:sz w:val="20"/>
          <w:szCs w:val="20"/>
          <w:color w:val="auto"/>
        </w:rPr>
      </w:pPr>
    </w:p>
    <w:p>
      <w:pPr>
        <w:jc w:val="both"/>
        <w:ind w:left="620" w:right="100" w:firstLine="642"/>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Hazardous Materials</w:t>
      </w:r>
      <w:r>
        <w:rPr>
          <w:rFonts w:ascii="Times New Roman" w:cs="Times New Roman" w:eastAsia="Times New Roman" w:hAnsi="Times New Roman"/>
          <w:sz w:val="20"/>
          <w:szCs w:val="20"/>
          <w:color w:val="auto"/>
        </w:rPr>
        <w:t>” means any substances or materials (a) which are or become defined as hazardous wastes, hazardous substances, pollutants, contaminants, chemical substances or mixtures or toxic substances under any Environmental Law, (b) which are toxic, explosive, corrosive, flammable, infectious, radioactive, carcinogenic, mutagenic or otherwise harmful to human health or the environment and are or become regulated by any Governmental Authority, (c) the presence of which require investigation or remediation under any Environmental Law or common law, (d) the discharge or emission or release of which requires a permit or license under any Environmental Law or other Governmental</w:t>
      </w:r>
    </w:p>
    <w:p>
      <w:pPr>
        <w:spacing w:after="0" w:line="200" w:lineRule="exact"/>
        <w:rPr>
          <w:sz w:val="20"/>
          <w:szCs w:val="20"/>
          <w:color w:val="auto"/>
        </w:rPr>
      </w:pPr>
    </w:p>
    <w:p>
      <w:pPr>
        <w:spacing w:after="0" w:line="39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48</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-34290</wp:posOffset>
            </wp:positionV>
            <wp:extent cx="8255" cy="1016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54">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1140"/>
          </w:cols>
          <w:pgMar w:left="380" w:top="1440" w:right="379" w:bottom="1440" w:gutter="0" w:footer="0" w:header="0"/>
        </w:sectPr>
      </w:pPr>
    </w:p>
    <w:bookmarkStart w:id="197" w:name="page198"/>
    <w:bookmarkEnd w:id="197"/>
    <w:p>
      <w:pPr>
        <w:spacing w:after="0" w:line="95" w:lineRule="exact"/>
        <w:rPr>
          <w:sz w:val="20"/>
          <w:szCs w:val="20"/>
          <w:color w:val="auto"/>
        </w:rPr>
      </w:pPr>
    </w:p>
    <w:p>
      <w:pPr>
        <w:ind w:left="620"/>
        <w:spacing w:after="0" w:line="277" w:lineRule="auto"/>
        <w:rPr>
          <w:sz w:val="20"/>
          <w:szCs w:val="20"/>
          <w:color w:val="auto"/>
        </w:rPr>
      </w:pPr>
      <w:r>
        <w:rPr>
          <w:rFonts w:ascii="Times New Roman" w:cs="Times New Roman" w:eastAsia="Times New Roman" w:hAnsi="Times New Roman"/>
          <w:sz w:val="20"/>
          <w:szCs w:val="20"/>
          <w:color w:val="auto"/>
        </w:rPr>
        <w:t>Approval, (e) which are deemed by a Governmental Authority to constitute a nuisance or a trespass which pose a health or safety hazard to Persons or neighboring properties, (f) which consist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49</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-43180</wp:posOffset>
            </wp:positionV>
            <wp:extent cx="8255" cy="1016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55">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1040"/>
          </w:cols>
          <w:pgMar w:left="380" w:top="1440" w:right="479" w:bottom="1440" w:gutter="0" w:footer="0" w:header="0"/>
        </w:sectPr>
      </w:pPr>
    </w:p>
    <w:bookmarkStart w:id="198" w:name="page199"/>
    <w:bookmarkEnd w:id="198"/>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underground or aboveground storage tanks, whether empty, filled or partially filled with any substance or</w:t>
      </w:r>
    </w:p>
    <w:p>
      <w:pPr>
        <w:spacing w:after="0" w:line="6" w:lineRule="exact"/>
        <w:rPr>
          <w:sz w:val="20"/>
          <w:szCs w:val="20"/>
          <w:color w:val="auto"/>
        </w:rPr>
      </w:pPr>
    </w:p>
    <w:p>
      <w:pPr>
        <w:ind w:left="620" w:right="40" w:firstLine="4"/>
        <w:spacing w:after="0" w:line="254" w:lineRule="auto"/>
        <w:tabs>
          <w:tab w:leader="none" w:pos="969"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contain, without limitation, asbestos, polychlorinated biphenyls, urea formaldehyde foam insulation, petroleum hydrocarbons, petroleum derived substances or waste, crude oil, nuclear fuel, natural gas or synthetic gas.</w:t>
      </w:r>
    </w:p>
    <w:p>
      <w:pPr>
        <w:spacing w:after="0" w:line="173" w:lineRule="exact"/>
        <w:rPr>
          <w:sz w:val="20"/>
          <w:szCs w:val="20"/>
          <w:color w:val="auto"/>
        </w:rPr>
      </w:pPr>
    </w:p>
    <w:p>
      <w:pPr>
        <w:jc w:val="both"/>
        <w:ind w:left="620" w:right="40" w:firstLine="642"/>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Hedge Agreement</w:t>
      </w:r>
      <w:r>
        <w:rPr>
          <w:rFonts w:ascii="Times New Roman" w:cs="Times New Roman" w:eastAsia="Times New Roman" w:hAnsi="Times New Roman"/>
          <w:sz w:val="20"/>
          <w:szCs w:val="20"/>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w:t>
      </w:r>
    </w:p>
    <w:p>
      <w:pPr>
        <w:spacing w:after="0" w:line="3" w:lineRule="exact"/>
        <w:rPr>
          <w:sz w:val="20"/>
          <w:szCs w:val="20"/>
          <w:color w:val="auto"/>
        </w:rPr>
      </w:pPr>
    </w:p>
    <w:p>
      <w:pPr>
        <w:jc w:val="both"/>
        <w:ind w:left="620" w:right="40" w:firstLine="4"/>
        <w:spacing w:after="0" w:line="252" w:lineRule="auto"/>
        <w:tabs>
          <w:tab w:leader="none" w:pos="899"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Hedge Bank</w:t>
      </w:r>
      <w:r>
        <w:rPr>
          <w:rFonts w:ascii="Times New Roman" w:cs="Times New Roman" w:eastAsia="Times New Roman" w:hAnsi="Times New Roman"/>
          <w:sz w:val="20"/>
          <w:szCs w:val="20"/>
          <w:color w:val="auto"/>
        </w:rPr>
        <w:t>” means any US Hedge Bank or Canadian Hedge Bank.</w:t>
      </w:r>
    </w:p>
    <w:p>
      <w:pPr>
        <w:spacing w:after="0" w:line="211" w:lineRule="exact"/>
        <w:rPr>
          <w:sz w:val="20"/>
          <w:szCs w:val="20"/>
          <w:color w:val="auto"/>
        </w:rPr>
      </w:pPr>
    </w:p>
    <w:p>
      <w:pPr>
        <w:jc w:val="both"/>
        <w:ind w:left="620" w:firstLine="642"/>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Hedge Termination Value</w:t>
      </w:r>
      <w:r>
        <w:rPr>
          <w:rFonts w:ascii="Times New Roman" w:cs="Times New Roman" w:eastAsia="Times New Roman" w:hAnsi="Times New Roman"/>
          <w:sz w:val="20"/>
          <w:szCs w:val="20"/>
          <w:color w:val="auto"/>
        </w:rPr>
        <w:t>” means, in respect of any one or more Hedge Agreements, after taking into account the effect of any legally enforceable netting agreement relating to such Hedge Agreements, (a) for any date on or after the date such Hedge Agreements have been closed out and termination value(s) determined in accordance therewith, such termination value(s), and (b) for any date prior to the date referenced in clause (a), the amount(s) determined as the mark-to-market value(s) for such Hedge Agreements, as determined based upon one or more mid-market or other readily available quotations provided by any recognized dealer in such Hedge Agreements (which may include a Lender or any Affiliate of a Lender).</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IBA</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w:t>
      </w:r>
    </w:p>
    <w:p>
      <w:pPr>
        <w:spacing w:after="0" w:line="225" w:lineRule="exact"/>
        <w:rPr>
          <w:sz w:val="20"/>
          <w:szCs w:val="20"/>
          <w:color w:val="auto"/>
        </w:rPr>
      </w:pPr>
    </w:p>
    <w:p>
      <w:pPr>
        <w:jc w:val="both"/>
        <w:ind w:left="620" w:firstLine="642"/>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Immaterial Subsidiary</w:t>
      </w:r>
      <w:r>
        <w:rPr>
          <w:rFonts w:ascii="Times New Roman" w:cs="Times New Roman" w:eastAsia="Times New Roman" w:hAnsi="Times New Roman"/>
          <w:sz w:val="20"/>
          <w:szCs w:val="20"/>
          <w:color w:val="auto"/>
        </w:rPr>
        <w:t xml:space="preserve">” means any Subsidiary designated in writing by Centuri to the Administrative Agent as an Immaterial Subsidiary that is not already a Credit Party and that does not, as of the last day of the most recently completed period of four (4) consecutive fiscal quarters for which Centuri has delivered financial statements pursuant to </w:t>
      </w:r>
      <w:r>
        <w:rPr>
          <w:rFonts w:ascii="Times New Roman" w:cs="Times New Roman" w:eastAsia="Times New Roman" w:hAnsi="Times New Roman"/>
          <w:sz w:val="20"/>
          <w:szCs w:val="20"/>
          <w:u w:val="single" w:color="auto"/>
          <w:color w:val="auto"/>
        </w:rPr>
        <w:t>Section 6.1(e)(i)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8.1(b)</w:t>
      </w:r>
      <w:r>
        <w:rPr>
          <w:rFonts w:ascii="Times New Roman" w:cs="Times New Roman" w:eastAsia="Times New Roman" w:hAnsi="Times New Roman"/>
          <w:sz w:val="20"/>
          <w:szCs w:val="20"/>
          <w:color w:val="auto"/>
        </w:rPr>
        <w:t xml:space="preserve">, as applicable, have assets with a value in excess of 2.0% of the Consolidated Total Assets of the Consolidated Companies and did not, as of such period, have revenues exceeding 2.0% of the Consolidated revenues of the Consolidated Companies;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 such Subsidiary shall have been designated in writing by Centuri to the Administrative Agent as an Immaterial Subsidiary, and (b) if (i) the aggregate total assets then owned by all Subsidiaries of Centuri that would otherwise constitute Immaterial Subsidiaries shall have an aggregate value in excess of 5.0% of the Consolidated Total Assets of the Consolidated Companies as of the last day of such fiscal quarter or (ii) the combined revenues of all Subsidiaries of Centuri that would otherwise constitute Immaterial Subsidiaries shall exceed 5.0% of the Consolidated revenues of the Consolidated Companies for such four-quarter period, Centuri shall re-designate one or more of such Subsidiaries to not be Immaterial Subsidiaries within ten (10) Business Days after delivery of the Officer’s Compliance Certificate for such fiscal quarter such that only those such Subsidiaries as shall then have aggregate assets of less than 5.0% of the Consolidated Total Assets of the Consolidated Companies and combined revenues of less than 5.0% of the Consolidated revenues of the Consolidated Companies shall constitute Immaterial Subsidiaries. Notwithstanding the foregoing, in no event shall (A) any Subsidiary that owns a majority of the Equity Interests of a Material Subsidiary,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50</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-42545</wp:posOffset>
            </wp:positionV>
            <wp:extent cx="8255" cy="1016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56">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1040"/>
          </w:cols>
          <w:pgMar w:left="380" w:top="1440" w:right="479" w:bottom="1440" w:gutter="0" w:footer="0" w:header="0"/>
        </w:sectPr>
      </w:pPr>
    </w:p>
    <w:bookmarkStart w:id="199" w:name="page200"/>
    <w:bookmarkEnd w:id="199"/>
    <w:p>
      <w:pPr>
        <w:ind w:left="620"/>
        <w:spacing w:after="0"/>
        <w:rPr>
          <w:sz w:val="20"/>
          <w:szCs w:val="20"/>
          <w:color w:val="auto"/>
        </w:rPr>
      </w:pPr>
      <w:r>
        <w:rPr>
          <w:rFonts w:ascii="Times New Roman" w:cs="Times New Roman" w:eastAsia="Times New Roman" w:hAnsi="Times New Roman"/>
          <w:sz w:val="19"/>
          <w:szCs w:val="19"/>
          <w:color w:val="auto"/>
        </w:rPr>
        <w:t>(B) any Wholly-Owned US Subsidiary that owns, or otherwise licenses or has the right to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51</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-42545</wp:posOffset>
            </wp:positionV>
            <wp:extent cx="8255" cy="1016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57">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0079"/>
          </w:cols>
          <w:pgMar w:left="380" w:top="1307" w:right="1440" w:bottom="1440" w:gutter="0" w:footer="0" w:header="0"/>
        </w:sectPr>
      </w:pPr>
    </w:p>
    <w:bookmarkStart w:id="200" w:name="page201"/>
    <w:bookmarkEnd w:id="200"/>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trademarks and other intellectual property material to the operation of the Consolidated Companies or</w:t>
      </w:r>
    </w:p>
    <w:p>
      <w:pPr>
        <w:spacing w:after="0" w:line="6" w:lineRule="exact"/>
        <w:rPr>
          <w:sz w:val="20"/>
          <w:szCs w:val="20"/>
          <w:color w:val="auto"/>
        </w:rPr>
      </w:pPr>
    </w:p>
    <w:p>
      <w:pPr>
        <w:jc w:val="both"/>
        <w:ind w:left="620" w:right="60" w:firstLine="4"/>
        <w:spacing w:after="0" w:line="247" w:lineRule="auto"/>
        <w:tabs>
          <w:tab w:leader="none" w:pos="933"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Subsidiary that is an obligor or guarantor of any Indebtedness of any Credit Party or any Subsidiary thereof in excess of the Threshold Amount, in any such case be designated as an Immaterial Subsidiary. Notwithstanding the foregoing, in no event shall any Subsidiary that is an obligor or guarantor of any Refinancing Debt, Junior Indebtedness or Incremental Equivalent Indebtedness be permitted to be designated as an “Immaterial Subsidiary” hereunder.</w:t>
      </w:r>
    </w:p>
    <w:p>
      <w:pPr>
        <w:spacing w:after="0" w:line="2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Increase Effective Date</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5.13(c)</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Incremental Equivalent Indebtedness</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 xml:space="preserve">has the meaning assigned thereto in </w:t>
      </w:r>
      <w:r>
        <w:rPr>
          <w:rFonts w:ascii="Times New Roman" w:cs="Times New Roman" w:eastAsia="Times New Roman" w:hAnsi="Times New Roman"/>
          <w:sz w:val="20"/>
          <w:szCs w:val="20"/>
          <w:u w:val="single" w:color="auto"/>
          <w:color w:val="auto"/>
        </w:rPr>
        <w:t>Section 9.1(m)</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Incremental Amendment</w:t>
      </w:r>
      <w:r>
        <w:rPr>
          <w:rFonts w:ascii="Times New Roman" w:cs="Times New Roman" w:eastAsia="Times New Roman" w:hAnsi="Times New Roman"/>
          <w:sz w:val="20"/>
          <w:szCs w:val="20"/>
          <w:color w:val="auto"/>
        </w:rPr>
        <w:t>” has the meaning assigned thereto in</w:t>
      </w:r>
    </w:p>
    <w:p>
      <w:pPr>
        <w:spacing w:after="0" w:line="2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u w:val="single" w:color="auto"/>
          <w:color w:val="auto"/>
        </w:rPr>
        <w:t>Section 5.13(d)</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Incremental Increases</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5.13(a)(ii)</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Incremental</w:t>
      </w:r>
    </w:p>
    <w:p>
      <w:pPr>
        <w:spacing w:after="0" w:line="2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5.13(b)</w:t>
      </w:r>
      <w:r>
        <w:rPr>
          <w:rFonts w:ascii="Times New Roman" w:cs="Times New Roman" w:eastAsia="Times New Roman" w:hAnsi="Times New Roman"/>
          <w:sz w:val="20"/>
          <w:szCs w:val="20"/>
          <w:color w:val="auto"/>
        </w:rPr>
        <w:t>.</w:t>
      </w:r>
    </w:p>
    <w:p>
      <w:pPr>
        <w:spacing w:after="0" w:line="11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Revolving Credit Facility Increase</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5.13(a)(ii)</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Loan</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5.13(a)(i)</w:t>
      </w:r>
      <w:r>
        <w:rPr>
          <w:rFonts w:ascii="Times New Roman" w:cs="Times New Roman" w:eastAsia="Times New Roman" w:hAnsi="Times New Roman"/>
          <w:sz w:val="20"/>
          <w:szCs w:val="20"/>
          <w:color w:val="auto"/>
        </w:rPr>
        <w:t>.</w:t>
      </w:r>
    </w:p>
    <w:p>
      <w:pPr>
        <w:spacing w:after="0" w:line="225" w:lineRule="exact"/>
        <w:rPr>
          <w:sz w:val="20"/>
          <w:szCs w:val="20"/>
          <w:color w:val="auto"/>
        </w:rPr>
      </w:pPr>
    </w:p>
    <w:p>
      <w:pPr>
        <w:ind w:left="620" w:right="520" w:firstLine="642"/>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Loan Commitment</w:t>
      </w:r>
      <w:r>
        <w:rPr>
          <w:rFonts w:ascii="Times New Roman" w:cs="Times New Roman" w:eastAsia="Times New Roman" w:hAnsi="Times New Roman"/>
          <w:sz w:val="20"/>
          <w:szCs w:val="20"/>
          <w:color w:val="auto"/>
        </w:rPr>
        <w:t xml:space="preserve">” means the commitment of any Lender to make an Incremental Term Loan to a Borrower in accordance with </w:t>
      </w:r>
      <w:r>
        <w:rPr>
          <w:rFonts w:ascii="Times New Roman" w:cs="Times New Roman" w:eastAsia="Times New Roman" w:hAnsi="Times New Roman"/>
          <w:sz w:val="20"/>
          <w:szCs w:val="20"/>
          <w:u w:val="single" w:color="auto"/>
          <w:color w:val="auto"/>
        </w:rPr>
        <w:t>Section 5.13</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means, with respect to any Person at any date and without duplication, the sum of the following:</w:t>
      </w:r>
    </w:p>
    <w:p>
      <w:pPr>
        <w:spacing w:after="0" w:line="211" w:lineRule="exact"/>
        <w:rPr>
          <w:sz w:val="20"/>
          <w:szCs w:val="20"/>
          <w:color w:val="auto"/>
        </w:rPr>
      </w:pPr>
    </w:p>
    <w:p>
      <w:pPr>
        <w:ind w:left="1260" w:right="60" w:hanging="154"/>
        <w:spacing w:after="0" w:line="277" w:lineRule="auto"/>
        <w:tabs>
          <w:tab w:leader="none" w:pos="185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all liabilities, obligations and indebtedness for borrowed money including, but not limited to, obligations evidenced by bonds, debentures, notes or other similar instruments of any such Person;</w:t>
      </w:r>
    </w:p>
    <w:p>
      <w:pPr>
        <w:spacing w:after="0" w:line="151" w:lineRule="exact"/>
        <w:rPr>
          <w:rFonts w:ascii="Times New Roman" w:cs="Times New Roman" w:eastAsia="Times New Roman" w:hAnsi="Times New Roman"/>
          <w:sz w:val="18"/>
          <w:szCs w:val="18"/>
          <w:color w:val="auto"/>
        </w:rPr>
      </w:pPr>
    </w:p>
    <w:p>
      <w:pPr>
        <w:jc w:val="both"/>
        <w:ind w:left="1260" w:firstLine="648"/>
        <w:spacing w:after="0" w:line="254" w:lineRule="auto"/>
        <w:tabs>
          <w:tab w:leader="none" w:pos="2497"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all obligations to pay the deferred purchase price of property or services of any such Person (including, without limitation, all obligations under non-competition, earn-out or similar agreements), except trade payables arising in the ordinary course of business not more than ninety (90) days past due, or that are currently being contested in good faith by appropriate proceedings and with respect to which reserves in conformity with GAAP have been provided for on the books of such Person;</w:t>
      </w:r>
    </w:p>
    <w:p>
      <w:pPr>
        <w:spacing w:after="0" w:line="173" w:lineRule="exact"/>
        <w:rPr>
          <w:rFonts w:ascii="Times New Roman" w:cs="Times New Roman" w:eastAsia="Times New Roman" w:hAnsi="Times New Roman"/>
          <w:sz w:val="18"/>
          <w:szCs w:val="18"/>
          <w:color w:val="auto"/>
        </w:rPr>
      </w:pPr>
    </w:p>
    <w:p>
      <w:pPr>
        <w:ind w:left="1260" w:right="60" w:firstLine="648"/>
        <w:spacing w:after="0" w:line="263" w:lineRule="auto"/>
        <w:tabs>
          <w:tab w:leader="none" w:pos="2501"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Attributable Indebtedness of such Person with respect to such Person’s Capital Lease Obligations and Synthetic Leases (regardless of whether accounted for as indebtedness under GAAP);</w:t>
      </w:r>
    </w:p>
    <w:p>
      <w:pPr>
        <w:spacing w:after="0" w:line="178" w:lineRule="exact"/>
        <w:rPr>
          <w:rFonts w:ascii="Times New Roman" w:cs="Times New Roman" w:eastAsia="Times New Roman" w:hAnsi="Times New Roman"/>
          <w:sz w:val="18"/>
          <w:szCs w:val="18"/>
          <w:color w:val="auto"/>
        </w:rPr>
      </w:pPr>
    </w:p>
    <w:p>
      <w:pPr>
        <w:jc w:val="both"/>
        <w:ind w:left="1260" w:right="40" w:firstLine="648"/>
        <w:spacing w:after="0" w:line="257" w:lineRule="auto"/>
        <w:tabs>
          <w:tab w:leader="none" w:pos="2497"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all obligations of such Person under conditional sale or other title retention agreements relating to property purchased by such Person to the extent of the value of such property (other than customary reservations or retentions of title under agreements with suppliers entered into in the ordinary course of business);</w:t>
      </w:r>
    </w:p>
    <w:p>
      <w:pPr>
        <w:spacing w:after="0" w:line="170" w:lineRule="exact"/>
        <w:rPr>
          <w:rFonts w:ascii="Times New Roman" w:cs="Times New Roman" w:eastAsia="Times New Roman" w:hAnsi="Times New Roman"/>
          <w:sz w:val="18"/>
          <w:szCs w:val="18"/>
          <w:color w:val="auto"/>
        </w:rPr>
      </w:pPr>
    </w:p>
    <w:p>
      <w:pPr>
        <w:jc w:val="both"/>
        <w:ind w:left="1260" w:right="60" w:firstLine="648"/>
        <w:spacing w:after="0" w:line="264" w:lineRule="auto"/>
        <w:tabs>
          <w:tab w:leader="none" w:pos="2501"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all Indebtedness of any other Person secured by a Lien on any asset owned or being purchased by such Person (including indebtedness arising under conditional sales or other title retention agreements except trade payables arising in the ordinary course of business),</w:t>
      </w:r>
    </w:p>
    <w:p>
      <w:pPr>
        <w:spacing w:after="0" w:line="200" w:lineRule="exact"/>
        <w:rPr>
          <w:sz w:val="20"/>
          <w:szCs w:val="20"/>
          <w:color w:val="auto"/>
        </w:rPr>
      </w:pPr>
    </w:p>
    <w:p>
      <w:pPr>
        <w:spacing w:after="0" w:line="37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-42545</wp:posOffset>
            </wp:positionV>
            <wp:extent cx="8255" cy="1016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58">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1060"/>
          </w:cols>
          <w:pgMar w:left="380" w:top="1440" w:right="459" w:bottom="1440" w:gutter="0" w:footer="0" w:header="0"/>
        </w:sectPr>
      </w:pPr>
    </w:p>
    <w:bookmarkStart w:id="201" w:name="page202"/>
    <w:bookmarkEnd w:id="201"/>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53</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-43180</wp:posOffset>
            </wp:positionV>
            <wp:extent cx="8255" cy="1016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59">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0079"/>
          </w:cols>
          <w:pgMar w:left="380" w:top="1440" w:right="1440" w:bottom="1440" w:gutter="0" w:footer="0" w:header="0"/>
        </w:sectPr>
      </w:pPr>
    </w:p>
    <w:bookmarkStart w:id="202" w:name="page203"/>
    <w:bookmarkEnd w:id="202"/>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whether or not such indebtedness shall have been assumed by such Person or is limited in recourse;</w:t>
      </w:r>
    </w:p>
    <w:p>
      <w:pPr>
        <w:spacing w:after="0" w:line="211" w:lineRule="exact"/>
        <w:rPr>
          <w:sz w:val="20"/>
          <w:szCs w:val="20"/>
          <w:color w:val="auto"/>
        </w:rPr>
      </w:pPr>
    </w:p>
    <w:p>
      <w:pPr>
        <w:jc w:val="both"/>
        <w:ind w:left="1260" w:right="40" w:firstLine="648"/>
        <w:spacing w:after="0" w:line="257" w:lineRule="auto"/>
        <w:tabs>
          <w:tab w:leader="none" w:pos="250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all obligations, contingent or otherwise, of any such Person relative to the face amount of letters of credit, whether or not drawn, including, without limitation, any Reimbursement Obligation, and banker’s acceptances issued for the account of any such Person;</w:t>
      </w:r>
    </w:p>
    <w:p>
      <w:pPr>
        <w:spacing w:after="0" w:line="183" w:lineRule="exact"/>
        <w:rPr>
          <w:rFonts w:ascii="Times New Roman" w:cs="Times New Roman" w:eastAsia="Times New Roman" w:hAnsi="Times New Roman"/>
          <w:sz w:val="18"/>
          <w:szCs w:val="18"/>
          <w:color w:val="auto"/>
        </w:rPr>
      </w:pPr>
    </w:p>
    <w:p>
      <w:pPr>
        <w:ind w:left="2540" w:hanging="631"/>
        <w:spacing w:after="0"/>
        <w:tabs>
          <w:tab w:leader="none" w:pos="25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all obligations of any such Person in respect of Disqualified Equity Interests;</w:t>
      </w:r>
    </w:p>
    <w:p>
      <w:pPr>
        <w:spacing w:after="0" w:line="211" w:lineRule="exact"/>
        <w:rPr>
          <w:rFonts w:ascii="Times New Roman" w:cs="Times New Roman" w:eastAsia="Times New Roman" w:hAnsi="Times New Roman"/>
          <w:sz w:val="18"/>
          <w:szCs w:val="18"/>
          <w:color w:val="auto"/>
        </w:rPr>
      </w:pPr>
    </w:p>
    <w:p>
      <w:pPr>
        <w:ind w:left="2540" w:hanging="631"/>
        <w:spacing w:after="0"/>
        <w:tabs>
          <w:tab w:leader="none" w:pos="25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all net obligations of such Person under any Hedge Agreements; and</w:t>
      </w:r>
    </w:p>
    <w:p>
      <w:pPr>
        <w:spacing w:after="0" w:line="224" w:lineRule="exact"/>
        <w:rPr>
          <w:rFonts w:ascii="Times New Roman" w:cs="Times New Roman" w:eastAsia="Times New Roman" w:hAnsi="Times New Roman"/>
          <w:sz w:val="18"/>
          <w:szCs w:val="18"/>
          <w:color w:val="auto"/>
        </w:rPr>
      </w:pPr>
    </w:p>
    <w:p>
      <w:pPr>
        <w:ind w:left="2540" w:hanging="631"/>
        <w:spacing w:after="0"/>
        <w:tabs>
          <w:tab w:leader="none" w:pos="25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all Guarantees of any such Person with respect to any of the foregoing.</w:t>
      </w:r>
    </w:p>
    <w:p>
      <w:pPr>
        <w:spacing w:after="0" w:line="211" w:lineRule="exact"/>
        <w:rPr>
          <w:sz w:val="20"/>
          <w:szCs w:val="20"/>
          <w:color w:val="auto"/>
        </w:rPr>
      </w:pPr>
    </w:p>
    <w:p>
      <w:pPr>
        <w:jc w:val="both"/>
        <w:ind w:left="620" w:right="40" w:firstLine="642"/>
        <w:spacing w:after="0" w:line="250" w:lineRule="auto"/>
        <w:rPr>
          <w:sz w:val="20"/>
          <w:szCs w:val="20"/>
          <w:color w:val="auto"/>
        </w:rPr>
      </w:pPr>
      <w:r>
        <w:rPr>
          <w:rFonts w:ascii="Times New Roman" w:cs="Times New Roman" w:eastAsia="Times New Roman" w:hAnsi="Times New Roman"/>
          <w:sz w:val="20"/>
          <w:szCs w:val="20"/>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Hedge Agreement on any date shall be deemed to be the Hedge Termination Value thereof as of such date. In respect of Indebtedness of another Person secured by a Lien on the assets of the specified Person, the amount of such Indebtedness as of any date of determination will be the lesser of (x) the fair market value of such assets as of such date and (y) the amount of such Indebtedness as of such date.</w:t>
      </w:r>
    </w:p>
    <w:p>
      <w:pPr>
        <w:spacing w:after="0" w:line="182" w:lineRule="exact"/>
        <w:rPr>
          <w:sz w:val="20"/>
          <w:szCs w:val="20"/>
          <w:color w:val="auto"/>
        </w:rPr>
      </w:pPr>
    </w:p>
    <w:p>
      <w:pPr>
        <w:ind w:left="620" w:firstLine="642"/>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Taxes</w:t>
      </w:r>
      <w:r>
        <w:rPr>
          <w:rFonts w:ascii="Times New Roman" w:cs="Times New Roman" w:eastAsia="Times New Roman" w:hAnsi="Times New Roman"/>
          <w:sz w:val="20"/>
          <w:szCs w:val="20"/>
          <w:color w:val="auto"/>
        </w:rPr>
        <w:t>” means (a) Taxes, other than Excluded Taxes, imposed on or with respect to any payment made by or on account of any obligation of any Credit Party under any Loan Document and</w:t>
      </w:r>
    </w:p>
    <w:p>
      <w:pPr>
        <w:spacing w:after="0" w:line="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(b) to the extent not otherwise described in clause (a), Other Taxes. “</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has the meaning</w:t>
      </w:r>
    </w:p>
    <w:p>
      <w:pPr>
        <w:spacing w:after="0" w:line="2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 xml:space="preserve">assigned thereto in </w:t>
      </w:r>
      <w:r>
        <w:rPr>
          <w:rFonts w:ascii="Times New Roman" w:cs="Times New Roman" w:eastAsia="Times New Roman" w:hAnsi="Times New Roman"/>
          <w:sz w:val="20"/>
          <w:szCs w:val="20"/>
          <w:u w:val="single" w:color="auto"/>
          <w:color w:val="auto"/>
        </w:rPr>
        <w:t>Section 12.3(b)</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has the meaning assigned thereto in</w:t>
      </w:r>
    </w:p>
    <w:p>
      <w:pPr>
        <w:spacing w:after="0" w:line="2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u w:val="single" w:color="auto"/>
          <w:color w:val="auto"/>
        </w:rPr>
        <w:t>Section 12.10</w:t>
      </w:r>
      <w:r>
        <w:rPr>
          <w:rFonts w:ascii="Times New Roman" w:cs="Times New Roman" w:eastAsia="Times New Roman" w:hAnsi="Times New Roman"/>
          <w:sz w:val="20"/>
          <w:szCs w:val="20"/>
          <w:color w:val="auto"/>
        </w:rPr>
        <w:t>.</w:t>
      </w:r>
    </w:p>
    <w:p>
      <w:pPr>
        <w:spacing w:after="0" w:line="104" w:lineRule="exact"/>
        <w:rPr>
          <w:sz w:val="20"/>
          <w:szCs w:val="20"/>
          <w:color w:val="auto"/>
        </w:rPr>
      </w:pPr>
    </w:p>
    <w:p>
      <w:pPr>
        <w:ind w:left="620" w:right="300" w:firstLine="642"/>
        <w:spacing w:after="0" w:line="27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Term Loan</w:t>
      </w:r>
      <w:r>
        <w:rPr>
          <w:rFonts w:ascii="Times New Roman" w:cs="Times New Roman" w:eastAsia="Times New Roman" w:hAnsi="Times New Roman"/>
          <w:sz w:val="20"/>
          <w:szCs w:val="20"/>
          <w:color w:val="auto"/>
        </w:rPr>
        <w:t xml:space="preserve">” means the term loan denominated in Dollars made to Centuri, by the Term Loan Lenders pursuant to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w:t>
      </w:r>
    </w:p>
    <w:p>
      <w:pPr>
        <w:spacing w:after="0" w:line="151" w:lineRule="exact"/>
        <w:rPr>
          <w:sz w:val="20"/>
          <w:szCs w:val="20"/>
          <w:color w:val="auto"/>
        </w:rPr>
      </w:pPr>
    </w:p>
    <w:p>
      <w:pPr>
        <w:jc w:val="both"/>
        <w:ind w:left="620" w:right="60" w:firstLine="642"/>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Insurance and Condemnation Event</w:t>
      </w:r>
      <w:r>
        <w:rPr>
          <w:rFonts w:ascii="Times New Roman" w:cs="Times New Roman" w:eastAsia="Times New Roman" w:hAnsi="Times New Roman"/>
          <w:sz w:val="20"/>
          <w:szCs w:val="20"/>
          <w:color w:val="auto"/>
        </w:rPr>
        <w:t>” means the receipt by any Credit Party or any of its Subsidiaries of any cash insurance proceeds or condemnation award payable by reason of theft, loss, physical destruction or damage, taking or similar event with respect to any of their respective Property.</w:t>
      </w:r>
    </w:p>
    <w:p>
      <w:pPr>
        <w:spacing w:after="0" w:line="184" w:lineRule="exact"/>
        <w:rPr>
          <w:sz w:val="20"/>
          <w:szCs w:val="20"/>
          <w:color w:val="auto"/>
        </w:rPr>
      </w:pPr>
    </w:p>
    <w:p>
      <w:pPr>
        <w:jc w:val="both"/>
        <w:ind w:left="620" w:right="40" w:firstLine="642"/>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 xml:space="preserve">” means, as to each SOFR Loan or </w:t>
      </w:r>
      <w:r>
        <w:rPr>
          <w:rFonts w:ascii="Times New Roman" w:cs="Times New Roman" w:eastAsia="Times New Roman" w:hAnsi="Times New Roman"/>
          <w:sz w:val="20"/>
          <w:szCs w:val="20"/>
          <w:color w:val="FF0000"/>
          <w:strike w:val="1"/>
        </w:rPr>
        <w:t>CDOR Rate</w:t>
      </w:r>
      <w:r>
        <w:rPr>
          <w:rFonts w:ascii="Times New Roman" w:cs="Times New Roman" w:eastAsia="Times New Roman" w:hAnsi="Times New Roman"/>
          <w:sz w:val="20"/>
          <w:szCs w:val="20"/>
          <w:u w:val="single" w:color="auto"/>
          <w:color w:val="0000FF"/>
        </w:rPr>
        <w:t>Term CORRA</w:t>
      </w:r>
      <w:r>
        <w:rPr>
          <w:rFonts w:ascii="Times New Roman" w:cs="Times New Roman" w:eastAsia="Times New Roman" w:hAnsi="Times New Roman"/>
          <w:sz w:val="20"/>
          <w:szCs w:val="20"/>
          <w:color w:val="auto"/>
        </w:rPr>
        <w:t xml:space="preserve"> Loan, the period commencing on the date such SOFR Loan and </w:t>
      </w:r>
      <w:r>
        <w:rPr>
          <w:rFonts w:ascii="Times New Roman" w:cs="Times New Roman" w:eastAsia="Times New Roman" w:hAnsi="Times New Roman"/>
          <w:sz w:val="20"/>
          <w:szCs w:val="20"/>
          <w:color w:val="FF0000"/>
          <w:strike w:val="1"/>
        </w:rPr>
        <w:t>CDOR Rate</w:t>
      </w:r>
      <w:r>
        <w:rPr>
          <w:rFonts w:ascii="Times New Roman" w:cs="Times New Roman" w:eastAsia="Times New Roman" w:hAnsi="Times New Roman"/>
          <w:sz w:val="20"/>
          <w:szCs w:val="20"/>
          <w:u w:val="single" w:color="auto"/>
          <w:color w:val="0000FF"/>
        </w:rPr>
        <w:t>Term CORRA</w:t>
      </w:r>
      <w:r>
        <w:rPr>
          <w:rFonts w:ascii="Times New Roman" w:cs="Times New Roman" w:eastAsia="Times New Roman" w:hAnsi="Times New Roman"/>
          <w:sz w:val="20"/>
          <w:szCs w:val="20"/>
          <w:color w:val="auto"/>
        </w:rPr>
        <w:t xml:space="preserve"> Loan is disbursed or converted to or continued as a SOFR Loan or </w:t>
      </w:r>
      <w:r>
        <w:rPr>
          <w:rFonts w:ascii="Times New Roman" w:cs="Times New Roman" w:eastAsia="Times New Roman" w:hAnsi="Times New Roman"/>
          <w:sz w:val="20"/>
          <w:szCs w:val="20"/>
          <w:color w:val="FF0000"/>
          <w:strike w:val="1"/>
        </w:rPr>
        <w:t>CDOR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Rate</w:t>
      </w:r>
      <w:r>
        <w:rPr>
          <w:rFonts w:ascii="Times New Roman" w:cs="Times New Roman" w:eastAsia="Times New Roman" w:hAnsi="Times New Roman"/>
          <w:sz w:val="20"/>
          <w:szCs w:val="20"/>
          <w:u w:val="single" w:color="auto"/>
          <w:color w:val="0000FF"/>
        </w:rPr>
        <w:t>Term CORRA</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Loan and ending on the date that is (x) with respect to SOFR Loans, one (1), three (3) or six (6) months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thereafter and (y) with respect to </w:t>
      </w:r>
      <w:r>
        <w:rPr>
          <w:rFonts w:ascii="Times New Roman" w:cs="Times New Roman" w:eastAsia="Times New Roman" w:hAnsi="Times New Roman"/>
          <w:sz w:val="20"/>
          <w:szCs w:val="20"/>
          <w:color w:val="FF0000"/>
          <w:strike w:val="1"/>
        </w:rPr>
        <w:t>CDOR Rate</w:t>
      </w:r>
      <w:r>
        <w:rPr>
          <w:rFonts w:ascii="Times New Roman" w:cs="Times New Roman" w:eastAsia="Times New Roman" w:hAnsi="Times New Roman"/>
          <w:sz w:val="20"/>
          <w:szCs w:val="20"/>
          <w:u w:val="single" w:color="auto"/>
          <w:color w:val="0000FF"/>
        </w:rPr>
        <w:t>Term CORRA</w:t>
      </w:r>
      <w:r>
        <w:rPr>
          <w:rFonts w:ascii="Times New Roman" w:cs="Times New Roman" w:eastAsia="Times New Roman" w:hAnsi="Times New Roman"/>
          <w:sz w:val="20"/>
          <w:szCs w:val="20"/>
          <w:color w:val="000000"/>
        </w:rPr>
        <w:t xml:space="preserve"> Loans, one (1)</w:t>
      </w:r>
      <w:r>
        <w:rPr>
          <w:rFonts w:ascii="Times New Roman" w:cs="Times New Roman" w:eastAsia="Times New Roman" w:hAnsi="Times New Roman"/>
          <w:sz w:val="20"/>
          <w:szCs w:val="20"/>
          <w:color w:val="FF0000"/>
          <w:strike w:val="1"/>
        </w:rPr>
        <w:t>, two (2)</w:t>
      </w:r>
      <w:r>
        <w:rPr>
          <w:rFonts w:ascii="Times New Roman" w:cs="Times New Roman" w:eastAsia="Times New Roman" w:hAnsi="Times New Roman"/>
          <w:sz w:val="20"/>
          <w:szCs w:val="20"/>
          <w:color w:val="000000"/>
        </w:rPr>
        <w:t xml:space="preserve"> or three (3) months thereafter, in each case as selected by the applicable Borrower in its Notice of Borrowing or Notice of Conversion/Continuation and subject to availability; provided that:</w:t>
      </w:r>
    </w:p>
    <w:p>
      <w:pPr>
        <w:spacing w:after="0" w:line="181" w:lineRule="exact"/>
        <w:rPr>
          <w:sz w:val="20"/>
          <w:szCs w:val="20"/>
          <w:color w:val="auto"/>
        </w:rPr>
      </w:pPr>
    </w:p>
    <w:p>
      <w:pPr>
        <w:jc w:val="both"/>
        <w:ind w:left="1260" w:right="60" w:firstLine="648"/>
        <w:spacing w:after="0" w:line="257" w:lineRule="auto"/>
        <w:tabs>
          <w:tab w:leader="none" w:pos="2507"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Interest Period shall commence on the date of advance of or conversion to any SOFR Loan or </w:t>
      </w:r>
      <w:r>
        <w:rPr>
          <w:rFonts w:ascii="Times New Roman" w:cs="Times New Roman" w:eastAsia="Times New Roman" w:hAnsi="Times New Roman"/>
          <w:sz w:val="20"/>
          <w:szCs w:val="20"/>
          <w:color w:val="FF0000"/>
          <w:strike w:val="1"/>
        </w:rPr>
        <w:t>CDOR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Rate</w:t>
      </w:r>
      <w:r>
        <w:rPr>
          <w:rFonts w:ascii="Times New Roman" w:cs="Times New Roman" w:eastAsia="Times New Roman" w:hAnsi="Times New Roman"/>
          <w:sz w:val="20"/>
          <w:szCs w:val="20"/>
          <w:u w:val="single" w:color="auto"/>
          <w:color w:val="0000FF"/>
        </w:rPr>
        <w:t>Term CORRA</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Loan and, in the case of immediately successive Interest Periods, each successive Interest Period shall</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commence on the date on which the immediately preceding Interest Period expires;</w:t>
      </w:r>
    </w:p>
    <w:p>
      <w:pPr>
        <w:spacing w:after="0" w:line="200" w:lineRule="exact"/>
        <w:rPr>
          <w:sz w:val="20"/>
          <w:szCs w:val="20"/>
          <w:color w:val="auto"/>
        </w:rPr>
      </w:pPr>
    </w:p>
    <w:p>
      <w:pPr>
        <w:spacing w:after="0" w:line="39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54</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-43180</wp:posOffset>
            </wp:positionV>
            <wp:extent cx="8255" cy="1016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60">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1060"/>
          </w:cols>
          <w:pgMar w:left="380" w:top="1440" w:right="459" w:bottom="1440" w:gutter="0" w:footer="0" w:header="0"/>
        </w:sectPr>
      </w:pPr>
    </w:p>
    <w:bookmarkStart w:id="203" w:name="page204"/>
    <w:bookmarkEnd w:id="203"/>
    <w:p>
      <w:pPr>
        <w:spacing w:after="0" w:line="95" w:lineRule="exact"/>
        <w:rPr>
          <w:sz w:val="20"/>
          <w:szCs w:val="20"/>
          <w:color w:val="auto"/>
        </w:rPr>
      </w:pPr>
    </w:p>
    <w:p>
      <w:pPr>
        <w:ind w:left="1320" w:firstLine="648"/>
        <w:spacing w:after="0" w:line="277" w:lineRule="auto"/>
        <w:tabs>
          <w:tab w:leader="none" w:pos="2565"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Interest Period would otherwise expire on a day that is not a Business Day, such Interest Period shall expire on the next succeeding Business Day;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440" w:val="left"/>
        </w:tabs>
        <w:rPr>
          <w:sz w:val="20"/>
          <w:szCs w:val="20"/>
          <w:color w:val="auto"/>
        </w:rPr>
      </w:pPr>
      <w:r>
        <w:rPr>
          <w:sz w:val="1"/>
          <w:szCs w:val="1"/>
          <w:color w:val="auto"/>
        </w:rPr>
        <w:drawing>
          <wp:inline distT="0" distB="0" distL="0" distR="0">
            <wp:extent cx="8255" cy="101600"/>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61">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55</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ectPr>
          <w:pgSz w:w="11900" w:h="16838" w:orient="portrait"/>
          <w:cols w:equalWidth="0" w:num="1">
            <w:col w:w="11120"/>
          </w:cols>
          <w:pgMar w:left="320" w:top="1440" w:right="459" w:bottom="1440" w:gutter="0" w:footer="0" w:header="0"/>
        </w:sectPr>
      </w:pPr>
    </w:p>
    <w:bookmarkStart w:id="204" w:name="page205"/>
    <w:bookmarkEnd w:id="204"/>
    <w:p>
      <w:pPr>
        <w:spacing w:after="0" w:line="202" w:lineRule="exact"/>
        <w:rPr>
          <w:sz w:val="20"/>
          <w:szCs w:val="20"/>
          <w:color w:val="auto"/>
        </w:rPr>
      </w:pPr>
    </w:p>
    <w:p>
      <w:pPr>
        <w:ind w:left="1260" w:right="40"/>
        <w:spacing w:after="0" w:line="289" w:lineRule="auto"/>
        <w:rPr>
          <w:sz w:val="20"/>
          <w:szCs w:val="20"/>
          <w:color w:val="auto"/>
        </w:rPr>
      </w:pPr>
      <w:r>
        <w:rPr>
          <w:rFonts w:ascii="Times New Roman" w:cs="Times New Roman" w:eastAsia="Times New Roman" w:hAnsi="Times New Roman"/>
          <w:sz w:val="19"/>
          <w:szCs w:val="19"/>
          <w:color w:val="auto"/>
        </w:rPr>
        <w:t>Interest Period would otherwise expire on a day that is not a Business Day but is a day of the month after which no further Business Day occurs in such month, such Interest Period shall expire on the immediately preceding Business Day;</w:t>
      </w:r>
    </w:p>
    <w:p>
      <w:pPr>
        <w:spacing w:after="0" w:line="156" w:lineRule="exact"/>
        <w:rPr>
          <w:sz w:val="20"/>
          <w:szCs w:val="20"/>
          <w:color w:val="auto"/>
        </w:rPr>
      </w:pPr>
    </w:p>
    <w:p>
      <w:pPr>
        <w:jc w:val="both"/>
        <w:ind w:left="1260" w:right="40" w:firstLine="648"/>
        <w:spacing w:after="0" w:line="257" w:lineRule="auto"/>
        <w:tabs>
          <w:tab w:leader="none" w:pos="2507"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Period that begins on the last Business Day of a calendar month (or on a day for which there is no numerically corresponding day in the calendar month at the end of such Interest Period) shall end on the last Business Day of the relevant calendar month at the end of such Interest Period;</w:t>
      </w:r>
    </w:p>
    <w:p>
      <w:pPr>
        <w:spacing w:after="0" w:line="170" w:lineRule="exact"/>
        <w:rPr>
          <w:rFonts w:ascii="Times New Roman" w:cs="Times New Roman" w:eastAsia="Times New Roman" w:hAnsi="Times New Roman"/>
          <w:sz w:val="20"/>
          <w:szCs w:val="20"/>
          <w:color w:val="auto"/>
        </w:rPr>
      </w:pPr>
    </w:p>
    <w:p>
      <w:pPr>
        <w:jc w:val="both"/>
        <w:ind w:left="1260" w:firstLine="648"/>
        <w:spacing w:after="0" w:line="255" w:lineRule="auto"/>
        <w:tabs>
          <w:tab w:leader="none" w:pos="2505"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Interest Period shall extend beyond the Revolving Credit Maturity Date or the Term Loan Maturity Date, as applicable, and Interest Periods shall be selected by the applicable Borrower so as to permit such Borrower to make the quarterly principal installment payments pursuant to </w:t>
      </w:r>
      <w:r>
        <w:rPr>
          <w:rFonts w:ascii="Times New Roman" w:cs="Times New Roman" w:eastAsia="Times New Roman" w:hAnsi="Times New Roman"/>
          <w:sz w:val="20"/>
          <w:szCs w:val="20"/>
          <w:u w:val="single" w:color="auto"/>
          <w:color w:val="auto"/>
        </w:rPr>
        <w:t>Section 4.3</w:t>
      </w:r>
      <w:r>
        <w:rPr>
          <w:rFonts w:ascii="Times New Roman" w:cs="Times New Roman" w:eastAsia="Times New Roman" w:hAnsi="Times New Roman"/>
          <w:sz w:val="20"/>
          <w:szCs w:val="20"/>
          <w:color w:val="auto"/>
        </w:rPr>
        <w:t xml:space="preserve"> without payment of any amounts pursuant to </w:t>
      </w:r>
      <w:r>
        <w:rPr>
          <w:rFonts w:ascii="Times New Roman" w:cs="Times New Roman" w:eastAsia="Times New Roman" w:hAnsi="Times New Roman"/>
          <w:sz w:val="20"/>
          <w:szCs w:val="20"/>
          <w:u w:val="single" w:color="auto"/>
          <w:color w:val="auto"/>
        </w:rPr>
        <w:t>Section 5.9</w:t>
      </w:r>
      <w:r>
        <w:rPr>
          <w:rFonts w:ascii="Times New Roman" w:cs="Times New Roman" w:eastAsia="Times New Roman" w:hAnsi="Times New Roman"/>
          <w:sz w:val="20"/>
          <w:szCs w:val="20"/>
          <w:color w:val="auto"/>
        </w:rPr>
        <w:t>; and</w:t>
      </w:r>
    </w:p>
    <w:p>
      <w:pPr>
        <w:spacing w:after="0" w:line="119" w:lineRule="exact"/>
        <w:rPr>
          <w:rFonts w:ascii="Times New Roman" w:cs="Times New Roman" w:eastAsia="Times New Roman" w:hAnsi="Times New Roman"/>
          <w:sz w:val="20"/>
          <w:szCs w:val="20"/>
          <w:color w:val="auto"/>
        </w:rPr>
      </w:pPr>
    </w:p>
    <w:p>
      <w:pPr>
        <w:ind w:left="2520" w:hanging="612"/>
        <w:spacing w:after="0"/>
        <w:tabs>
          <w:tab w:leader="none" w:pos="252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shall be no more than sixteen (16) Interest Periods in effect at any time. “</w:t>
      </w:r>
      <w:r>
        <w:rPr>
          <w:rFonts w:ascii="Times New Roman" w:cs="Times New Roman" w:eastAsia="Times New Roman" w:hAnsi="Times New Roman"/>
          <w:sz w:val="20"/>
          <w:szCs w:val="20"/>
          <w:u w:val="single" w:color="auto"/>
          <w:color w:val="auto"/>
        </w:rPr>
        <w:t>Interstate Commerce Act</w:t>
      </w:r>
      <w:r>
        <w:rPr>
          <w:rFonts w:ascii="Times New Roman" w:cs="Times New Roman" w:eastAsia="Times New Roman" w:hAnsi="Times New Roman"/>
          <w:sz w:val="20"/>
          <w:szCs w:val="20"/>
          <w:color w:val="auto"/>
        </w:rPr>
        <w:t>”</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means the body of law commonly known as the Interstate Commerce</w:t>
      </w:r>
    </w:p>
    <w:p>
      <w:pPr>
        <w:spacing w:after="0" w:line="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Act (49 U.S.C §§ 1 et seq.).</w:t>
      </w: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 Company Act</w:t>
      </w:r>
      <w:r>
        <w:rPr>
          <w:rFonts w:ascii="Times New Roman" w:cs="Times New Roman" w:eastAsia="Times New Roman" w:hAnsi="Times New Roman"/>
          <w:sz w:val="20"/>
          <w:szCs w:val="20"/>
          <w:color w:val="auto"/>
        </w:rPr>
        <w:t>” means the Investment Company Act of 1940 (15 U.S.C. § 80(a)(1),</w:t>
      </w:r>
    </w:p>
    <w:p>
      <w:pPr>
        <w:spacing w:after="0" w:line="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et seq.).</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IRS</w:t>
      </w:r>
      <w:r>
        <w:rPr>
          <w:rFonts w:ascii="Times New Roman" w:cs="Times New Roman" w:eastAsia="Times New Roman" w:hAnsi="Times New Roman"/>
          <w:sz w:val="20"/>
          <w:szCs w:val="20"/>
          <w:color w:val="auto"/>
        </w:rPr>
        <w:t>” means the United States Internal Revenue Service.</w:t>
      </w:r>
    </w:p>
    <w:p>
      <w:pPr>
        <w:spacing w:after="0" w:line="225" w:lineRule="exact"/>
        <w:rPr>
          <w:sz w:val="20"/>
          <w:szCs w:val="20"/>
          <w:color w:val="auto"/>
        </w:rPr>
      </w:pPr>
    </w:p>
    <w:p>
      <w:pPr>
        <w:ind w:left="620" w:right="40" w:firstLine="642"/>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ISP98</w:t>
      </w:r>
      <w:r>
        <w:rPr>
          <w:rFonts w:ascii="Times New Roman" w:cs="Times New Roman" w:eastAsia="Times New Roman" w:hAnsi="Times New Roman"/>
          <w:sz w:val="20"/>
          <w:szCs w:val="20"/>
          <w:color w:val="auto"/>
        </w:rPr>
        <w:t>” means the International Standby Practices (1998 Revision, effective January 1, 1999), International Chamber of Commerce Publication No. 590.</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Issuing Lenders</w:t>
      </w:r>
      <w:r>
        <w:rPr>
          <w:rFonts w:ascii="Times New Roman" w:cs="Times New Roman" w:eastAsia="Times New Roman" w:hAnsi="Times New Roman"/>
          <w:sz w:val="20"/>
          <w:szCs w:val="20"/>
          <w:color w:val="auto"/>
        </w:rPr>
        <w:t>” means (a) Wells Fargo, solely in its capacity as issuer of US Letters of Credit,</w:t>
      </w:r>
    </w:p>
    <w:p>
      <w:pPr>
        <w:spacing w:after="0" w:line="6" w:lineRule="exact"/>
        <w:rPr>
          <w:sz w:val="20"/>
          <w:szCs w:val="20"/>
          <w:color w:val="auto"/>
        </w:rPr>
      </w:pPr>
    </w:p>
    <w:p>
      <w:pPr>
        <w:jc w:val="both"/>
        <w:ind w:left="620" w:right="20" w:firstLine="4"/>
        <w:spacing w:after="0" w:line="248" w:lineRule="auto"/>
        <w:tabs>
          <w:tab w:leader="none" w:pos="918"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CIBC, solely in its capacity as issuer of Canadian Letters of Credit, (c) solely with respect to Existing Letters of Credit, the applicable issuer thereof listed on </w:t>
      </w:r>
      <w:r>
        <w:rPr>
          <w:rFonts w:ascii="Times New Roman" w:cs="Times New Roman" w:eastAsia="Times New Roman" w:hAnsi="Times New Roman"/>
          <w:sz w:val="20"/>
          <w:szCs w:val="20"/>
          <w:u w:val="single" w:color="auto"/>
          <w:color w:val="auto"/>
        </w:rPr>
        <w:t>Schedule 1.1(b)</w:t>
      </w:r>
      <w:r>
        <w:rPr>
          <w:rFonts w:ascii="Times New Roman" w:cs="Times New Roman" w:eastAsia="Times New Roman" w:hAnsi="Times New Roman"/>
          <w:sz w:val="20"/>
          <w:szCs w:val="20"/>
          <w:color w:val="auto"/>
        </w:rPr>
        <w:t xml:space="preserve"> and (d) any other Revolving Credit Lender to the extent it has agreed, in its sole discretion, to act as an “Issuing Lender” hereunder and that has been approved in writing by Centuri and the Administrative Agent (such approval by the Administrative Agent not to be unreasonably delayed or withheld), in each case in its capacity as issuer of any Letter of Credit (including each Existing Letter of Credit) hereunder or any successor thereto.</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ITA</w:t>
      </w:r>
      <w:r>
        <w:rPr>
          <w:rFonts w:ascii="Times New Roman" w:cs="Times New Roman" w:eastAsia="Times New Roman" w:hAnsi="Times New Roman"/>
          <w:sz w:val="20"/>
          <w:szCs w:val="20"/>
          <w:color w:val="auto"/>
        </w:rPr>
        <w:t>” means the Income Tax Act (Canada), as amended from time to time.</w:t>
      </w:r>
    </w:p>
    <w:p>
      <w:pPr>
        <w:spacing w:after="0" w:line="225" w:lineRule="exact"/>
        <w:rPr>
          <w:sz w:val="20"/>
          <w:szCs w:val="20"/>
          <w:color w:val="auto"/>
        </w:rPr>
      </w:pPr>
    </w:p>
    <w:p>
      <w:pPr>
        <w:jc w:val="both"/>
        <w:ind w:left="620" w:right="40" w:firstLine="642"/>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Junior Indebtedness</w:t>
      </w:r>
      <w:r>
        <w:rPr>
          <w:rFonts w:ascii="Times New Roman" w:cs="Times New Roman" w:eastAsia="Times New Roman" w:hAnsi="Times New Roman"/>
          <w:sz w:val="20"/>
          <w:szCs w:val="20"/>
          <w:color w:val="auto"/>
        </w:rPr>
        <w:t>” means, with respect to Centuri and its Subsidiaries, any (a) Subordinated Indebtedness, (b) Indebtedness secured by Liens that are junior to the Liens securing the Secured Obligations and (c) unsecured Indebtedness (excluding intercompany Indebtedness) with an aggregate outstanding principal amount in excess of the Threshold Amount.</w:t>
      </w:r>
    </w:p>
    <w:p>
      <w:pPr>
        <w:spacing w:after="0" w:line="171" w:lineRule="exact"/>
        <w:rPr>
          <w:sz w:val="20"/>
          <w:szCs w:val="20"/>
          <w:color w:val="auto"/>
        </w:rPr>
      </w:pPr>
    </w:p>
    <w:p>
      <w:pPr>
        <w:jc w:val="both"/>
        <w:ind w:left="620" w:right="20" w:firstLine="642"/>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Commitment</w:t>
      </w:r>
      <w:r>
        <w:rPr>
          <w:rFonts w:ascii="Times New Roman" w:cs="Times New Roman" w:eastAsia="Times New Roman" w:hAnsi="Times New Roman"/>
          <w:sz w:val="20"/>
          <w:szCs w:val="20"/>
          <w:color w:val="auto"/>
        </w:rPr>
        <w:t xml:space="preserve">” means, as to any Issuing Lender, the obligation of such Issuing Lender to issue Letters of Credit for the account of the Borrowers or one or more of their respective Subsidiaries from time to time in an aggregate amount equal to such amount as set forth on </w:t>
      </w:r>
      <w:r>
        <w:rPr>
          <w:rFonts w:ascii="Times New Roman" w:cs="Times New Roman" w:eastAsia="Times New Roman" w:hAnsi="Times New Roman"/>
          <w:sz w:val="20"/>
          <w:szCs w:val="20"/>
          <w:u w:val="single" w:color="auto"/>
          <w:color w:val="auto"/>
        </w:rPr>
        <w:t>Schedule 1.1(d)</w:t>
      </w:r>
      <w:r>
        <w:rPr>
          <w:rFonts w:ascii="Times New Roman" w:cs="Times New Roman" w:eastAsia="Times New Roman" w:hAnsi="Times New Roman"/>
          <w:sz w:val="20"/>
          <w:szCs w:val="20"/>
          <w:color w:val="auto"/>
        </w:rPr>
        <w:t xml:space="preserve"> or as separately agreed to in a written agreement between Centuri and such Issuing Lender (which such agreement shall be promptly delivered to the Administrative Agent upon execution), in each case any such amount may be changed after the Closing Date in a written agreement between Centuri and such Issuing Lender (which such agreement shall be promptly delivered to the Administrative Agent upon execution);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L/C Commitment with respect to any Person that ceases to be an Issuing</w:t>
      </w:r>
    </w:p>
    <w:p>
      <w:pPr>
        <w:spacing w:after="0" w:line="200" w:lineRule="exact"/>
        <w:rPr>
          <w:sz w:val="20"/>
          <w:szCs w:val="20"/>
          <w:color w:val="auto"/>
        </w:rPr>
      </w:pPr>
    </w:p>
    <w:p>
      <w:pPr>
        <w:spacing w:after="0" w:line="39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56</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-42545</wp:posOffset>
            </wp:positionV>
            <wp:extent cx="8255" cy="1016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62">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1040"/>
          </w:cols>
          <w:pgMar w:left="380" w:top="1440" w:right="479" w:bottom="1440" w:gutter="0" w:footer="0" w:header="0"/>
        </w:sectPr>
      </w:pPr>
    </w:p>
    <w:bookmarkStart w:id="205" w:name="page206"/>
    <w:bookmarkEnd w:id="205"/>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57</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-42545</wp:posOffset>
            </wp:positionV>
            <wp:extent cx="8255" cy="1016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63">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0079"/>
          </w:cols>
          <w:pgMar w:left="380" w:top="1440" w:right="1440" w:bottom="1440" w:gutter="0" w:footer="0" w:header="0"/>
        </w:sectPr>
      </w:pPr>
    </w:p>
    <w:bookmarkStart w:id="206" w:name="page207"/>
    <w:bookmarkEnd w:id="206"/>
    <w:p>
      <w:pPr>
        <w:spacing w:after="0" w:line="202" w:lineRule="exact"/>
        <w:rPr>
          <w:sz w:val="20"/>
          <w:szCs w:val="20"/>
          <w:color w:val="auto"/>
        </w:rPr>
      </w:pPr>
    </w:p>
    <w:p>
      <w:pPr>
        <w:ind w:left="620" w:right="20"/>
        <w:spacing w:after="0" w:line="263" w:lineRule="auto"/>
        <w:rPr>
          <w:sz w:val="20"/>
          <w:szCs w:val="20"/>
          <w:color w:val="auto"/>
        </w:rPr>
      </w:pPr>
      <w:r>
        <w:rPr>
          <w:rFonts w:ascii="Times New Roman" w:cs="Times New Roman" w:eastAsia="Times New Roman" w:hAnsi="Times New Roman"/>
          <w:sz w:val="20"/>
          <w:szCs w:val="20"/>
          <w:color w:val="auto"/>
        </w:rPr>
        <w:t>Lender for any reason pursuant to the terms hereof shall be $0 (subject to the Letters of Credit of such Person remaining outstanding in accordance with the provisions hereof).</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Facility</w:t>
      </w:r>
      <w:r>
        <w:rPr>
          <w:rFonts w:ascii="Times New Roman" w:cs="Times New Roman" w:eastAsia="Times New Roman" w:hAnsi="Times New Roman"/>
          <w:sz w:val="20"/>
          <w:szCs w:val="20"/>
          <w:color w:val="auto"/>
        </w:rPr>
        <w:t xml:space="preserve">” means the letter of credit facility established pursuant to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Obligations</w:t>
      </w:r>
      <w:r>
        <w:rPr>
          <w:rFonts w:ascii="Times New Roman" w:cs="Times New Roman" w:eastAsia="Times New Roman" w:hAnsi="Times New Roman"/>
          <w:sz w:val="20"/>
          <w:szCs w:val="20"/>
          <w:color w:val="auto"/>
        </w:rPr>
        <w:t>” means, collectively, the Canadian L/C Obligations and the US L/C Obligations.</w:t>
      </w:r>
    </w:p>
    <w:p>
      <w:pPr>
        <w:spacing w:after="0" w:line="225" w:lineRule="exact"/>
        <w:rPr>
          <w:sz w:val="20"/>
          <w:szCs w:val="20"/>
          <w:color w:val="auto"/>
        </w:rPr>
      </w:pPr>
    </w:p>
    <w:p>
      <w:pPr>
        <w:ind w:left="620" w:right="40" w:firstLine="642"/>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Participants</w:t>
      </w:r>
      <w:r>
        <w:rPr>
          <w:rFonts w:ascii="Times New Roman" w:cs="Times New Roman" w:eastAsia="Times New Roman" w:hAnsi="Times New Roman"/>
          <w:sz w:val="20"/>
          <w:szCs w:val="20"/>
          <w:color w:val="auto"/>
        </w:rPr>
        <w:t>” means, with respect to any Letter of Credit, the collective reference to all the Revolving Credit Lenders other than the applicable Issuing Lender.</w:t>
      </w:r>
    </w:p>
    <w:p>
      <w:pPr>
        <w:spacing w:after="0" w:line="2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L/C Sublimit</w:t>
      </w:r>
      <w:r>
        <w:rPr>
          <w:rFonts w:ascii="Times New Roman" w:cs="Times New Roman" w:eastAsia="Times New Roman" w:hAnsi="Times New Roman"/>
          <w:sz w:val="19"/>
          <w:szCs w:val="19"/>
          <w:color w:val="auto"/>
        </w:rPr>
        <w:t>” means the lesser of (a) $125,000,000 and (b) the Revolving Credit Commitment. “</w:t>
      </w:r>
      <w:r>
        <w:rPr>
          <w:rFonts w:ascii="Times New Roman" w:cs="Times New Roman" w:eastAsia="Times New Roman" w:hAnsi="Times New Roman"/>
          <w:sz w:val="19"/>
          <w:szCs w:val="19"/>
          <w:u w:val="single" w:color="auto"/>
          <w:color w:val="auto"/>
        </w:rPr>
        <w:t>LCA Test Date</w:t>
      </w:r>
      <w:r>
        <w:rPr>
          <w:rFonts w:ascii="Times New Roman" w:cs="Times New Roman" w:eastAsia="Times New Roman" w:hAnsi="Times New Roman"/>
          <w:sz w:val="19"/>
          <w:szCs w:val="19"/>
          <w:color w:val="auto"/>
        </w:rPr>
        <w:t>” has the</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 xml:space="preserve">meaning assigned thereto in </w:t>
      </w:r>
      <w:r>
        <w:rPr>
          <w:rFonts w:ascii="Times New Roman" w:cs="Times New Roman" w:eastAsia="Times New Roman" w:hAnsi="Times New Roman"/>
          <w:sz w:val="20"/>
          <w:szCs w:val="20"/>
          <w:u w:val="single" w:color="auto"/>
          <w:color w:val="auto"/>
        </w:rPr>
        <w:t>Section 1.12(a)</w:t>
      </w:r>
      <w:r>
        <w:rPr>
          <w:rFonts w:ascii="Times New Roman" w:cs="Times New Roman" w:eastAsia="Times New Roman" w:hAnsi="Times New Roman"/>
          <w:sz w:val="20"/>
          <w:szCs w:val="20"/>
          <w:color w:val="auto"/>
        </w:rPr>
        <w:t>.</w:t>
      </w:r>
    </w:p>
    <w:p>
      <w:pPr>
        <w:spacing w:after="0" w:line="104" w:lineRule="exact"/>
        <w:rPr>
          <w:sz w:val="20"/>
          <w:szCs w:val="20"/>
          <w:color w:val="auto"/>
        </w:rPr>
      </w:pPr>
    </w:p>
    <w:p>
      <w:pPr>
        <w:jc w:val="both"/>
        <w:ind w:left="620" w:firstLine="642"/>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xml:space="preserve">” means each Person executing this Agreement as a Lender on the Closing Date and any other Person that shall have become a party to this Agreement as a Lender pursuant to an Assignment and Assumption or pursuant to </w:t>
      </w:r>
      <w:r>
        <w:rPr>
          <w:rFonts w:ascii="Times New Roman" w:cs="Times New Roman" w:eastAsia="Times New Roman" w:hAnsi="Times New Roman"/>
          <w:sz w:val="20"/>
          <w:szCs w:val="20"/>
          <w:u w:val="single" w:color="auto"/>
          <w:color w:val="auto"/>
        </w:rPr>
        <w:t>Section 5.13</w:t>
      </w:r>
      <w:r>
        <w:rPr>
          <w:rFonts w:ascii="Times New Roman" w:cs="Times New Roman" w:eastAsia="Times New Roman" w:hAnsi="Times New Roman"/>
          <w:sz w:val="20"/>
          <w:szCs w:val="20"/>
          <w:color w:val="auto"/>
        </w:rPr>
        <w:t>, other than any Person that ceases to be a party hereto as a Lender pursuant to an Assignment and Assumption. Unless the context otherwise requires, the term “Lenders” includes the Swingline Lenders.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Lending Office</w:t>
      </w:r>
      <w:r>
        <w:rPr>
          <w:rFonts w:ascii="Times New Roman" w:cs="Times New Roman" w:eastAsia="Times New Roman" w:hAnsi="Times New Roman"/>
          <w:sz w:val="20"/>
          <w:szCs w:val="20"/>
          <w:color w:val="auto"/>
        </w:rPr>
        <w:t>” means, with respect to any Lender, the office of such Lender maintaining such Lender’s Extensions of</w:t>
      </w:r>
    </w:p>
    <w:p>
      <w:pPr>
        <w:spacing w:after="0" w:line="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Credit.</w:t>
      </w:r>
    </w:p>
    <w:p>
      <w:pPr>
        <w:spacing w:after="0" w:line="203" w:lineRule="exact"/>
        <w:rPr>
          <w:sz w:val="20"/>
          <w:szCs w:val="20"/>
          <w:color w:val="auto"/>
        </w:rPr>
      </w:pPr>
    </w:p>
    <w:p>
      <w:pPr>
        <w:jc w:val="both"/>
        <w:ind w:left="620" w:right="40" w:firstLine="642"/>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Application</w:t>
      </w:r>
      <w:r>
        <w:rPr>
          <w:rFonts w:ascii="Times New Roman" w:cs="Times New Roman" w:eastAsia="Times New Roman" w:hAnsi="Times New Roman"/>
          <w:sz w:val="20"/>
          <w:szCs w:val="20"/>
          <w:color w:val="auto"/>
        </w:rPr>
        <w:t>” means an application and a reimbursement agreement, in the form specified by the applicable Issuing Lender from time to time, requesting such Issuing Lender to issue a Letter of Credit.</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Letters of Credit</w:t>
      </w:r>
      <w:r>
        <w:rPr>
          <w:rFonts w:ascii="Times New Roman" w:cs="Times New Roman" w:eastAsia="Times New Roman" w:hAnsi="Times New Roman"/>
          <w:sz w:val="20"/>
          <w:szCs w:val="20"/>
          <w:color w:val="auto"/>
        </w:rPr>
        <w:t>” means the collective reference to Canadian Letters of Credit and US Letters of Credit.</w:t>
      </w:r>
    </w:p>
    <w:p>
      <w:pPr>
        <w:spacing w:after="0" w:line="2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Leverage Ratio Increase</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9.13(b)</w:t>
      </w:r>
      <w:r>
        <w:rPr>
          <w:rFonts w:ascii="Times New Roman" w:cs="Times New Roman" w:eastAsia="Times New Roman" w:hAnsi="Times New Roman"/>
          <w:sz w:val="20"/>
          <w:szCs w:val="20"/>
          <w:color w:val="auto"/>
        </w:rPr>
        <w:t>.</w:t>
      </w:r>
    </w:p>
    <w:p>
      <w:pPr>
        <w:spacing w:after="0" w:line="225" w:lineRule="exact"/>
        <w:rPr>
          <w:sz w:val="20"/>
          <w:szCs w:val="20"/>
          <w:color w:val="auto"/>
        </w:rPr>
      </w:pPr>
    </w:p>
    <w:p>
      <w:pPr>
        <w:jc w:val="both"/>
        <w:ind w:left="620" w:right="40" w:firstLine="642"/>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Lien</w:t>
      </w:r>
      <w:r>
        <w:rPr>
          <w:rFonts w:ascii="Times New Roman" w:cs="Times New Roman" w:eastAsia="Times New Roman" w:hAnsi="Times New Roman"/>
          <w:sz w:val="20"/>
          <w:szCs w:val="20"/>
          <w:color w:val="auto"/>
        </w:rPr>
        <w:t>” means, with respect to any asset, any mortgage, leasehold mortgage, lien, pledge, charge, security interest, hypothecation or encumbrance of any kind in respect of such asset whether statutory, based on common law, contract, or otherwise. For the purposes of this Agreement, a Person shall be deemed to own subject to a Lien any asset which it has acquired or holds subject to the interest of a vendor or lessor under any conditional sale agreement, Capital Lease Obligation or other title retention agreement relating to such asset.</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Limited Condition Acquisition</w:t>
      </w:r>
      <w:r>
        <w:rPr>
          <w:rFonts w:ascii="Times New Roman" w:cs="Times New Roman" w:eastAsia="Times New Roman" w:hAnsi="Times New Roman"/>
          <w:sz w:val="20"/>
          <w:szCs w:val="20"/>
          <w:color w:val="auto"/>
        </w:rPr>
        <w:t>” means any Acquisition that (a) is not prohibited hereunder and</w:t>
      </w:r>
    </w:p>
    <w:p>
      <w:pPr>
        <w:spacing w:after="0" w:line="10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(b) is not conditioned on the availability of, or on obtaining, third-party financing. “</w:t>
      </w:r>
      <w:r>
        <w:rPr>
          <w:rFonts w:ascii="Times New Roman" w:cs="Times New Roman" w:eastAsia="Times New Roman" w:hAnsi="Times New Roman"/>
          <w:sz w:val="20"/>
          <w:szCs w:val="20"/>
          <w:u w:val="single" w:color="auto"/>
          <w:color w:val="auto"/>
        </w:rPr>
        <w:t>Linetec</w:t>
      </w:r>
      <w:r>
        <w:rPr>
          <w:rFonts w:ascii="Times New Roman" w:cs="Times New Roman" w:eastAsia="Times New Roman" w:hAnsi="Times New Roman"/>
          <w:sz w:val="20"/>
          <w:szCs w:val="20"/>
          <w:color w:val="auto"/>
        </w:rPr>
        <w:t>” means Linetec</w:t>
      </w:r>
    </w:p>
    <w:p>
      <w:pPr>
        <w:spacing w:after="0" w:line="2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Services, LLC, a Delaware limited liability company.</w:t>
      </w:r>
    </w:p>
    <w:p>
      <w:pPr>
        <w:spacing w:after="0" w:line="104" w:lineRule="exact"/>
        <w:rPr>
          <w:sz w:val="20"/>
          <w:szCs w:val="20"/>
          <w:color w:val="auto"/>
        </w:rPr>
      </w:pPr>
    </w:p>
    <w:p>
      <w:pPr>
        <w:jc w:val="both"/>
        <w:ind w:left="620" w:right="40" w:firstLine="642"/>
        <w:spacing w:after="0" w:line="26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Linetec Purchase Agreement</w:t>
      </w:r>
      <w:r>
        <w:rPr>
          <w:rFonts w:ascii="Times New Roman" w:cs="Times New Roman" w:eastAsia="Times New Roman" w:hAnsi="Times New Roman"/>
          <w:sz w:val="20"/>
          <w:szCs w:val="20"/>
          <w:color w:val="auto"/>
        </w:rPr>
        <w:t>” means that certain Membership Interest Purchase Agreement dated November 26, 2018 by and among, inter alia, Centuri U.S. Division, Linetec and the existing sole equity holders of Linetec, including all exhibits, schedules and annexes thereto.</w:t>
      </w:r>
    </w:p>
    <w:p>
      <w:pPr>
        <w:spacing w:after="0" w:line="200" w:lineRule="exact"/>
        <w:rPr>
          <w:sz w:val="20"/>
          <w:szCs w:val="20"/>
          <w:color w:val="auto"/>
        </w:rPr>
      </w:pPr>
    </w:p>
    <w:p>
      <w:pPr>
        <w:spacing w:after="0" w:line="37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58</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-42545</wp:posOffset>
            </wp:positionV>
            <wp:extent cx="8255" cy="1016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64">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1040"/>
          </w:cols>
          <w:pgMar w:left="380" w:top="1440" w:right="479" w:bottom="1440" w:gutter="0" w:footer="0" w:header="0"/>
        </w:sectPr>
      </w:pPr>
    </w:p>
    <w:bookmarkStart w:id="207" w:name="page208"/>
    <w:bookmarkEnd w:id="207"/>
    <w:p>
      <w:pPr>
        <w:spacing w:after="0" w:line="95" w:lineRule="exact"/>
        <w:rPr>
          <w:sz w:val="20"/>
          <w:szCs w:val="20"/>
          <w:color w:val="auto"/>
        </w:rPr>
      </w:pPr>
    </w:p>
    <w:p>
      <w:pPr>
        <w:jc w:val="both"/>
        <w:ind w:left="620" w:firstLine="642"/>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means, collectively, this Agreement, each Note, the Letter of Credit Applications, the Security Documents, the Guaranty Agreements, the Fee Letters, each Acceptable Intercreditor Agreement, each Refinancing Amendment, each Incremental Amendment, each Extension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59</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-42545</wp:posOffset>
            </wp:positionV>
            <wp:extent cx="8255" cy="1016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65">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1000"/>
          </w:cols>
          <w:pgMar w:left="380" w:top="1440" w:right="519" w:bottom="1440" w:gutter="0" w:footer="0" w:header="0"/>
        </w:sectPr>
      </w:pPr>
    </w:p>
    <w:bookmarkStart w:id="208" w:name="page209"/>
    <w:bookmarkEnd w:id="208"/>
    <w:p>
      <w:pPr>
        <w:spacing w:after="0" w:line="202" w:lineRule="exact"/>
        <w:rPr>
          <w:sz w:val="20"/>
          <w:szCs w:val="20"/>
          <w:color w:val="auto"/>
        </w:rPr>
      </w:pPr>
    </w:p>
    <w:p>
      <w:pPr>
        <w:jc w:val="both"/>
        <w:ind w:left="620" w:right="100"/>
        <w:spacing w:after="0" w:line="250" w:lineRule="auto"/>
        <w:rPr>
          <w:sz w:val="20"/>
          <w:szCs w:val="20"/>
          <w:color w:val="auto"/>
        </w:rPr>
      </w:pPr>
      <w:r>
        <w:rPr>
          <w:rFonts w:ascii="Times New Roman" w:cs="Times New Roman" w:eastAsia="Times New Roman" w:hAnsi="Times New Roman"/>
          <w:sz w:val="20"/>
          <w:szCs w:val="20"/>
          <w:color w:val="auto"/>
        </w:rPr>
        <w:t>Amendment and each other document, instrument, certificate and agreement executed and delivered by the Credit Parties or any of their respective Subsidiaries in favor of or provided to the Administrative Agent or any Secured Party in connection with this Agreement or otherwise referred to herein or contemplated hereby (excluding any Secured Hedge Agreement and any Secured Cash Management Agreement).</w:t>
      </w:r>
    </w:p>
    <w:p>
      <w:pPr>
        <w:spacing w:after="0" w:line="192" w:lineRule="exact"/>
        <w:rPr>
          <w:sz w:val="20"/>
          <w:szCs w:val="20"/>
          <w:color w:val="auto"/>
        </w:rPr>
      </w:pPr>
    </w:p>
    <w:p>
      <w:pPr>
        <w:ind w:left="620" w:firstLine="642"/>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Loans</w:t>
      </w:r>
      <w:r>
        <w:rPr>
          <w:rFonts w:ascii="Times New Roman" w:cs="Times New Roman" w:eastAsia="Times New Roman" w:hAnsi="Times New Roman"/>
          <w:sz w:val="20"/>
          <w:szCs w:val="20"/>
          <w:color w:val="auto"/>
        </w:rPr>
        <w:t>” means the collective reference to the Revolving Credit Loans, the Term Loans and the Swingline Loans, and “Loan” means any of such Loans.</w:t>
      </w:r>
    </w:p>
    <w:p>
      <w:pPr>
        <w:spacing w:after="0" w:line="178" w:lineRule="exact"/>
        <w:rPr>
          <w:sz w:val="20"/>
          <w:szCs w:val="20"/>
          <w:color w:val="auto"/>
        </w:rPr>
      </w:pPr>
    </w:p>
    <w:p>
      <w:pPr>
        <w:ind w:left="620" w:right="420" w:firstLine="642"/>
        <w:spacing w:after="0" w:line="263" w:lineRule="auto"/>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London Banking Day</w:t>
      </w:r>
      <w:r>
        <w:rPr>
          <w:rFonts w:ascii="Times New Roman" w:cs="Times New Roman" w:eastAsia="Times New Roman" w:hAnsi="Times New Roman"/>
          <w:sz w:val="20"/>
          <w:szCs w:val="20"/>
          <w:color w:val="FF0000"/>
          <w:strike w:val="1"/>
        </w:rPr>
        <w:t>” means any day on which dealings in Dollar deposits are conducted by and between banks in the London interbank Eurodollar market.</w:t>
      </w:r>
    </w:p>
    <w:p>
      <w:pPr>
        <w:spacing w:after="0" w:line="178" w:lineRule="exact"/>
        <w:rPr>
          <w:sz w:val="20"/>
          <w:szCs w:val="20"/>
          <w:color w:val="auto"/>
        </w:rPr>
      </w:pPr>
    </w:p>
    <w:p>
      <w:pPr>
        <w:jc w:val="both"/>
        <w:ind w:left="620" w:right="100" w:firstLine="642"/>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means, with respect to the Consolidated Companies, (a) a material adverse effect on the properties, business, operations or financial condition of such Persons, taken as a whole, (b) a material impairment of the ability of any such Person to perform its obligations under the Loan Documents to which it is a party, (c) a material impairment of the rights and remedies of the Administrative Agent or any Lender under any Loan Document or (d) an impairment of the legality, validity, binding effect or enforceability against any Credit Party of any Loan Document to which it is a party.</w:t>
      </w:r>
    </w:p>
    <w:p>
      <w:pPr>
        <w:spacing w:after="0" w:line="1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Subsidiary</w:t>
      </w:r>
      <w:r>
        <w:rPr>
          <w:rFonts w:ascii="Times New Roman" w:cs="Times New Roman" w:eastAsia="Times New Roman" w:hAnsi="Times New Roman"/>
          <w:sz w:val="20"/>
          <w:szCs w:val="20"/>
          <w:color w:val="auto"/>
        </w:rPr>
        <w:t>” means, as of any date, any Subsidiary that is not an Immaterial Subsidiary. “</w:t>
      </w:r>
      <w:r>
        <w:rPr>
          <w:rFonts w:ascii="Times New Roman" w:cs="Times New Roman" w:eastAsia="Times New Roman" w:hAnsi="Times New Roman"/>
          <w:sz w:val="20"/>
          <w:szCs w:val="20"/>
          <w:u w:val="single" w:color="auto"/>
          <w:color w:val="auto"/>
        </w:rPr>
        <w:t>Minimum Collateral</w:t>
      </w:r>
    </w:p>
    <w:p>
      <w:pPr>
        <w:spacing w:after="0" w:line="2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u w:val="single" w:color="auto"/>
          <w:color w:val="auto"/>
        </w:rPr>
        <w:t>Amount</w:t>
      </w:r>
      <w:r>
        <w:rPr>
          <w:rFonts w:ascii="Times New Roman" w:cs="Times New Roman" w:eastAsia="Times New Roman" w:hAnsi="Times New Roman"/>
          <w:sz w:val="20"/>
          <w:szCs w:val="20"/>
          <w:color w:val="auto"/>
        </w:rPr>
        <w:t>” means, at any time, (a) with respect to Cash Collateral consisting</w:t>
      </w:r>
    </w:p>
    <w:p>
      <w:pPr>
        <w:spacing w:after="0" w:line="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of cash or deposit account balances, an amount equal to 100% of the sum of (i) the Fronting Exposure of</w:t>
      </w:r>
    </w:p>
    <w:p>
      <w:pPr>
        <w:spacing w:after="0" w:line="12" w:lineRule="exact"/>
        <w:rPr>
          <w:sz w:val="20"/>
          <w:szCs w:val="20"/>
          <w:color w:val="auto"/>
        </w:rPr>
      </w:pPr>
    </w:p>
    <w:p>
      <w:pPr>
        <w:jc w:val="both"/>
        <w:ind w:left="620" w:right="60"/>
        <w:spacing w:after="0" w:line="242" w:lineRule="auto"/>
        <w:rPr>
          <w:sz w:val="20"/>
          <w:szCs w:val="20"/>
          <w:color w:val="auto"/>
        </w:rPr>
      </w:pPr>
      <w:r>
        <w:rPr>
          <w:rFonts w:ascii="Times New Roman" w:cs="Times New Roman" w:eastAsia="Times New Roman" w:hAnsi="Times New Roman"/>
          <w:sz w:val="20"/>
          <w:szCs w:val="20"/>
          <w:color w:val="auto"/>
        </w:rPr>
        <w:t>the Issuing Lenders with respect to Letters of Credit issued and outstanding at such time and (ii) the Fronting Exposure of the Swingline Lenders with respect to all Swingline Loans outstanding at such time and (b) otherwise, an amount determined by the Administrative Agent and each of the applicable Issuing Lenders that is entitled to Cash Collateral hereunder at such time in their sole discretion.</w:t>
      </w: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Moody’s</w:t>
      </w:r>
      <w:r>
        <w:rPr>
          <w:rFonts w:ascii="Times New Roman" w:cs="Times New Roman" w:eastAsia="Times New Roman" w:hAnsi="Times New Roman"/>
          <w:sz w:val="20"/>
          <w:szCs w:val="20"/>
          <w:color w:val="auto"/>
        </w:rPr>
        <w:t>” means Moody’s Investors Service, Inc.</w:t>
      </w:r>
    </w:p>
    <w:p>
      <w:pPr>
        <w:spacing w:after="0" w:line="211" w:lineRule="exact"/>
        <w:rPr>
          <w:sz w:val="20"/>
          <w:szCs w:val="20"/>
          <w:color w:val="auto"/>
        </w:rPr>
      </w:pPr>
    </w:p>
    <w:p>
      <w:pPr>
        <w:jc w:val="both"/>
        <w:ind w:left="620" w:right="100" w:firstLine="642"/>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Multiemployer Plan</w:t>
      </w:r>
      <w:r>
        <w:rPr>
          <w:rFonts w:ascii="Times New Roman" w:cs="Times New Roman" w:eastAsia="Times New Roman" w:hAnsi="Times New Roman"/>
          <w:sz w:val="20"/>
          <w:szCs w:val="20"/>
          <w:color w:val="auto"/>
        </w:rPr>
        <w:t>” means a “multiemployer plan” as defined in Section 4001(a)(3) of ERISA to which any Credit Party or any ERISA Affiliate is making, or is accruing an obligation to make, or has accrued an obligation to make contributions within the preceding seven (7) years.</w:t>
      </w:r>
    </w:p>
    <w:p>
      <w:pPr>
        <w:spacing w:after="0" w:line="184" w:lineRule="exact"/>
        <w:rPr>
          <w:sz w:val="20"/>
          <w:szCs w:val="20"/>
          <w:color w:val="auto"/>
        </w:rPr>
      </w:pPr>
    </w:p>
    <w:p>
      <w:pPr>
        <w:jc w:val="both"/>
        <w:ind w:left="620" w:right="60" w:firstLine="642"/>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Cash Proceeds</w:t>
      </w:r>
      <w:r>
        <w:rPr>
          <w:rFonts w:ascii="Times New Roman" w:cs="Times New Roman" w:eastAsia="Times New Roman" w:hAnsi="Times New Roman"/>
          <w:sz w:val="20"/>
          <w:szCs w:val="20"/>
          <w:color w:val="auto"/>
        </w:rPr>
        <w:t xml:space="preserve">” means, as applicable, (a) with respect to any Asset Disposition or Insurance and Condemnation Event, the gross proceeds received by any Credit Party or any of its Subsidiaries therefrom (including any cash, Cash Equivalents, deferred payment pursuant to, or by monetization of, a note receivable or otherwise, as and when received) </w:t>
      </w:r>
      <w:r>
        <w:rPr>
          <w:rFonts w:ascii="Times New Roman" w:cs="Times New Roman" w:eastAsia="Times New Roman" w:hAnsi="Times New Roman"/>
          <w:sz w:val="20"/>
          <w:szCs w:val="20"/>
          <w:u w:val="single" w:color="auto"/>
          <w:color w:val="auto"/>
        </w:rPr>
        <w:t>less</w:t>
      </w:r>
      <w:r>
        <w:rPr>
          <w:rFonts w:ascii="Times New Roman" w:cs="Times New Roman" w:eastAsia="Times New Roman" w:hAnsi="Times New Roman"/>
          <w:sz w:val="20"/>
          <w:szCs w:val="20"/>
          <w:color w:val="auto"/>
        </w:rPr>
        <w:t xml:space="preserve"> the sum of (i) in the case of an Asset Disposition, all income taxes and other taxes assessed by, or reasonably estimated to be payable to, a Governmental Authority as a result of such transaction (provided that if such estimated taxes exceed the amount of actual taxes required to be paid in cash in respect of such Asset Disposition, the amount of such excess shall constitute Net Cash Proceeds), (ii) all customary out-of-pocket fees and expenses incurred in connection with such transaction or event and (iii) the principal amount of, premium, if any, and interest on any Indebtedness secured on a </w:t>
      </w:r>
      <w:r>
        <w:rPr>
          <w:rFonts w:ascii="Times New Roman" w:cs="Times New Roman" w:eastAsia="Times New Roman" w:hAnsi="Times New Roman"/>
          <w:sz w:val="20"/>
          <w:szCs w:val="20"/>
          <w:u w:val="single" w:color="auto"/>
          <w:color w:val="auto"/>
        </w:rPr>
        <w:t>pari passu</w:t>
      </w:r>
      <w:r>
        <w:rPr>
          <w:rFonts w:ascii="Times New Roman" w:cs="Times New Roman" w:eastAsia="Times New Roman" w:hAnsi="Times New Roman"/>
          <w:sz w:val="20"/>
          <w:szCs w:val="20"/>
          <w:color w:val="auto"/>
        </w:rPr>
        <w:t xml:space="preserve"> on senior ranking to the Liens created under the Loan Documents by a Lien on the asset (or a portion thereof) disposed of, which Indebtedness is required to be repaid in connection with such transaction or event, and (b) with respect to any Debt Issuance, the gross cash proceeds received by any Credit Party or any of its Subsidiaries therefrom </w:t>
      </w:r>
      <w:r>
        <w:rPr>
          <w:rFonts w:ascii="Times New Roman" w:cs="Times New Roman" w:eastAsia="Times New Roman" w:hAnsi="Times New Roman"/>
          <w:sz w:val="20"/>
          <w:szCs w:val="20"/>
          <w:u w:val="single" w:color="auto"/>
          <w:color w:val="auto"/>
        </w:rPr>
        <w:t>less</w:t>
      </w:r>
      <w:r>
        <w:rPr>
          <w:rFonts w:ascii="Times New Roman" w:cs="Times New Roman" w:eastAsia="Times New Roman" w:hAnsi="Times New Roman"/>
          <w:sz w:val="20"/>
          <w:szCs w:val="20"/>
          <w:color w:val="auto"/>
        </w:rPr>
        <w:t xml:space="preserve"> all customary out-of-pocket legal, underwriting and other fees and expenses (whether similar or dissimilar to the foregoing) incurred in connection therewith.</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60</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-42545</wp:posOffset>
            </wp:positionV>
            <wp:extent cx="8255" cy="1016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66">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1100"/>
          </w:cols>
          <w:pgMar w:left="380" w:top="1440" w:right="419" w:bottom="1440" w:gutter="0" w:footer="0" w:header="0"/>
        </w:sectPr>
      </w:pPr>
    </w:p>
    <w:bookmarkStart w:id="209" w:name="page210"/>
    <w:bookmarkEnd w:id="209"/>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440" w:val="left"/>
        </w:tabs>
        <w:rPr>
          <w:sz w:val="20"/>
          <w:szCs w:val="20"/>
          <w:color w:val="auto"/>
        </w:rPr>
      </w:pPr>
      <w:r>
        <w:rPr>
          <w:sz w:val="1"/>
          <w:szCs w:val="1"/>
          <w:color w:val="auto"/>
        </w:rPr>
        <w:drawing>
          <wp:inline distT="0" distB="0" distL="0" distR="0">
            <wp:extent cx="8255" cy="10160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67">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61</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ectPr>
          <w:pgSz w:w="11900" w:h="16838" w:orient="portrait"/>
          <w:cols w:equalWidth="0" w:num="1">
            <w:col w:w="10139"/>
          </w:cols>
          <w:pgMar w:left="320" w:top="1440" w:right="1440" w:bottom="1440" w:gutter="0" w:footer="0" w:header="0"/>
        </w:sectPr>
      </w:pPr>
    </w:p>
    <w:bookmarkStart w:id="210" w:name="page211"/>
    <w:bookmarkEnd w:id="210"/>
    <w:p>
      <w:pPr>
        <w:spacing w:after="0" w:line="202" w:lineRule="exact"/>
        <w:rPr>
          <w:sz w:val="20"/>
          <w:szCs w:val="20"/>
          <w:color w:val="auto"/>
        </w:rPr>
      </w:pPr>
    </w:p>
    <w:p>
      <w:pPr>
        <w:jc w:val="both"/>
        <w:ind w:left="620" w:right="100" w:firstLine="642"/>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xml:space="preserve">” means any Lender that does not approve any consent, waiver, amendment, modification or termination of any Loan Document that (a) requires the approval of all Lenders or all affected Lenders in accordance with the terms of </w:t>
      </w:r>
      <w:r>
        <w:rPr>
          <w:rFonts w:ascii="Times New Roman" w:cs="Times New Roman" w:eastAsia="Times New Roman" w:hAnsi="Times New Roman"/>
          <w:sz w:val="20"/>
          <w:szCs w:val="20"/>
          <w:u w:val="single" w:color="auto"/>
          <w:color w:val="auto"/>
        </w:rPr>
        <w:t>Section 12.2</w:t>
      </w:r>
      <w:r>
        <w:rPr>
          <w:rFonts w:ascii="Times New Roman" w:cs="Times New Roman" w:eastAsia="Times New Roman" w:hAnsi="Times New Roman"/>
          <w:sz w:val="20"/>
          <w:szCs w:val="20"/>
          <w:color w:val="auto"/>
        </w:rPr>
        <w:t xml:space="preserve"> and (b) has been approved by the Required Lenders or the Required Facility Lenders, as applicable.</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Non-Credit Party Subsidiary</w:t>
      </w:r>
      <w:r>
        <w:rPr>
          <w:rFonts w:ascii="Times New Roman" w:cs="Times New Roman" w:eastAsia="Times New Roman" w:hAnsi="Times New Roman"/>
          <w:sz w:val="20"/>
          <w:szCs w:val="20"/>
          <w:color w:val="auto"/>
        </w:rPr>
        <w:t>” means any Subsidiary of a Consolidated Company that is not a Credit Party.</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Non-Defaulting Lender</w:t>
      </w:r>
      <w:r>
        <w:rPr>
          <w:rFonts w:ascii="Times New Roman" w:cs="Times New Roman" w:eastAsia="Times New Roman" w:hAnsi="Times New Roman"/>
          <w:sz w:val="20"/>
          <w:szCs w:val="20"/>
          <w:color w:val="auto"/>
        </w:rPr>
        <w:t>” means, at any time, each Lender that is not a Defaulting Lender at such</w:t>
      </w:r>
    </w:p>
    <w:p>
      <w:pPr>
        <w:spacing w:after="0" w:line="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time.</w:t>
      </w:r>
    </w:p>
    <w:p>
      <w:pPr>
        <w:spacing w:after="0" w:line="189" w:lineRule="exact"/>
        <w:rPr>
          <w:sz w:val="20"/>
          <w:szCs w:val="20"/>
          <w:color w:val="auto"/>
        </w:rPr>
      </w:pPr>
    </w:p>
    <w:p>
      <w:pPr>
        <w:jc w:val="both"/>
        <w:ind w:left="620" w:right="100" w:firstLine="642"/>
        <w:spacing w:after="0" w:line="27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Notes</w:t>
      </w:r>
      <w:r>
        <w:rPr>
          <w:rFonts w:ascii="Times New Roman" w:cs="Times New Roman" w:eastAsia="Times New Roman" w:hAnsi="Times New Roman"/>
          <w:sz w:val="20"/>
          <w:szCs w:val="20"/>
          <w:color w:val="auto"/>
        </w:rPr>
        <w:t>” means the collective reference to the US Revolving Credit Notes, the US Swingline Note, the US Term Loan Notes, the Canadian Revolving Credit Notes, the Canadian Swingline Note and the Canadian Term Loan Notes.</w:t>
      </w:r>
    </w:p>
    <w:p>
      <w:pPr>
        <w:spacing w:after="0" w:line="2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Notice of Account Designation</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2.3(b)</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Notice of Borrowing</w:t>
      </w:r>
      <w:r>
        <w:rPr>
          <w:rFonts w:ascii="Times New Roman" w:cs="Times New Roman" w:eastAsia="Times New Roman" w:hAnsi="Times New Roman"/>
          <w:sz w:val="20"/>
          <w:szCs w:val="20"/>
          <w:color w:val="auto"/>
        </w:rPr>
        <w:t>” has the</w:t>
      </w:r>
    </w:p>
    <w:p>
      <w:pPr>
        <w:spacing w:after="0" w:line="2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 xml:space="preserve">meaning assigned thereto in </w:t>
      </w:r>
      <w:r>
        <w:rPr>
          <w:rFonts w:ascii="Times New Roman" w:cs="Times New Roman" w:eastAsia="Times New Roman" w:hAnsi="Times New Roman"/>
          <w:sz w:val="20"/>
          <w:szCs w:val="20"/>
          <w:u w:val="single" w:color="auto"/>
          <w:color w:val="auto"/>
        </w:rPr>
        <w:t>Section 2.3(a)</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Notice of Conversion/Continuation</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Notice of Prepayment</w:t>
      </w:r>
      <w:r>
        <w:rPr>
          <w:rFonts w:ascii="Times New Roman" w:cs="Times New Roman" w:eastAsia="Times New Roman" w:hAnsi="Times New Roman"/>
          <w:sz w:val="20"/>
          <w:szCs w:val="20"/>
          <w:color w:val="auto"/>
        </w:rPr>
        <w:t>” has</w:t>
      </w:r>
    </w:p>
    <w:p>
      <w:pPr>
        <w:spacing w:after="0" w:line="2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 xml:space="preserve">the meaning assigned thereto in </w:t>
      </w:r>
      <w:r>
        <w:rPr>
          <w:rFonts w:ascii="Times New Roman" w:cs="Times New Roman" w:eastAsia="Times New Roman" w:hAnsi="Times New Roman"/>
          <w:sz w:val="20"/>
          <w:szCs w:val="20"/>
          <w:u w:val="single" w:color="auto"/>
          <w:color w:val="auto"/>
        </w:rPr>
        <w:t>Section 2.4(c)</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means, collectively, the Canadian Obligations and the</w:t>
      </w:r>
    </w:p>
    <w:p>
      <w:pPr>
        <w:spacing w:after="0" w:line="2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US Obligations. “</w:t>
      </w:r>
      <w:r>
        <w:rPr>
          <w:rFonts w:ascii="Times New Roman" w:cs="Times New Roman" w:eastAsia="Times New Roman" w:hAnsi="Times New Roman"/>
          <w:sz w:val="20"/>
          <w:szCs w:val="20"/>
          <w:u w:val="single" w:color="auto"/>
          <w:color w:val="auto"/>
        </w:rPr>
        <w:t>OFAC</w:t>
      </w:r>
      <w:r>
        <w:rPr>
          <w:rFonts w:ascii="Times New Roman" w:cs="Times New Roman" w:eastAsia="Times New Roman" w:hAnsi="Times New Roman"/>
          <w:sz w:val="20"/>
          <w:szCs w:val="20"/>
          <w:color w:val="auto"/>
        </w:rPr>
        <w:t>” means the U.S. Department of the Treasury’s Office of Foreign Assets Control.</w:t>
      </w:r>
    </w:p>
    <w:p>
      <w:pPr>
        <w:spacing w:after="0" w:line="118" w:lineRule="exact"/>
        <w:rPr>
          <w:sz w:val="20"/>
          <w:szCs w:val="20"/>
          <w:color w:val="auto"/>
        </w:rPr>
      </w:pPr>
    </w:p>
    <w:p>
      <w:pPr>
        <w:ind w:left="620" w:firstLine="642"/>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Officer’s Compliance Certificate</w:t>
      </w:r>
      <w:r>
        <w:rPr>
          <w:rFonts w:ascii="Times New Roman" w:cs="Times New Roman" w:eastAsia="Times New Roman" w:hAnsi="Times New Roman"/>
          <w:sz w:val="20"/>
          <w:szCs w:val="20"/>
          <w:color w:val="auto"/>
        </w:rPr>
        <w:t xml:space="preserve">” means a certificate of the chief financial officer or the treasurer of Centuri substantially in the form attached as </w:t>
      </w:r>
      <w:r>
        <w:rPr>
          <w:rFonts w:ascii="Times New Roman" w:cs="Times New Roman" w:eastAsia="Times New Roman" w:hAnsi="Times New Roman"/>
          <w:sz w:val="20"/>
          <w:szCs w:val="20"/>
          <w:b w:val="1"/>
          <w:bCs w:val="1"/>
          <w:i w:val="1"/>
          <w:iCs w:val="1"/>
          <w:color w:val="auto"/>
        </w:rPr>
        <w:t>Exhibit F</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jc w:val="both"/>
        <w:ind w:left="620" w:right="100" w:firstLine="642"/>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Operating Lease</w:t>
      </w:r>
      <w:r>
        <w:rPr>
          <w:rFonts w:ascii="Times New Roman" w:cs="Times New Roman" w:eastAsia="Times New Roman" w:hAnsi="Times New Roman"/>
          <w:sz w:val="20"/>
          <w:szCs w:val="20"/>
          <w:color w:val="auto"/>
        </w:rPr>
        <w:t>” means, as to any Person as determined in accordance with GAAP, any lease of Property (whether real, personal or mixed) by such Person as lessee which is not a Capital Lease Obligation.</w:t>
      </w:r>
    </w:p>
    <w:p>
      <w:pPr>
        <w:spacing w:after="0" w:line="178" w:lineRule="exact"/>
        <w:rPr>
          <w:sz w:val="20"/>
          <w:szCs w:val="20"/>
          <w:color w:val="auto"/>
        </w:rPr>
      </w:pPr>
    </w:p>
    <w:p>
      <w:pPr>
        <w:jc w:val="both"/>
        <w:ind w:left="620" w:right="80" w:firstLine="642"/>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Connection Taxes</w:t>
      </w:r>
      <w:r>
        <w:rPr>
          <w:rFonts w:ascii="Times New Roman" w:cs="Times New Roman" w:eastAsia="Times New Roman" w:hAnsi="Times New Roman"/>
          <w:sz w:val="20"/>
          <w:szCs w:val="20"/>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0" w:lineRule="exact"/>
        <w:rPr>
          <w:sz w:val="20"/>
          <w:szCs w:val="20"/>
          <w:color w:val="auto"/>
        </w:rPr>
      </w:pPr>
    </w:p>
    <w:p>
      <w:pPr>
        <w:jc w:val="both"/>
        <w:ind w:left="620" w:right="80" w:firstLine="642"/>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Taxes</w:t>
      </w:r>
      <w:r>
        <w:rPr>
          <w:rFonts w:ascii="Times New Roman" w:cs="Times New Roman" w:eastAsia="Times New Roman" w:hAnsi="Times New Roman"/>
          <w:sz w:val="20"/>
          <w:szCs w:val="20"/>
          <w:color w:val="auto"/>
        </w:rPr>
        <w:t xml:space="preserve">” means all present or future stamp, court,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20"/>
          <w:szCs w:val="20"/>
          <w:u w:val="single" w:color="auto"/>
          <w:color w:val="auto"/>
        </w:rPr>
        <w:t>Section 5.12</w:t>
      </w:r>
      <w:r>
        <w:rPr>
          <w:rFonts w:ascii="Times New Roman" w:cs="Times New Roman" w:eastAsia="Times New Roman" w:hAnsi="Times New Roman"/>
          <w:sz w:val="20"/>
          <w:szCs w:val="20"/>
          <w:color w:val="auto"/>
        </w:rPr>
        <w:t>).</w:t>
      </w:r>
    </w:p>
    <w:p>
      <w:pPr>
        <w:spacing w:after="0" w:line="2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12.9(d)</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has the</w:t>
      </w:r>
    </w:p>
    <w:p>
      <w:pPr>
        <w:spacing w:after="0" w:line="2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 xml:space="preserve">meaning assigned thereto in </w:t>
      </w:r>
      <w:r>
        <w:rPr>
          <w:rFonts w:ascii="Times New Roman" w:cs="Times New Roman" w:eastAsia="Times New Roman" w:hAnsi="Times New Roman"/>
          <w:sz w:val="20"/>
          <w:szCs w:val="20"/>
          <w:u w:val="single" w:color="auto"/>
          <w:color w:val="auto"/>
        </w:rPr>
        <w:t>Section 12.9(d)</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62</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-43180</wp:posOffset>
            </wp:positionV>
            <wp:extent cx="8255" cy="1016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68">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1100"/>
          </w:cols>
          <w:pgMar w:left="380" w:top="1440" w:right="419" w:bottom="1440" w:gutter="0" w:footer="0" w:header="0"/>
        </w:sectPr>
      </w:pPr>
    </w:p>
    <w:bookmarkStart w:id="211" w:name="page212"/>
    <w:bookmarkEnd w:id="211"/>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440" w:val="left"/>
        </w:tabs>
        <w:rPr>
          <w:sz w:val="20"/>
          <w:szCs w:val="20"/>
          <w:color w:val="auto"/>
        </w:rPr>
      </w:pPr>
      <w:r>
        <w:rPr>
          <w:sz w:val="1"/>
          <w:szCs w:val="1"/>
          <w:color w:val="auto"/>
        </w:rPr>
        <w:drawing>
          <wp:inline distT="0" distB="0" distL="0" distR="0">
            <wp:extent cx="8255" cy="101600"/>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69">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63</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ectPr>
          <w:pgSz w:w="11900" w:h="16838" w:orient="portrait"/>
          <w:cols w:equalWidth="0" w:num="1">
            <w:col w:w="10139"/>
          </w:cols>
          <w:pgMar w:left="320" w:top="1440" w:right="1440" w:bottom="1440" w:gutter="0" w:footer="0" w:header="0"/>
        </w:sectPr>
      </w:pPr>
    </w:p>
    <w:bookmarkStart w:id="212" w:name="page213"/>
    <w:bookmarkEnd w:id="212"/>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PATRIOT Act</w:t>
      </w:r>
      <w:r>
        <w:rPr>
          <w:rFonts w:ascii="Times New Roman" w:cs="Times New Roman" w:eastAsia="Times New Roman" w:hAnsi="Times New Roman"/>
          <w:sz w:val="20"/>
          <w:szCs w:val="20"/>
          <w:color w:val="auto"/>
        </w:rPr>
        <w:t>” means the USA PATRIOT Act (Title III of Pub. L. 107-56 (signed into law October 26, 2001)).</w:t>
      </w:r>
    </w:p>
    <w:p>
      <w:pPr>
        <w:spacing w:after="0" w:line="31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Payment Recipient</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11.11(a)</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PBGC</w:t>
      </w:r>
      <w:r>
        <w:rPr>
          <w:rFonts w:ascii="Times New Roman" w:cs="Times New Roman" w:eastAsia="Times New Roman" w:hAnsi="Times New Roman"/>
          <w:sz w:val="20"/>
          <w:szCs w:val="20"/>
          <w:color w:val="auto"/>
        </w:rPr>
        <w:t>” means the Pension</w:t>
      </w:r>
    </w:p>
    <w:p>
      <w:pPr>
        <w:spacing w:after="0" w:line="2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Benefit Guaranty Corporation or any successor agency.</w:t>
      </w:r>
    </w:p>
    <w:p>
      <w:pPr>
        <w:spacing w:after="0" w:line="104" w:lineRule="exact"/>
        <w:rPr>
          <w:sz w:val="20"/>
          <w:szCs w:val="20"/>
          <w:color w:val="auto"/>
        </w:rPr>
      </w:pPr>
    </w:p>
    <w:p>
      <w:pPr>
        <w:jc w:val="both"/>
        <w:ind w:left="620" w:right="20" w:firstLine="642"/>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Pension Plan</w:t>
      </w:r>
      <w:r>
        <w:rPr>
          <w:rFonts w:ascii="Times New Roman" w:cs="Times New Roman" w:eastAsia="Times New Roman" w:hAnsi="Times New Roman"/>
          <w:sz w:val="19"/>
          <w:szCs w:val="19"/>
          <w:color w:val="auto"/>
        </w:rPr>
        <w:t>” means any Employee Benefit Plan, other than a Multiemployer Plan, which is subject to the provisions of Title IV of ERISA or Section 412 of the Code and which (a) is maintained, funded or administered for the employees of any Credit Party or any ERISA Affiliate or (b) has at any time within the preceding seven (7) years been maintained, funded or administered for the employees of any Credit Party or any current or former ERISA Affiliates and shall not include any Canadian Pension Plan.</w:t>
      </w:r>
    </w:p>
    <w:p>
      <w:pPr>
        <w:spacing w:after="0" w:line="160" w:lineRule="exact"/>
        <w:rPr>
          <w:sz w:val="20"/>
          <w:szCs w:val="20"/>
          <w:color w:val="auto"/>
        </w:rPr>
      </w:pPr>
    </w:p>
    <w:p>
      <w:pPr>
        <w:jc w:val="both"/>
        <w:ind w:left="620" w:right="20" w:firstLine="642"/>
        <w:spacing w:after="0" w:line="27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Acquisition</w:t>
      </w:r>
      <w:r>
        <w:rPr>
          <w:rFonts w:ascii="Times New Roman" w:cs="Times New Roman" w:eastAsia="Times New Roman" w:hAnsi="Times New Roman"/>
          <w:sz w:val="20"/>
          <w:szCs w:val="20"/>
          <w:color w:val="auto"/>
        </w:rPr>
        <w:t xml:space="preserve">” means any Acquisition by any Credit Party if each such Acquisition meets all of the following requirements (subject, in the case of a Permitted Acquisition that is a Limited Condition Acquisition, to </w:t>
      </w: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w:t>
      </w:r>
    </w:p>
    <w:p>
      <w:pPr>
        <w:spacing w:after="0" w:line="151" w:lineRule="exact"/>
        <w:rPr>
          <w:sz w:val="20"/>
          <w:szCs w:val="20"/>
          <w:color w:val="auto"/>
        </w:rPr>
      </w:pPr>
    </w:p>
    <w:p>
      <w:pPr>
        <w:jc w:val="both"/>
        <w:ind w:left="620" w:right="20" w:firstLine="646"/>
        <w:spacing w:after="0" w:line="276" w:lineRule="auto"/>
        <w:tabs>
          <w:tab w:leader="none" w:pos="1867"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less than fifteen (15) Business Days prior to the proposed closing date of such Acquisition (or such shorter period as agreed to by the Administrative Agent in its sole discretion), Centuri shall have delivered written notice of such Acquisition to the Administrative Agent and the Lenders, which notice shall include the proposed closing date of such Acquisition;</w:t>
      </w:r>
    </w:p>
    <w:p>
      <w:pPr>
        <w:spacing w:after="0" w:line="169" w:lineRule="exact"/>
        <w:rPr>
          <w:rFonts w:ascii="Times New Roman" w:cs="Times New Roman" w:eastAsia="Times New Roman" w:hAnsi="Times New Roman"/>
          <w:sz w:val="19"/>
          <w:szCs w:val="19"/>
          <w:color w:val="auto"/>
        </w:rPr>
      </w:pPr>
    </w:p>
    <w:p>
      <w:pPr>
        <w:jc w:val="both"/>
        <w:ind w:left="620" w:firstLine="646"/>
        <w:spacing w:after="0" w:line="257" w:lineRule="auto"/>
        <w:tabs>
          <w:tab w:leader="none" w:pos="1865"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Centuri shall have certified on or before the closing date of such Acquisition, in writing and in a form reasonably acceptable to the Administrative Agent, that such Acquisition has been approved by the board of directors (or equivalent governing body) of the Person to be acquired;</w:t>
      </w:r>
    </w:p>
    <w:p>
      <w:pPr>
        <w:spacing w:after="0" w:line="170" w:lineRule="exact"/>
        <w:rPr>
          <w:rFonts w:ascii="Times New Roman" w:cs="Times New Roman" w:eastAsia="Times New Roman" w:hAnsi="Times New Roman"/>
          <w:sz w:val="20"/>
          <w:szCs w:val="20"/>
          <w:color w:val="auto"/>
        </w:rPr>
      </w:pPr>
    </w:p>
    <w:p>
      <w:pPr>
        <w:jc w:val="both"/>
        <w:ind w:left="620" w:right="20" w:firstLine="646"/>
        <w:spacing w:after="0" w:line="257" w:lineRule="auto"/>
        <w:tabs>
          <w:tab w:leader="none" w:pos="1867"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Person or business to be acquired shall be in a line of business permitted pursuant to </w:t>
      </w:r>
      <w:r>
        <w:rPr>
          <w:rFonts w:ascii="Times New Roman" w:cs="Times New Roman" w:eastAsia="Times New Roman" w:hAnsi="Times New Roman"/>
          <w:sz w:val="20"/>
          <w:szCs w:val="20"/>
          <w:u w:val="single" w:color="auto"/>
          <w:color w:val="auto"/>
        </w:rPr>
        <w:t>Section 9.11</w:t>
      </w:r>
      <w:r>
        <w:rPr>
          <w:rFonts w:ascii="Times New Roman" w:cs="Times New Roman" w:eastAsia="Times New Roman" w:hAnsi="Times New Roman"/>
          <w:sz w:val="20"/>
          <w:szCs w:val="20"/>
          <w:color w:val="auto"/>
        </w:rPr>
        <w:t xml:space="preserve"> or, in the case of an Acquisition of assets, the assets acquired are useful in the business of the Consolidated Companies as conducted immediately prior to such Acquisition;</w:t>
      </w:r>
    </w:p>
    <w:p>
      <w:pPr>
        <w:spacing w:after="0" w:line="183" w:lineRule="exact"/>
        <w:rPr>
          <w:rFonts w:ascii="Times New Roman" w:cs="Times New Roman" w:eastAsia="Times New Roman" w:hAnsi="Times New Roman"/>
          <w:sz w:val="20"/>
          <w:szCs w:val="20"/>
          <w:color w:val="auto"/>
        </w:rPr>
      </w:pPr>
    </w:p>
    <w:p>
      <w:pPr>
        <w:ind w:left="620" w:right="20" w:firstLine="646"/>
        <w:spacing w:after="0" w:line="263" w:lineRule="auto"/>
        <w:tabs>
          <w:tab w:leader="none" w:pos="1865"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transaction is a merger, amalgamation, or consolidation, a Borrower or a Subsidiary Guarantor shall be the surviving Person and no Change in Control shall have been effected thereby;</w:t>
      </w:r>
    </w:p>
    <w:p>
      <w:pPr>
        <w:spacing w:after="0" w:line="178" w:lineRule="exact"/>
        <w:rPr>
          <w:rFonts w:ascii="Times New Roman" w:cs="Times New Roman" w:eastAsia="Times New Roman" w:hAnsi="Times New Roman"/>
          <w:sz w:val="20"/>
          <w:szCs w:val="20"/>
          <w:color w:val="auto"/>
        </w:rPr>
      </w:pPr>
    </w:p>
    <w:p>
      <w:pPr>
        <w:jc w:val="both"/>
        <w:ind w:left="620" w:right="20" w:firstLine="646"/>
        <w:spacing w:after="0" w:line="257" w:lineRule="auto"/>
        <w:tabs>
          <w:tab w:leader="none" w:pos="1867"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Centuri shall have delivered to the Administrative Agent such documents reasonably requested by the Administrative Agent or the Required Lenders (through the Administrative Agent) pursuant to </w:t>
      </w:r>
      <w:r>
        <w:rPr>
          <w:rFonts w:ascii="Times New Roman" w:cs="Times New Roman" w:eastAsia="Times New Roman" w:hAnsi="Times New Roman"/>
          <w:sz w:val="20"/>
          <w:szCs w:val="20"/>
          <w:u w:val="single" w:color="auto"/>
          <w:color w:val="auto"/>
        </w:rPr>
        <w:t>Section 8.14</w:t>
      </w:r>
      <w:r>
        <w:rPr>
          <w:rFonts w:ascii="Times New Roman" w:cs="Times New Roman" w:eastAsia="Times New Roman" w:hAnsi="Times New Roman"/>
          <w:sz w:val="20"/>
          <w:szCs w:val="20"/>
          <w:color w:val="auto"/>
        </w:rPr>
        <w:t xml:space="preserve"> to be delivered at the time required pursuant to </w:t>
      </w:r>
      <w:r>
        <w:rPr>
          <w:rFonts w:ascii="Times New Roman" w:cs="Times New Roman" w:eastAsia="Times New Roman" w:hAnsi="Times New Roman"/>
          <w:sz w:val="20"/>
          <w:szCs w:val="20"/>
          <w:u w:val="single" w:color="auto"/>
          <w:color w:val="auto"/>
        </w:rPr>
        <w:t>Section 8.14</w:t>
      </w:r>
      <w:r>
        <w:rPr>
          <w:rFonts w:ascii="Times New Roman" w:cs="Times New Roman" w:eastAsia="Times New Roman" w:hAnsi="Times New Roman"/>
          <w:sz w:val="20"/>
          <w:szCs w:val="20"/>
          <w:color w:val="auto"/>
        </w:rPr>
        <w:t>;</w:t>
      </w:r>
    </w:p>
    <w:p>
      <w:pPr>
        <w:spacing w:after="0" w:line="170" w:lineRule="exact"/>
        <w:rPr>
          <w:rFonts w:ascii="Times New Roman" w:cs="Times New Roman" w:eastAsia="Times New Roman" w:hAnsi="Times New Roman"/>
          <w:sz w:val="20"/>
          <w:szCs w:val="20"/>
          <w:color w:val="auto"/>
        </w:rPr>
      </w:pPr>
    </w:p>
    <w:p>
      <w:pPr>
        <w:ind w:left="1900" w:hanging="634"/>
        <w:spacing w:after="0"/>
        <w:tabs>
          <w:tab w:leader="none" w:pos="190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Centuri shall be in compliance with (i) a Consolidated Interest Coverage Ratio of 2.50 to</w:t>
      </w:r>
    </w:p>
    <w:p>
      <w:pPr>
        <w:spacing w:after="0" w:line="19" w:lineRule="exact"/>
        <w:rPr>
          <w:sz w:val="20"/>
          <w:szCs w:val="20"/>
          <w:color w:val="auto"/>
        </w:rPr>
      </w:pPr>
    </w:p>
    <w:p>
      <w:pPr>
        <w:jc w:val="both"/>
        <w:ind w:left="620"/>
        <w:spacing w:after="0" w:line="244" w:lineRule="auto"/>
        <w:rPr>
          <w:sz w:val="20"/>
          <w:szCs w:val="20"/>
          <w:color w:val="auto"/>
        </w:rPr>
      </w:pPr>
      <w:r>
        <w:rPr>
          <w:rFonts w:ascii="Times New Roman" w:cs="Times New Roman" w:eastAsia="Times New Roman" w:hAnsi="Times New Roman"/>
          <w:sz w:val="20"/>
          <w:szCs w:val="20"/>
          <w:color w:val="auto"/>
        </w:rPr>
        <w:t>1.00 and (ii) a Consolidated Net Leverage Ratio of (A) 5.50 to 1.00 for the period beginning on September 30, 2022 through and including December 30, 2022, (B) 4.75 to 1.00 for the period beginning</w:t>
      </w:r>
    </w:p>
    <w:p>
      <w:pPr>
        <w:jc w:val="both"/>
        <w:ind w:left="620" w:right="20"/>
        <w:spacing w:after="0" w:line="247" w:lineRule="auto"/>
        <w:rPr>
          <w:sz w:val="20"/>
          <w:szCs w:val="20"/>
          <w:color w:val="auto"/>
        </w:rPr>
      </w:pPr>
      <w:r>
        <w:rPr>
          <w:rFonts w:ascii="Times New Roman" w:cs="Times New Roman" w:eastAsia="Times New Roman" w:hAnsi="Times New Roman"/>
          <w:sz w:val="20"/>
          <w:szCs w:val="20"/>
          <w:color w:val="auto"/>
        </w:rPr>
        <w:t>on December 31, 2022 through and including December 30, 2023 and (C) 4.00 to 1.00 for the period beginning on December 31, 2023 and thereafter, in each case, calculated on a Pro Forma Basis (as of the most recent Fiscal Quarter end preceding the proposed closing date of the acquisition for which financial statements are available and after giving effect thereto and any Indebtedness incurred in connection therewith);</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64</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-43180</wp:posOffset>
            </wp:positionV>
            <wp:extent cx="8255" cy="1016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70">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1020"/>
          </w:cols>
          <w:pgMar w:left="380" w:top="1440" w:right="499" w:bottom="1440" w:gutter="0" w:footer="0" w:header="0"/>
        </w:sectPr>
      </w:pPr>
    </w:p>
    <w:bookmarkStart w:id="213" w:name="page214"/>
    <w:bookmarkEnd w:id="213"/>
    <w:p>
      <w:pPr>
        <w:spacing w:after="0" w:line="95" w:lineRule="exact"/>
        <w:rPr>
          <w:sz w:val="20"/>
          <w:szCs w:val="20"/>
          <w:color w:val="auto"/>
        </w:rPr>
      </w:pPr>
    </w:p>
    <w:p>
      <w:pPr>
        <w:jc w:val="both"/>
        <w:ind w:left="620" w:firstLine="646"/>
        <w:spacing w:after="0" w:line="257" w:lineRule="auto"/>
        <w:tabs>
          <w:tab w:leader="none" w:pos="1865"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Permitted Acquisition Consideration for any such Acquisition (or series of related Acquisitions) exceeds $150,000,000 in the aggregate, no later than five (5) Business Days (or such shorter period as agreed to by the Administrative Agent in its sole discretion) prior to the proposed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65</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-34290</wp:posOffset>
            </wp:positionV>
            <wp:extent cx="8255" cy="1016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71">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1000"/>
          </w:cols>
          <w:pgMar w:left="380" w:top="1440" w:right="519" w:bottom="1440" w:gutter="0" w:footer="0" w:header="0"/>
        </w:sectPr>
      </w:pPr>
    </w:p>
    <w:bookmarkStart w:id="214" w:name="page215"/>
    <w:bookmarkEnd w:id="214"/>
    <w:p>
      <w:pPr>
        <w:spacing w:after="0" w:line="202" w:lineRule="exact"/>
        <w:rPr>
          <w:sz w:val="20"/>
          <w:szCs w:val="20"/>
          <w:color w:val="auto"/>
        </w:rPr>
      </w:pPr>
    </w:p>
    <w:p>
      <w:pPr>
        <w:jc w:val="both"/>
        <w:ind w:left="620" w:right="40"/>
        <w:spacing w:after="0" w:line="276" w:lineRule="auto"/>
        <w:rPr>
          <w:sz w:val="20"/>
          <w:szCs w:val="20"/>
          <w:color w:val="auto"/>
        </w:rPr>
      </w:pPr>
      <w:r>
        <w:rPr>
          <w:rFonts w:ascii="Times New Roman" w:cs="Times New Roman" w:eastAsia="Times New Roman" w:hAnsi="Times New Roman"/>
          <w:sz w:val="19"/>
          <w:szCs w:val="19"/>
          <w:color w:val="auto"/>
        </w:rPr>
        <w:t>closing date of such Acquisition, Centuri shall have delivered to the Administrative Agent an Officer’s Compliance Certificate for the most recent fiscal quarter end preceding such Acquisition for which financial statements are available demonstrating, in form and substance reasonably satisfactory to the Administrative Agent, that the condition set forth in paragraph (f) above is satisfied;</w:t>
      </w:r>
    </w:p>
    <w:p>
      <w:pPr>
        <w:spacing w:after="0" w:line="156" w:lineRule="exact"/>
        <w:rPr>
          <w:sz w:val="20"/>
          <w:szCs w:val="20"/>
          <w:color w:val="auto"/>
        </w:rPr>
      </w:pPr>
    </w:p>
    <w:p>
      <w:pPr>
        <w:jc w:val="both"/>
        <w:ind w:left="620" w:right="40" w:firstLine="646"/>
        <w:spacing w:after="0" w:line="250" w:lineRule="auto"/>
        <w:tabs>
          <w:tab w:leader="none" w:pos="1865"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Permitted Acquisition Consideration for any such Acquisition (or series of related Acquisitions) exceeds $150,000,000 in the aggregate, no later than five (5) Business Days (or such shorter period as agreed to by the Administrative Agent in its sole discretion) prior to the proposed closing date of such Acquisition, Centuri, to the extent requested by the Administrative Agent, (i) shall have delivered to the Administrative Agent promptly upon the finalization thereof copies of substantially final Permitted Acquisition Documents, and (ii) shall have delivered to, or made available for inspection by, the Administrative Agent substantially complete Permitted Acquisition Diligence Information;</w:t>
      </w:r>
    </w:p>
    <w:p>
      <w:pPr>
        <w:spacing w:after="0" w:line="180" w:lineRule="exact"/>
        <w:rPr>
          <w:rFonts w:ascii="Times New Roman" w:cs="Times New Roman" w:eastAsia="Times New Roman" w:hAnsi="Times New Roman"/>
          <w:sz w:val="20"/>
          <w:szCs w:val="20"/>
          <w:color w:val="auto"/>
        </w:rPr>
      </w:pPr>
    </w:p>
    <w:p>
      <w:pPr>
        <w:ind w:left="620" w:right="40" w:firstLine="646"/>
        <w:spacing w:after="0" w:line="277" w:lineRule="auto"/>
        <w:tabs>
          <w:tab w:leader="none" w:pos="1862"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shall have occurred and be continuing both before and after giving effect to such Acquisition and any Indebtedness incurred in connection therewith; and</w:t>
      </w:r>
    </w:p>
    <w:p>
      <w:pPr>
        <w:spacing w:after="0" w:line="151" w:lineRule="exact"/>
        <w:rPr>
          <w:rFonts w:ascii="Times New Roman" w:cs="Times New Roman" w:eastAsia="Times New Roman" w:hAnsi="Times New Roman"/>
          <w:sz w:val="20"/>
          <w:szCs w:val="20"/>
          <w:color w:val="auto"/>
        </w:rPr>
      </w:pPr>
    </w:p>
    <w:p>
      <w:pPr>
        <w:jc w:val="both"/>
        <w:ind w:left="620" w:right="40" w:firstLine="646"/>
        <w:spacing w:after="0" w:line="254" w:lineRule="auto"/>
        <w:tabs>
          <w:tab w:leader="none" w:pos="1862"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Permitted Acquisition Consideration for any such Acquisition (or series of related Acquisitions) exceeds $150,000,000 in the aggregate, Centuri shall have (i) delivered to the Administrative Agent a certificate of a Responsible Officer certifying that all of the requirements set forth above have been satisfied or waived or will be satisfied or waived on or prior to the consummation of such purchase or other Acquisition and (ii) provided such other documents and other information as may be reasonably requested by the Administrative Agent in connection with such purchase or other Acquisition.</w:t>
      </w:r>
    </w:p>
    <w:p>
      <w:pPr>
        <w:spacing w:after="0" w:line="1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Notwithstanding the foregoing, the Drum Acquisition shall constitute a Permitted Acquisition. “</w:t>
      </w:r>
      <w:r>
        <w:rPr>
          <w:rFonts w:ascii="Times New Roman" w:cs="Times New Roman" w:eastAsia="Times New Roman" w:hAnsi="Times New Roman"/>
          <w:sz w:val="20"/>
          <w:szCs w:val="20"/>
          <w:u w:val="single" w:color="auto"/>
          <w:color w:val="auto"/>
        </w:rPr>
        <w:t>Permitted Acquisition</w:t>
      </w:r>
    </w:p>
    <w:p>
      <w:pPr>
        <w:spacing w:after="0" w:line="2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u w:val="single" w:color="auto"/>
          <w:color w:val="auto"/>
        </w:rPr>
        <w:t>Consideration</w:t>
      </w:r>
      <w:r>
        <w:rPr>
          <w:rFonts w:ascii="Times New Roman" w:cs="Times New Roman" w:eastAsia="Times New Roman" w:hAnsi="Times New Roman"/>
          <w:sz w:val="20"/>
          <w:szCs w:val="20"/>
          <w:color w:val="auto"/>
        </w:rPr>
        <w:t>” means the aggregate amount of the purchase price,</w:t>
      </w:r>
    </w:p>
    <w:p>
      <w:pPr>
        <w:spacing w:after="0" w:line="1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including, but not limited to, any assumed debt, earn-outs (valued at the maximum amount payable</w:t>
      </w:r>
    </w:p>
    <w:p>
      <w:pPr>
        <w:jc w:val="both"/>
        <w:ind w:left="620" w:right="40"/>
        <w:spacing w:after="0" w:line="244" w:lineRule="auto"/>
        <w:rPr>
          <w:sz w:val="20"/>
          <w:szCs w:val="20"/>
          <w:color w:val="auto"/>
        </w:rPr>
      </w:pPr>
      <w:r>
        <w:rPr>
          <w:rFonts w:ascii="Times New Roman" w:cs="Times New Roman" w:eastAsia="Times New Roman" w:hAnsi="Times New Roman"/>
          <w:sz w:val="20"/>
          <w:szCs w:val="20"/>
          <w:color w:val="auto"/>
        </w:rPr>
        <w:t>thereunder), deferred payments, or Equity Interests of any Borrower or any Subsidiary Guarantor, net of the applicable acquired company’s cash and Cash Equivalents balance (as shown on its most recent financial statements delivered in connection with the applicable Permitted Acquisition) to be paid on a singular basis in connection with any applicable Permitted Acquisition as set forth in the applicable Permitted Acquisition Documents executed by such Borrower or such Subsidiary Guarantor in order to consummate the applicable Permitted Acquisition.</w:t>
      </w:r>
    </w:p>
    <w:p>
      <w:pPr>
        <w:spacing w:after="0" w:line="200" w:lineRule="exact"/>
        <w:rPr>
          <w:sz w:val="20"/>
          <w:szCs w:val="20"/>
          <w:color w:val="auto"/>
        </w:rPr>
      </w:pPr>
    </w:p>
    <w:p>
      <w:pPr>
        <w:jc w:val="both"/>
        <w:ind w:left="620" w:firstLine="642"/>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Acquisition Diligence Information</w:t>
      </w:r>
      <w:r>
        <w:rPr>
          <w:rFonts w:ascii="Times New Roman" w:cs="Times New Roman" w:eastAsia="Times New Roman" w:hAnsi="Times New Roman"/>
          <w:sz w:val="20"/>
          <w:szCs w:val="20"/>
          <w:color w:val="auto"/>
        </w:rPr>
        <w:t>” means with respect to any Acquisition proposed by any Borrower or any Subsidiary Guarantor, to the extent applicable, all material financial information, all material contracts, all material customer lists, all material supply agreements, and all other material information, in each case, reasonably requested to be delivered to the Administrative Agent in connection with such Acquisition (except to the extent that any such information is (a) subject to any confidentiality agreement, unless mutually agreeable arrangements can be made to preserve such information as confidential, (b) classified or (c) subject to any attorney-client privilege).</w:t>
      </w:r>
    </w:p>
    <w:p>
      <w:pPr>
        <w:spacing w:after="0" w:line="192" w:lineRule="exact"/>
        <w:rPr>
          <w:sz w:val="20"/>
          <w:szCs w:val="20"/>
          <w:color w:val="auto"/>
        </w:rPr>
      </w:pPr>
    </w:p>
    <w:p>
      <w:pPr>
        <w:jc w:val="both"/>
        <w:ind w:left="620" w:right="20" w:firstLine="642"/>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Acquisition Documents</w:t>
      </w:r>
      <w:r>
        <w:rPr>
          <w:rFonts w:ascii="Times New Roman" w:cs="Times New Roman" w:eastAsia="Times New Roman" w:hAnsi="Times New Roman"/>
          <w:sz w:val="20"/>
          <w:szCs w:val="20"/>
          <w:color w:val="auto"/>
        </w:rPr>
        <w:t>” means with respect to any Acquisition proposed by any Borrower or any Subsidiary Guarantor, final copies or substantially final drafts if not executed at the required time of delivery of the purchase agreement, sale agreement, merger agreement, amalgamation agreement or other agreement evidencing such Acquisition, including, without limitation, all legal opinions and each other document executed, delivered, contemplated by or prepared in connection therewith and any amendment, modification or supplement to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66</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-34290</wp:posOffset>
            </wp:positionV>
            <wp:extent cx="8255" cy="1016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72">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1040"/>
          </w:cols>
          <w:pgMar w:left="380" w:top="1440" w:right="479" w:bottom="1440" w:gutter="0" w:footer="0" w:header="0"/>
        </w:sectPr>
      </w:pPr>
    </w:p>
    <w:bookmarkStart w:id="215" w:name="page216"/>
    <w:bookmarkEnd w:id="215"/>
    <w:p>
      <w:pPr>
        <w:spacing w:after="0" w:line="202" w:lineRule="exact"/>
        <w:rPr>
          <w:sz w:val="20"/>
          <w:szCs w:val="20"/>
          <w:color w:val="auto"/>
        </w:rPr>
      </w:pPr>
    </w:p>
    <w:p>
      <w:pPr>
        <w:jc w:val="both"/>
        <w:ind w:left="620" w:right="60" w:firstLine="642"/>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Drum Equity</w:t>
      </w:r>
      <w:r>
        <w:rPr>
          <w:rFonts w:ascii="Times New Roman" w:cs="Times New Roman" w:eastAsia="Times New Roman" w:hAnsi="Times New Roman"/>
          <w:sz w:val="20"/>
          <w:szCs w:val="20"/>
          <w:color w:val="auto"/>
        </w:rPr>
        <w:t>” means the Equity Interests of Drum Parent LLC (formerly Drum Parent, Inc.) in an amount not to exceed 5.0% of the total Equity Interests of Drum Parent LLC.</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Liens</w:t>
      </w:r>
      <w:r>
        <w:rPr>
          <w:rFonts w:ascii="Times New Roman" w:cs="Times New Roman" w:eastAsia="Times New Roman" w:hAnsi="Times New Roman"/>
          <w:sz w:val="20"/>
          <w:szCs w:val="20"/>
          <w:color w:val="auto"/>
        </w:rPr>
        <w:t xml:space="preserve">” means the Liens permitted pursuant to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jc w:val="both"/>
        <w:ind w:left="620" w:right="40" w:firstLine="642"/>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Receivables Transaction</w:t>
      </w:r>
      <w:r>
        <w:rPr>
          <w:rFonts w:ascii="Times New Roman" w:cs="Times New Roman" w:eastAsia="Times New Roman" w:hAnsi="Times New Roman"/>
          <w:sz w:val="19"/>
          <w:szCs w:val="19"/>
          <w:color w:val="auto"/>
        </w:rPr>
        <w:t>” means one or more transactions pursuant to which (a) Receivables Assets or interests therein are sold to or financed by one or more Receivables Subsidiaries, and such Receivables Subsidiaries finance their acquisition of such Receivables Assets or interests therein, or the financing thereof, by selling or borrowing against such Receivables Assets or</w:t>
      </w:r>
    </w:p>
    <w:p>
      <w:pPr>
        <w:spacing w:after="0" w:line="2" w:lineRule="exact"/>
        <w:rPr>
          <w:sz w:val="20"/>
          <w:szCs w:val="20"/>
          <w:color w:val="auto"/>
        </w:rPr>
      </w:pPr>
    </w:p>
    <w:p>
      <w:pPr>
        <w:jc w:val="both"/>
        <w:ind w:left="620" w:right="40" w:firstLine="4"/>
        <w:spacing w:after="0" w:line="263" w:lineRule="auto"/>
        <w:tabs>
          <w:tab w:leader="none" w:pos="915"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Receivable Assets or interests therein are sold or discounted directly to one or more investors or other purchasers (other than Centuri or any Subsidiary), including, without limitation, in connection with a supply chain arrangement or other receivables discount program;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each case such transactions shall be non-recourse (except in respect of fees, costs, indemnifications, representations and warranties and other obligations in which recourse is available against originators or servicers of Receivables Assets included in special-purpose-vehicle receivables financing arrangements, in each case, other than any of the foregoing which are in effect credit support substitutes) to Centuri and its Subsidiaries (other than a Receivables Subsidiary) and neither Centuri nor any of its Subsidiaries (other than a Receivables Subsidiary) shall provide credit support of any kind.</w:t>
      </w:r>
    </w:p>
    <w:p>
      <w:pPr>
        <w:spacing w:after="0" w:line="156" w:lineRule="exact"/>
        <w:rPr>
          <w:sz w:val="20"/>
          <w:szCs w:val="20"/>
          <w:color w:val="auto"/>
        </w:rPr>
      </w:pPr>
    </w:p>
    <w:p>
      <w:pPr>
        <w:jc w:val="both"/>
        <w:ind w:left="620" w:right="60" w:firstLine="642"/>
        <w:spacing w:after="0" w:line="27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Receivables Transaction Documents</w:t>
      </w:r>
      <w:r>
        <w:rPr>
          <w:rFonts w:ascii="Times New Roman" w:cs="Times New Roman" w:eastAsia="Times New Roman" w:hAnsi="Times New Roman"/>
          <w:sz w:val="20"/>
          <w:szCs w:val="20"/>
          <w:color w:val="auto"/>
        </w:rPr>
        <w:t>” means all documents and agreements evidencing, relating to or otherwise governing a Permitted Receivables Transaction.</w:t>
      </w:r>
    </w:p>
    <w:p>
      <w:pPr>
        <w:spacing w:after="0" w:line="151" w:lineRule="exact"/>
        <w:rPr>
          <w:sz w:val="20"/>
          <w:szCs w:val="20"/>
          <w:color w:val="auto"/>
        </w:rPr>
      </w:pPr>
    </w:p>
    <w:p>
      <w:pPr>
        <w:jc w:val="both"/>
        <w:ind w:left="620" w:right="60" w:firstLine="642"/>
        <w:spacing w:after="0" w:line="27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any natural person, corporation, limited liability company, trust, joint venture, association, company, partnership, Governmental Authority or other entity.</w:t>
      </w:r>
    </w:p>
    <w:p>
      <w:pPr>
        <w:spacing w:after="0" w:line="15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w:t>
      </w:r>
    </w:p>
    <w:p>
      <w:pPr>
        <w:spacing w:after="0" w:line="225" w:lineRule="exact"/>
        <w:rPr>
          <w:sz w:val="20"/>
          <w:szCs w:val="20"/>
          <w:color w:val="auto"/>
        </w:rPr>
      </w:pPr>
    </w:p>
    <w:p>
      <w:pPr>
        <w:jc w:val="both"/>
        <w:ind w:left="620" w:right="60" w:firstLine="642"/>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PPSA</w:t>
      </w:r>
      <w:r>
        <w:rPr>
          <w:rFonts w:ascii="Times New Roman" w:cs="Times New Roman" w:eastAsia="Times New Roman" w:hAnsi="Times New Roman"/>
          <w:sz w:val="20"/>
          <w:szCs w:val="20"/>
          <w:color w:val="auto"/>
        </w:rPr>
        <w:t>” means the Personal Property Security Act of Ontario or any successor statute or similar legislation of any jurisdiction the laws of which are required by such legislation to be applied in connection with the issue, perfection, enforcement, validity or effect of security interests.</w:t>
      </w:r>
    </w:p>
    <w:p>
      <w:pPr>
        <w:spacing w:after="0" w:line="171" w:lineRule="exact"/>
        <w:rPr>
          <w:sz w:val="20"/>
          <w:szCs w:val="20"/>
          <w:color w:val="auto"/>
        </w:rPr>
      </w:pPr>
    </w:p>
    <w:p>
      <w:pPr>
        <w:jc w:val="both"/>
        <w:ind w:left="620" w:firstLine="642"/>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Prime Rate</w:t>
      </w:r>
      <w:r>
        <w:rPr>
          <w:rFonts w:ascii="Times New Roman" w:cs="Times New Roman" w:eastAsia="Times New Roman" w:hAnsi="Times New Roman"/>
          <w:sz w:val="19"/>
          <w:szCs w:val="19"/>
          <w:color w:val="auto"/>
        </w:rPr>
        <w:t>” means, at any time, the rate of interest per annum publicly announced from time to time by the Administrative Agent as its prime rate. Each change in the Prime Rate shall be effective as of the opening of business on the day such change in such prime rate occurs. The parties hereto acknowledge that the rate announced publicly by the Administrative Agent as its prime rate is an index or base rate and shall not necessarily be its lowest or best rate charged to its customers or other banks.</w:t>
      </w:r>
    </w:p>
    <w:p>
      <w:pPr>
        <w:spacing w:after="0" w:line="160" w:lineRule="exact"/>
        <w:rPr>
          <w:sz w:val="20"/>
          <w:szCs w:val="20"/>
          <w:color w:val="auto"/>
        </w:rPr>
      </w:pPr>
    </w:p>
    <w:p>
      <w:pPr>
        <w:jc w:val="both"/>
        <w:ind w:left="620" w:right="40" w:firstLine="642"/>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 Forma Basis</w:t>
      </w:r>
      <w:r>
        <w:rPr>
          <w:rFonts w:ascii="Times New Roman" w:cs="Times New Roman" w:eastAsia="Times New Roman" w:hAnsi="Times New Roman"/>
          <w:sz w:val="20"/>
          <w:szCs w:val="20"/>
          <w:color w:val="auto"/>
        </w:rPr>
        <w:t xml:space="preserve">” means, for any period during which one or more Specified Transactions occurs, that such Specified Transaction (and all other Specified Transactions that have been consummated during the applicable period) shall be deemed to have occurred as of the first day of the applicable period of measurement and for purposes of calculations made of the financial covenants in </w:t>
      </w:r>
      <w:r>
        <w:rPr>
          <w:rFonts w:ascii="Times New Roman" w:cs="Times New Roman" w:eastAsia="Times New Roman" w:hAnsi="Times New Roman"/>
          <w:sz w:val="20"/>
          <w:szCs w:val="20"/>
          <w:u w:val="single" w:color="auto"/>
          <w:color w:val="auto"/>
        </w:rPr>
        <w:t>Section 9.13</w:t>
      </w:r>
      <w:r>
        <w:rPr>
          <w:rFonts w:ascii="Times New Roman" w:cs="Times New Roman" w:eastAsia="Times New Roman" w:hAnsi="Times New Roman"/>
          <w:sz w:val="20"/>
          <w:szCs w:val="20"/>
          <w:color w:val="auto"/>
        </w:rPr>
        <w:t xml:space="preserve">, (a) after consummation of any Specified Disposition (i) income statement items (whether positive or negative) and Capital Expenditures attributable to the Property or Person disposed of shall be excluded and (ii) Indebtedness which is retired shall be excluded and deemed to have been retired as of the first day of the applicable period and (b) after consummation of any Permitted Acquisition (i) income statement items (whether positive or negative) and Capital Expenditures attributable to the Person or Property acquired shall, to the extent not otherwise included in such income statement items for Consolidated Companies in accordance with GAAP or in accordance with any defined terms set forth in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be included to the extent relating to any period applicable in such calculations, and (ii)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67</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-34290</wp:posOffset>
            </wp:positionV>
            <wp:extent cx="8255" cy="1016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73">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1060"/>
          </w:cols>
          <w:pgMar w:left="380" w:top="1440" w:right="459" w:bottom="1440" w:gutter="0" w:footer="0" w:header="0"/>
        </w:sectPr>
      </w:pPr>
    </w:p>
    <w:bookmarkStart w:id="216" w:name="page217"/>
    <w:bookmarkEnd w:id="216"/>
    <w:p>
      <w:pPr>
        <w:spacing w:after="0" w:line="202" w:lineRule="exact"/>
        <w:rPr>
          <w:sz w:val="20"/>
          <w:szCs w:val="20"/>
          <w:color w:val="auto"/>
        </w:rPr>
      </w:pPr>
    </w:p>
    <w:p>
      <w:pPr>
        <w:jc w:val="both"/>
        <w:ind w:left="620"/>
        <w:spacing w:after="0" w:line="263" w:lineRule="auto"/>
        <w:rPr>
          <w:sz w:val="20"/>
          <w:szCs w:val="20"/>
          <w:color w:val="auto"/>
        </w:rPr>
      </w:pPr>
      <w:r>
        <w:rPr>
          <w:rFonts w:ascii="Times New Roman" w:cs="Times New Roman" w:eastAsia="Times New Roman" w:hAnsi="Times New Roman"/>
          <w:sz w:val="20"/>
          <w:szCs w:val="20"/>
          <w:color w:val="auto"/>
        </w:rPr>
        <w:t>extent not retired in connection with such Permitted Acquisition, Indebtedness of the Person or Property acquired shall be deemed to have been incurred as of the first day of the applicable period.</w:t>
      </w:r>
    </w:p>
    <w:p>
      <w:pPr>
        <w:spacing w:after="0" w:line="178" w:lineRule="exact"/>
        <w:rPr>
          <w:sz w:val="20"/>
          <w:szCs w:val="20"/>
          <w:color w:val="auto"/>
        </w:rPr>
      </w:pPr>
    </w:p>
    <w:p>
      <w:pPr>
        <w:ind w:left="620" w:right="40" w:firstLine="642"/>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Property</w:t>
      </w:r>
      <w:r>
        <w:rPr>
          <w:rFonts w:ascii="Times New Roman" w:cs="Times New Roman" w:eastAsia="Times New Roman" w:hAnsi="Times New Roman"/>
          <w:sz w:val="20"/>
          <w:szCs w:val="20"/>
          <w:color w:val="auto"/>
        </w:rPr>
        <w:t>” means any right or interest in or to property of any kind whatsoever, whether real, personal or mixed and whether tangible or intangible, including, without limitation, Equity Interests.</w:t>
      </w:r>
    </w:p>
    <w:p>
      <w:pPr>
        <w:spacing w:after="0" w:line="178" w:lineRule="exact"/>
        <w:rPr>
          <w:sz w:val="20"/>
          <w:szCs w:val="20"/>
          <w:color w:val="auto"/>
        </w:rPr>
      </w:pPr>
    </w:p>
    <w:p>
      <w:pPr>
        <w:ind w:left="620" w:right="40" w:firstLine="642"/>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PTE</w:t>
      </w:r>
      <w:r>
        <w:rPr>
          <w:rFonts w:ascii="Times New Roman" w:cs="Times New Roman" w:eastAsia="Times New Roman" w:hAnsi="Times New Roman"/>
          <w:sz w:val="20"/>
          <w:szCs w:val="20"/>
          <w:color w:val="auto"/>
        </w:rPr>
        <w:t>” means a prohibited transaction class exemption issued by the U.S. Department of Labor, as any such exemption may be amended from time to time.</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Public Lenders</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Equity Interests</w:t>
      </w:r>
      <w:r>
        <w:rPr>
          <w:rFonts w:ascii="Times New Roman" w:cs="Times New Roman" w:eastAsia="Times New Roman" w:hAnsi="Times New Roman"/>
          <w:sz w:val="20"/>
          <w:szCs w:val="20"/>
          <w:color w:val="auto"/>
        </w:rPr>
        <w:t>” means any Equity Interests that are not Disqualified Equity Interests.</w:t>
      </w:r>
    </w:p>
    <w:p>
      <w:pPr>
        <w:spacing w:after="0" w:line="225" w:lineRule="exact"/>
        <w:rPr>
          <w:sz w:val="20"/>
          <w:szCs w:val="20"/>
          <w:color w:val="auto"/>
        </w:rPr>
      </w:pPr>
    </w:p>
    <w:p>
      <w:pPr>
        <w:jc w:val="both"/>
        <w:ind w:left="620" w:firstLine="642"/>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Receivables Assets</w:t>
      </w:r>
      <w:r>
        <w:rPr>
          <w:rFonts w:ascii="Times New Roman" w:cs="Times New Roman" w:eastAsia="Times New Roman" w:hAnsi="Times New Roman"/>
          <w:sz w:val="20"/>
          <w:szCs w:val="20"/>
          <w:color w:val="auto"/>
        </w:rPr>
        <w:t>” means accounts receivable (including any bills of exchange), notes receivable, lease receivables or other instruments from time to time originated, acquired or otherwise owned by Centuri or any Subsidiary in the ordinary course of business, including any thereof constituting or evidenced by chattel paper, instruments or general intangibles, and all proceeds thereof and rights (contractual and other) and collateral (including all general intangibles, documents, instruments and records) related thereto.</w:t>
      </w:r>
    </w:p>
    <w:p>
      <w:pPr>
        <w:spacing w:after="0" w:line="180" w:lineRule="exact"/>
        <w:rPr>
          <w:sz w:val="20"/>
          <w:szCs w:val="20"/>
          <w:color w:val="auto"/>
        </w:rPr>
      </w:pPr>
    </w:p>
    <w:p>
      <w:pPr>
        <w:jc w:val="both"/>
        <w:ind w:left="620" w:right="20" w:firstLine="642"/>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Receivables Subsidiary</w:t>
      </w:r>
      <w:r>
        <w:rPr>
          <w:rFonts w:ascii="Times New Roman" w:cs="Times New Roman" w:eastAsia="Times New Roman" w:hAnsi="Times New Roman"/>
          <w:sz w:val="20"/>
          <w:szCs w:val="20"/>
          <w:color w:val="auto"/>
        </w:rPr>
        <w:t>” means any direct or indirect special purpose, bankruptcy-remote Subsidiary of Centuri established in connection with a Permitted Receivables Transaction for the acquisition of Receivables Assets or interests therein, and which is organized in a manner intended to reduce the likelihood that it would be substantively consolidated with the Borrower or any of its Subsidiaries (other than Receivables Subsidiaries) in the event Centuri or any such Subsidiary becomes subject to a proceeding under any Debtor Relief Laws.</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Recipient</w:t>
      </w:r>
      <w:r>
        <w:rPr>
          <w:rFonts w:ascii="Times New Roman" w:cs="Times New Roman" w:eastAsia="Times New Roman" w:hAnsi="Times New Roman"/>
          <w:sz w:val="20"/>
          <w:szCs w:val="20"/>
          <w:color w:val="auto"/>
        </w:rPr>
        <w:t>” means (a) the Administrative Agent, (b) any Lender and (c) any Issuing Lender, as applicable.</w:t>
      </w:r>
    </w:p>
    <w:p>
      <w:pPr>
        <w:spacing w:after="0" w:line="211" w:lineRule="exact"/>
        <w:rPr>
          <w:sz w:val="20"/>
          <w:szCs w:val="20"/>
          <w:color w:val="auto"/>
        </w:rPr>
      </w:pPr>
    </w:p>
    <w:p>
      <w:pPr>
        <w:jc w:val="both"/>
        <w:ind w:left="620" w:right="40" w:firstLine="642"/>
        <w:spacing w:after="0" w:line="27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Reference Time</w:t>
      </w:r>
      <w:r>
        <w:rPr>
          <w:rFonts w:ascii="Times New Roman" w:cs="Times New Roman" w:eastAsia="Times New Roman" w:hAnsi="Times New Roman"/>
          <w:sz w:val="20"/>
          <w:szCs w:val="20"/>
          <w:color w:val="auto"/>
        </w:rPr>
        <w:t>” with respect to any setting of the then-current Benchmark means the time determined by the Administrative Agent in its reasonable discretion.</w:t>
      </w:r>
    </w:p>
    <w:p>
      <w:pPr>
        <w:spacing w:after="0" w:line="15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Refinance</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5.18(a)</w:t>
      </w:r>
      <w:r>
        <w:rPr>
          <w:rFonts w:ascii="Times New Roman" w:cs="Times New Roman" w:eastAsia="Times New Roman" w:hAnsi="Times New Roman"/>
          <w:sz w:val="20"/>
          <w:szCs w:val="20"/>
          <w:color w:val="auto"/>
        </w:rPr>
        <w:t>.</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Amendment</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5.18(d)</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ind w:left="620" w:right="400" w:firstLine="642"/>
        <w:spacing w:after="0" w:line="27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Debt</w:t>
      </w:r>
      <w:r>
        <w:rPr>
          <w:rFonts w:ascii="Times New Roman" w:cs="Times New Roman" w:eastAsia="Times New Roman" w:hAnsi="Times New Roman"/>
          <w:sz w:val="20"/>
          <w:szCs w:val="20"/>
          <w:color w:val="auto"/>
        </w:rPr>
        <w:t>” means Refinancing Term Loans, Refinancing Revolving Credit Commitments, Refinancing Revolving Loans and/or Refinancing Notes, as the context requires.</w:t>
      </w:r>
    </w:p>
    <w:p>
      <w:pPr>
        <w:spacing w:after="0" w:line="2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Effective Date</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5.18(b)</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Refinancing Lender</w:t>
      </w:r>
      <w:r>
        <w:rPr>
          <w:rFonts w:ascii="Times New Roman" w:cs="Times New Roman" w:eastAsia="Times New Roman" w:hAnsi="Times New Roman"/>
          <w:sz w:val="20"/>
          <w:szCs w:val="20"/>
          <w:color w:val="auto"/>
        </w:rPr>
        <w:t>” has</w:t>
      </w:r>
    </w:p>
    <w:p>
      <w:pPr>
        <w:spacing w:after="0" w:line="2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 xml:space="preserve">the meaning assigned thereto in </w:t>
      </w:r>
      <w:r>
        <w:rPr>
          <w:rFonts w:ascii="Times New Roman" w:cs="Times New Roman" w:eastAsia="Times New Roman" w:hAnsi="Times New Roman"/>
          <w:sz w:val="20"/>
          <w:szCs w:val="20"/>
          <w:u w:val="single" w:color="auto"/>
          <w:color w:val="auto"/>
        </w:rPr>
        <w:t>Section 5.18(c)</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Refinancing Notes</w:t>
      </w:r>
      <w:r>
        <w:rPr>
          <w:rFonts w:ascii="Times New Roman" w:cs="Times New Roman" w:eastAsia="Times New Roman" w:hAnsi="Times New Roman"/>
          <w:sz w:val="20"/>
          <w:szCs w:val="20"/>
          <w:color w:val="auto"/>
        </w:rPr>
        <w:t>” has the meaning assigned thereto in</w:t>
      </w:r>
    </w:p>
    <w:p>
      <w:pPr>
        <w:spacing w:after="0" w:line="2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u w:val="single" w:color="auto"/>
          <w:color w:val="auto"/>
        </w:rPr>
        <w:t>Section 5.18(a)</w:t>
      </w:r>
      <w:r>
        <w:rPr>
          <w:rFonts w:ascii="Times New Roman" w:cs="Times New Roman" w:eastAsia="Times New Roman" w:hAnsi="Times New Roman"/>
          <w:sz w:val="20"/>
          <w:szCs w:val="20"/>
          <w:color w:val="auto"/>
        </w:rPr>
        <w:t>.</w:t>
      </w:r>
    </w:p>
    <w:p>
      <w:pPr>
        <w:spacing w:after="0" w:line="1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Revolving Credit Commitments</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w:t>
      </w:r>
    </w:p>
    <w:p>
      <w:pPr>
        <w:spacing w:after="0" w:line="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u w:val="single" w:color="auto"/>
          <w:color w:val="auto"/>
        </w:rPr>
        <w:t>5.18(a)</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Revolving Loans</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5.18(a)</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68</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-43180</wp:posOffset>
            </wp:positionV>
            <wp:extent cx="8255" cy="1016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74">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1040"/>
          </w:cols>
          <w:pgMar w:left="380" w:top="1440" w:right="479" w:bottom="1440" w:gutter="0" w:footer="0" w:header="0"/>
        </w:sectPr>
      </w:pPr>
    </w:p>
    <w:bookmarkStart w:id="217" w:name="page218"/>
    <w:bookmarkEnd w:id="217"/>
    <w:p>
      <w:pPr>
        <w:spacing w:after="0" w:line="3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Series</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5.18(c)</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Refinancing Term Loans</w:t>
      </w:r>
      <w:r>
        <w:rPr>
          <w:rFonts w:ascii="Times New Roman" w:cs="Times New Roman" w:eastAsia="Times New Roman" w:hAnsi="Times New Roman"/>
          <w:sz w:val="20"/>
          <w:szCs w:val="20"/>
          <w:color w:val="auto"/>
        </w:rPr>
        <w:t>” has the</w:t>
      </w:r>
    </w:p>
    <w:p>
      <w:pPr>
        <w:spacing w:after="0" w:line="21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 xml:space="preserve">meaning assigned thereto in </w:t>
      </w:r>
      <w:r>
        <w:rPr>
          <w:rFonts w:ascii="Times New Roman" w:cs="Times New Roman" w:eastAsia="Times New Roman" w:hAnsi="Times New Roman"/>
          <w:sz w:val="20"/>
          <w:szCs w:val="20"/>
          <w:u w:val="single" w:color="auto"/>
          <w:color w:val="auto"/>
        </w:rPr>
        <w:t>Section 5.18(a)</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12.9(c)</w:t>
      </w:r>
      <w:r>
        <w:rPr>
          <w:rFonts w:ascii="Times New Roman" w:cs="Times New Roman" w:eastAsia="Times New Roman" w:hAnsi="Times New Roman"/>
          <w:sz w:val="20"/>
          <w:szCs w:val="20"/>
          <w:color w:val="auto"/>
        </w:rPr>
        <w:t>.</w:t>
      </w:r>
    </w:p>
    <w:p>
      <w:pPr>
        <w:spacing w:after="0" w:line="104" w:lineRule="exact"/>
        <w:rPr>
          <w:sz w:val="20"/>
          <w:szCs w:val="20"/>
          <w:color w:val="auto"/>
        </w:rPr>
      </w:pPr>
    </w:p>
    <w:p>
      <w:pPr>
        <w:ind w:left="680" w:firstLine="642"/>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Reimbursement Obligation</w:t>
      </w:r>
      <w:r>
        <w:rPr>
          <w:rFonts w:ascii="Times New Roman" w:cs="Times New Roman" w:eastAsia="Times New Roman" w:hAnsi="Times New Roman"/>
          <w:sz w:val="20"/>
          <w:szCs w:val="20"/>
          <w:color w:val="auto"/>
        </w:rPr>
        <w:t xml:space="preserve">” means the obligation of the Borrowers to reimburse any Issuing Lender pursuant to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 xml:space="preserve"> for amounts drawn under Letters of Credit issued by such Issuing Lender.</w:t>
      </w:r>
    </w:p>
    <w:p>
      <w:pPr>
        <w:spacing w:after="0" w:line="178" w:lineRule="exact"/>
        <w:rPr>
          <w:sz w:val="20"/>
          <w:szCs w:val="20"/>
          <w:color w:val="auto"/>
        </w:rPr>
      </w:pPr>
    </w:p>
    <w:p>
      <w:pPr>
        <w:jc w:val="both"/>
        <w:ind w:left="680" w:right="80" w:firstLine="642"/>
        <w:spacing w:after="0" w:line="28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Related Parties</w:t>
      </w:r>
      <w:r>
        <w:rPr>
          <w:rFonts w:ascii="Times New Roman" w:cs="Times New Roman" w:eastAsia="Times New Roman" w:hAnsi="Times New Roman"/>
          <w:sz w:val="19"/>
          <w:szCs w:val="19"/>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56" w:lineRule="exact"/>
        <w:rPr>
          <w:sz w:val="20"/>
          <w:szCs w:val="20"/>
          <w:color w:val="auto"/>
        </w:rPr>
      </w:pPr>
    </w:p>
    <w:p>
      <w:pPr>
        <w:jc w:val="both"/>
        <w:ind w:left="680" w:right="60" w:firstLine="642"/>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Governmental Body</w:t>
      </w:r>
      <w:r>
        <w:rPr>
          <w:rFonts w:ascii="Times New Roman" w:cs="Times New Roman" w:eastAsia="Times New Roman" w:hAnsi="Times New Roman"/>
          <w:sz w:val="20"/>
          <w:szCs w:val="20"/>
          <w:color w:val="auto"/>
        </w:rPr>
        <w:t>” means the FRB or the Federal Reserve Bank of New York, or a committee officially endorsed or convened by the FRB or the Federal Reserve Bank of New York, or any successor thereto.</w:t>
      </w:r>
    </w:p>
    <w:p>
      <w:pPr>
        <w:spacing w:after="0" w:line="178" w:lineRule="exact"/>
        <w:rPr>
          <w:sz w:val="20"/>
          <w:szCs w:val="20"/>
          <w:color w:val="auto"/>
        </w:rPr>
      </w:pPr>
    </w:p>
    <w:p>
      <w:pPr>
        <w:jc w:val="both"/>
        <w:ind w:left="680" w:right="80" w:firstLine="642"/>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Repricing Transaction</w:t>
      </w:r>
      <w:r>
        <w:rPr>
          <w:rFonts w:ascii="Times New Roman" w:cs="Times New Roman" w:eastAsia="Times New Roman" w:hAnsi="Times New Roman"/>
          <w:sz w:val="19"/>
          <w:szCs w:val="19"/>
          <w:color w:val="auto"/>
        </w:rPr>
        <w:t>” means (a) any prepayment or repayment of all or a portion of the Initial Term Loan with the proceeds of, or any conversion of any such Initial Term Loan into, any new or replacement bank Indebtedness or other credit facility (whether under this Agreement or otherwise), including, without limitation, any Refinancing Term Loans or Refinancing Notes, bearing interest with an All-In Yield less than the All-In Yield applicable to such Initial Term Loan subject to such event and</w:t>
      </w:r>
    </w:p>
    <w:p>
      <w:pPr>
        <w:spacing w:after="0" w:line="1" w:lineRule="exact"/>
        <w:rPr>
          <w:sz w:val="20"/>
          <w:szCs w:val="20"/>
          <w:color w:val="auto"/>
        </w:rPr>
      </w:pPr>
    </w:p>
    <w:p>
      <w:pPr>
        <w:ind w:left="680" w:right="80" w:firstLine="4"/>
        <w:spacing w:after="0" w:line="247" w:lineRule="auto"/>
        <w:tabs>
          <w:tab w:leader="none" w:pos="958"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repricing of any of the Initial Term Loan (whether pursuant to an amendment, amendment and restatement, mandatory assignment or otherwise) which reduces the All-In Yield applicable to all or a portion of such Initial Term Loan, in each case, other than in connection with the consummation of an Acquisition not permitted under this Agreement, an initial public offering of Centuri or the occurrence of a Change in Control (so long as the primary purpose of the prepayment or repayment of, or amendment to such Initial Term Loan in connection therewith is not to reduce the All-In Yield applicable to such Initial Term Loan as certified by a financial officer of Centuri in a certificate to the Administrative Agent (on which the Administrative Agent is expressly permitted to rely)).</w:t>
      </w:r>
    </w:p>
    <w:p>
      <w:pPr>
        <w:spacing w:after="0" w:line="180" w:lineRule="exact"/>
        <w:rPr>
          <w:sz w:val="20"/>
          <w:szCs w:val="20"/>
          <w:color w:val="auto"/>
        </w:rPr>
      </w:pPr>
    </w:p>
    <w:p>
      <w:pPr>
        <w:jc w:val="both"/>
        <w:ind w:left="680" w:right="60" w:firstLine="642"/>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Facility Lenders</w:t>
      </w:r>
      <w:r>
        <w:rPr>
          <w:rFonts w:ascii="Times New Roman" w:cs="Times New Roman" w:eastAsia="Times New Roman" w:hAnsi="Times New Roman"/>
          <w:sz w:val="20"/>
          <w:szCs w:val="20"/>
          <w:color w:val="auto"/>
        </w:rPr>
        <w:t>” means (a) for the Revolving Credit Facility, the Required Revolving Credit Lenders or (b) for the Term Loan Facility, the Required Term Loan Lenders, as applicable.</w:t>
      </w:r>
    </w:p>
    <w:p>
      <w:pPr>
        <w:spacing w:after="0" w:line="178" w:lineRule="exact"/>
        <w:rPr>
          <w:sz w:val="20"/>
          <w:szCs w:val="20"/>
          <w:color w:val="auto"/>
        </w:rPr>
      </w:pPr>
    </w:p>
    <w:p>
      <w:pPr>
        <w:jc w:val="both"/>
        <w:ind w:left="680" w:right="80" w:firstLine="642"/>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 means, at any time, two or more Lenders having Total Credit Exposures representing more than fifty percent (50%) of the Total Credit Exposures of all Lenders or, if the Commitments have been terminated, two or more Lenders holding more than fifty percent (50%) of the aggregate outstanding Extensions of Credit. The Total Credit Exposure of any Defaulting Lender shall be disregarded in determining Required Lenders at any time.</w:t>
      </w:r>
    </w:p>
    <w:p>
      <w:pPr>
        <w:spacing w:after="0" w:line="192" w:lineRule="exact"/>
        <w:rPr>
          <w:sz w:val="20"/>
          <w:szCs w:val="20"/>
          <w:color w:val="auto"/>
        </w:rPr>
      </w:pPr>
    </w:p>
    <w:p>
      <w:pPr>
        <w:jc w:val="both"/>
        <w:ind w:left="680" w:right="60" w:firstLine="642"/>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Revolving Credit Lenders</w:t>
      </w:r>
      <w:r>
        <w:rPr>
          <w:rFonts w:ascii="Times New Roman" w:cs="Times New Roman" w:eastAsia="Times New Roman" w:hAnsi="Times New Roman"/>
          <w:sz w:val="20"/>
          <w:szCs w:val="20"/>
          <w:color w:val="auto"/>
        </w:rPr>
        <w:t xml:space="preserve">” means, at any date, any combination of two or more Revolving Credit Lenders that are not Affiliates (except if there is only one Revolving Credit Lender) holding more than fifty percent (50%) of the sum of the aggregate amount of the Revolving Credit Commitment or, if the Revolving Credit Commitment has been terminated, any combination of Revolving Credit Lenders holding more than fifty percent (50%) of the aggregate Extensions of Credit under the Revolving Credit Facility;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Revolving Credit Commitment of, and the portion of the Extensions of Credit under the Revolving Credit Facility, as applicable, held or deemed held by, any Defaulting Lender shall be excluded for purposes of making a determination of Required Revolving Credit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tabs>
          <w:tab w:leader="none" w:pos="440" w:val="left"/>
        </w:tabs>
        <w:rPr>
          <w:sz w:val="20"/>
          <w:szCs w:val="20"/>
          <w:color w:val="auto"/>
        </w:rPr>
      </w:pPr>
      <w:r>
        <w:rPr>
          <w:sz w:val="1"/>
          <w:szCs w:val="1"/>
          <w:color w:val="auto"/>
        </w:rPr>
        <w:drawing>
          <wp:inline distT="0" distB="0" distL="0" distR="0">
            <wp:extent cx="8255" cy="101600"/>
            <wp:effectExtent l="0" t="0" r="0"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75">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69</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ectPr>
          <w:pgSz w:w="11900" w:h="16838" w:orient="portrait"/>
          <w:cols w:equalWidth="0" w:num="1">
            <w:col w:w="11140"/>
          </w:cols>
          <w:pgMar w:left="320" w:top="1440" w:right="439" w:bottom="1440" w:gutter="0" w:footer="0" w:header="0"/>
        </w:sectPr>
      </w:pPr>
    </w:p>
    <w:bookmarkStart w:id="218" w:name="page219"/>
    <w:bookmarkEnd w:id="218"/>
    <w:p>
      <w:pPr>
        <w:spacing w:after="0" w:line="202" w:lineRule="exact"/>
        <w:rPr>
          <w:sz w:val="20"/>
          <w:szCs w:val="20"/>
          <w:color w:val="auto"/>
        </w:rPr>
      </w:pPr>
    </w:p>
    <w:p>
      <w:pPr>
        <w:jc w:val="both"/>
        <w:ind w:left="620" w:right="60" w:firstLine="642"/>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Term Loan Lenders</w:t>
      </w:r>
      <w:r>
        <w:rPr>
          <w:rFonts w:ascii="Times New Roman" w:cs="Times New Roman" w:eastAsia="Times New Roman" w:hAnsi="Times New Roman"/>
          <w:sz w:val="20"/>
          <w:szCs w:val="20"/>
          <w:color w:val="auto"/>
        </w:rPr>
        <w:t>” means, at any time, Lenders having outstanding Term Loans, representing more than fifty percent (50%) of the sum of the aggregate outstanding Term Loans at such time. The outstanding Term Loans of any Defaulting Lender shall be disregarded in determining Required Term Loan Lenders at any time.</w:t>
      </w:r>
    </w:p>
    <w:p>
      <w:pPr>
        <w:spacing w:after="0" w:line="171" w:lineRule="exact"/>
        <w:rPr>
          <w:sz w:val="20"/>
          <w:szCs w:val="20"/>
          <w:color w:val="auto"/>
        </w:rPr>
      </w:pPr>
    </w:p>
    <w:p>
      <w:pPr>
        <w:jc w:val="both"/>
        <w:ind w:left="620" w:right="60" w:firstLine="642"/>
        <w:spacing w:after="0" w:line="27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Resolution Authority</w:t>
      </w:r>
      <w:r>
        <w:rPr>
          <w:rFonts w:ascii="Times New Roman" w:cs="Times New Roman" w:eastAsia="Times New Roman" w:hAnsi="Times New Roman"/>
          <w:sz w:val="20"/>
          <w:szCs w:val="20"/>
          <w:color w:val="auto"/>
        </w:rPr>
        <w:t>” means an EEA Resolution Authority or, with respect to any UK Financial Institution, a UK Resolution Authority.</w:t>
      </w:r>
    </w:p>
    <w:p>
      <w:pPr>
        <w:spacing w:after="0" w:line="151" w:lineRule="exact"/>
        <w:rPr>
          <w:sz w:val="20"/>
          <w:szCs w:val="20"/>
          <w:color w:val="auto"/>
        </w:rPr>
      </w:pPr>
    </w:p>
    <w:p>
      <w:pPr>
        <w:jc w:val="both"/>
        <w:ind w:left="620" w:right="60" w:firstLine="642"/>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Responsible Officer</w:t>
      </w:r>
      <w:r>
        <w:rPr>
          <w:rFonts w:ascii="Times New Roman" w:cs="Times New Roman" w:eastAsia="Times New Roman" w:hAnsi="Times New Roman"/>
          <w:sz w:val="20"/>
          <w:szCs w:val="20"/>
          <w:color w:val="auto"/>
        </w:rPr>
        <w:t>” means, as to any Person, the chief executive officer, president, chief financial officer, controller, treasurer or assistant treasurer of such Person or any other officer of such Person reasonably acceptable to the Administrative Agent. Any document delivered hereunder or under any other Loan Document that is signed by a Responsible Officer of a Person shall be conclusively presumed to have been authorized by all necessary corporate, partnership and/or other action on the part of such Person and such Responsible Officer shall be conclusively presumed to have acted on behalf of such Person.</w:t>
      </w:r>
    </w:p>
    <w:p>
      <w:pPr>
        <w:spacing w:after="0" w:line="2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Payment</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9.6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7F00"/>
        </w:rPr>
        <w:t>“Revaluation Date”</w:t>
      </w:r>
    </w:p>
    <w:p>
      <w:pPr>
        <w:spacing w:after="0" w:line="2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u w:val="single" w:color="auto"/>
          <w:color w:val="007F00"/>
        </w:rPr>
        <w:t xml:space="preserve">means, </w:t>
      </w:r>
      <w:r>
        <w:rPr>
          <w:rFonts w:ascii="Times New Roman" w:cs="Times New Roman" w:eastAsia="Times New Roman" w:hAnsi="Times New Roman"/>
          <w:sz w:val="20"/>
          <w:szCs w:val="20"/>
          <w:u w:val="single" w:color="auto"/>
          <w:color w:val="0000FF"/>
        </w:rPr>
        <w:t>subject to Section 1.10,</w:t>
      </w:r>
    </w:p>
    <w:p>
      <w:pPr>
        <w:spacing w:after="0" w:line="104" w:lineRule="exact"/>
        <w:rPr>
          <w:sz w:val="20"/>
          <w:szCs w:val="20"/>
          <w:color w:val="auto"/>
        </w:rPr>
      </w:pPr>
    </w:p>
    <w:p>
      <w:pPr>
        <w:jc w:val="both"/>
        <w:ind w:left="620" w:firstLine="642"/>
        <w:spacing w:after="0" w:line="250" w:lineRule="auto"/>
        <w:rPr>
          <w:sz w:val="20"/>
          <w:szCs w:val="20"/>
          <w:color w:val="auto"/>
        </w:rPr>
      </w:pPr>
      <w:r>
        <w:rPr>
          <w:rFonts w:ascii="Times New Roman" w:cs="Times New Roman" w:eastAsia="Times New Roman" w:hAnsi="Times New Roman"/>
          <w:sz w:val="20"/>
          <w:szCs w:val="20"/>
          <w:color w:val="007F00"/>
          <w:strike w:val="1"/>
        </w:rPr>
        <w:t>“</w:t>
      </w:r>
      <w:r>
        <w:rPr>
          <w:rFonts w:ascii="Times New Roman" w:cs="Times New Roman" w:eastAsia="Times New Roman" w:hAnsi="Times New Roman"/>
          <w:sz w:val="20"/>
          <w:szCs w:val="20"/>
          <w:u w:val="single" w:color="auto"/>
          <w:color w:val="007F00"/>
          <w:strike w:val="1"/>
        </w:rPr>
        <w:t>Revaluation Date</w:t>
      </w:r>
      <w:r>
        <w:rPr>
          <w:rFonts w:ascii="Times New Roman" w:cs="Times New Roman" w:eastAsia="Times New Roman" w:hAnsi="Times New Roman"/>
          <w:sz w:val="20"/>
          <w:szCs w:val="20"/>
          <w:color w:val="007F00"/>
          <w:strike w:val="1"/>
        </w:rPr>
        <w:t>” means,</w:t>
      </w:r>
      <w:r>
        <w:rPr>
          <w:rFonts w:ascii="Times New Roman" w:cs="Times New Roman" w:eastAsia="Times New Roman" w:hAnsi="Times New Roman"/>
          <w:sz w:val="20"/>
          <w:szCs w:val="20"/>
          <w:color w:val="007F00"/>
        </w:rPr>
        <w:t xml:space="preserve"> </w:t>
      </w:r>
      <w:r>
        <w:rPr>
          <w:rFonts w:ascii="Times New Roman" w:cs="Times New Roman" w:eastAsia="Times New Roman" w:hAnsi="Times New Roman"/>
          <w:sz w:val="20"/>
          <w:szCs w:val="20"/>
          <w:u w:val="single" w:color="auto"/>
          <w:color w:val="0000FF"/>
        </w:rPr>
        <w:t>(a)</w:t>
      </w:r>
      <w:r>
        <w:rPr>
          <w:rFonts w:ascii="Times New Roman" w:cs="Times New Roman" w:eastAsia="Times New Roman" w:hAnsi="Times New Roman"/>
          <w:sz w:val="20"/>
          <w:szCs w:val="20"/>
          <w:color w:val="007F00"/>
        </w:rPr>
        <w:t xml:space="preserve"> </w:t>
      </w:r>
      <w:r>
        <w:rPr>
          <w:rFonts w:ascii="Times New Roman" w:cs="Times New Roman" w:eastAsia="Times New Roman" w:hAnsi="Times New Roman"/>
          <w:sz w:val="20"/>
          <w:szCs w:val="20"/>
          <w:color w:val="000000"/>
        </w:rPr>
        <w:t>with respect to any</w:t>
      </w:r>
      <w:r>
        <w:rPr>
          <w:rFonts w:ascii="Times New Roman" w:cs="Times New Roman" w:eastAsia="Times New Roman" w:hAnsi="Times New Roman"/>
          <w:sz w:val="20"/>
          <w:szCs w:val="20"/>
          <w:color w:val="007F00"/>
        </w:rPr>
        <w:t xml:space="preserve"> </w:t>
      </w:r>
      <w:r>
        <w:rPr>
          <w:rFonts w:ascii="Times New Roman" w:cs="Times New Roman" w:eastAsia="Times New Roman" w:hAnsi="Times New Roman"/>
          <w:sz w:val="20"/>
          <w:szCs w:val="20"/>
          <w:color w:val="FF0000"/>
          <w:strike w:val="1"/>
        </w:rPr>
        <w:t>Extension of</w:t>
      </w:r>
      <w:r>
        <w:rPr>
          <w:rFonts w:ascii="Times New Roman" w:cs="Times New Roman" w:eastAsia="Times New Roman" w:hAnsi="Times New Roman"/>
          <w:sz w:val="20"/>
          <w:szCs w:val="20"/>
          <w:u w:val="single" w:color="auto"/>
          <w:color w:val="0000FF"/>
        </w:rPr>
        <w:t>Canadian Revolving</w:t>
      </w:r>
      <w:r>
        <w:rPr>
          <w:rFonts w:ascii="Times New Roman" w:cs="Times New Roman" w:eastAsia="Times New Roman" w:hAnsi="Times New Roman"/>
          <w:sz w:val="20"/>
          <w:szCs w:val="20"/>
          <w:color w:val="007F00"/>
        </w:rPr>
        <w:t xml:space="preserve"> </w:t>
      </w:r>
      <w:r>
        <w:rPr>
          <w:rFonts w:ascii="Times New Roman" w:cs="Times New Roman" w:eastAsia="Times New Roman" w:hAnsi="Times New Roman"/>
          <w:sz w:val="20"/>
          <w:szCs w:val="20"/>
          <w:color w:val="000000"/>
        </w:rPr>
        <w:t>Credit</w:t>
      </w:r>
      <w:r>
        <w:rPr>
          <w:rFonts w:ascii="Times New Roman" w:cs="Times New Roman" w:eastAsia="Times New Roman" w:hAnsi="Times New Roman"/>
          <w:sz w:val="20"/>
          <w:szCs w:val="20"/>
          <w:color w:val="007F00"/>
        </w:rPr>
        <w:t xml:space="preserve"> </w:t>
      </w:r>
      <w:r>
        <w:rPr>
          <w:rFonts w:ascii="Times New Roman" w:cs="Times New Roman" w:eastAsia="Times New Roman" w:hAnsi="Times New Roman"/>
          <w:sz w:val="20"/>
          <w:szCs w:val="20"/>
          <w:u w:val="single" w:color="auto"/>
          <w:color w:val="0000FF"/>
        </w:rPr>
        <w:t>Loan</w:t>
      </w:r>
      <w:r>
        <w:rPr>
          <w:rFonts w:ascii="Times New Roman" w:cs="Times New Roman" w:eastAsia="Times New Roman" w:hAnsi="Times New Roman"/>
          <w:sz w:val="20"/>
          <w:szCs w:val="20"/>
          <w:color w:val="000000"/>
        </w:rPr>
        <w:t>, each of the following: (</w:t>
      </w:r>
      <w:r>
        <w:rPr>
          <w:rFonts w:ascii="Times New Roman" w:cs="Times New Roman" w:eastAsia="Times New Roman" w:hAnsi="Times New Roman"/>
          <w:sz w:val="20"/>
          <w:szCs w:val="20"/>
          <w:color w:val="FF0000"/>
          <w:strike w:val="1"/>
        </w:rPr>
        <w:t>a</w:t>
      </w:r>
      <w:r>
        <w:rPr>
          <w:rFonts w:ascii="Times New Roman" w:cs="Times New Roman" w:eastAsia="Times New Roman" w:hAnsi="Times New Roman"/>
          <w:sz w:val="20"/>
          <w:szCs w:val="20"/>
          <w:color w:val="0000FF"/>
        </w:rPr>
        <w:t>i</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7F00"/>
        </w:rPr>
        <w:t xml:space="preserve"> </w:t>
      </w:r>
      <w:r>
        <w:rPr>
          <w:rFonts w:ascii="Times New Roman" w:cs="Times New Roman" w:eastAsia="Times New Roman" w:hAnsi="Times New Roman"/>
          <w:sz w:val="20"/>
          <w:szCs w:val="20"/>
          <w:color w:val="FF0000"/>
          <w:strike w:val="1"/>
        </w:rPr>
        <w:t>each</w:t>
      </w:r>
      <w:r>
        <w:rPr>
          <w:rFonts w:ascii="Times New Roman" w:cs="Times New Roman" w:eastAsia="Times New Roman" w:hAnsi="Times New Roman"/>
          <w:sz w:val="20"/>
          <w:szCs w:val="20"/>
          <w:u w:val="single" w:color="auto"/>
          <w:color w:val="0000FF"/>
        </w:rPr>
        <w:t>the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date of</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a</w:t>
      </w:r>
      <w:r>
        <w:rPr>
          <w:rFonts w:ascii="Times New Roman" w:cs="Times New Roman" w:eastAsia="Times New Roman" w:hAnsi="Times New Roman"/>
          <w:sz w:val="20"/>
          <w:szCs w:val="20"/>
          <w:u w:val="single" w:color="auto"/>
          <w:color w:val="0000FF"/>
        </w:rPr>
        <w:t>the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borrowing</w:t>
      </w:r>
      <w:r>
        <w:rPr>
          <w:rFonts w:ascii="Times New Roman" w:cs="Times New Roman" w:eastAsia="Times New Roman" w:hAnsi="Times New Roman"/>
          <w:sz w:val="20"/>
          <w:szCs w:val="20"/>
          <w:color w:val="FF0000"/>
          <w:strike w:val="1"/>
        </w:rPr>
        <w:t>, conversion or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7F00"/>
          <w:strike w:val="1"/>
        </w:rPr>
        <w:t>continuation of</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any</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FF"/>
        </w:rPr>
        <w:t>of such</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Loan, but only as to the amounts so borrowed on such</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date</w:t>
      </w:r>
      <w:r>
        <w:rPr>
          <w:rFonts w:ascii="Times New Roman" w:cs="Times New Roman" w:eastAsia="Times New Roman" w:hAnsi="Times New Roman"/>
          <w:sz w:val="20"/>
          <w:szCs w:val="20"/>
          <w:color w:val="FF0000"/>
        </w:rPr>
        <w:t>,</w:t>
      </w:r>
      <w:r>
        <w:rPr>
          <w:rFonts w:ascii="Times New Roman" w:cs="Times New Roman" w:eastAsia="Times New Roman" w:hAnsi="Times New Roman"/>
          <w:sz w:val="20"/>
          <w:szCs w:val="20"/>
          <w:color w:val="0000FF"/>
        </w:rPr>
        <w:t>;</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FF0000"/>
          <w:strike w:val="1"/>
        </w:rPr>
        <w:t>b</w:t>
      </w:r>
      <w:r>
        <w:rPr>
          <w:rFonts w:ascii="Times New Roman" w:cs="Times New Roman" w:eastAsia="Times New Roman" w:hAnsi="Times New Roman"/>
          <w:sz w:val="20"/>
          <w:szCs w:val="20"/>
          <w:u w:val="single" w:color="auto"/>
          <w:color w:val="0000FF"/>
        </w:rPr>
        <w:t>ii</w:t>
      </w:r>
      <w:r>
        <w:rPr>
          <w:rFonts w:ascii="Times New Roman" w:cs="Times New Roman" w:eastAsia="Times New Roman" w:hAnsi="Times New Roman"/>
          <w:sz w:val="20"/>
          <w:szCs w:val="20"/>
          <w:color w:val="000000"/>
        </w:rPr>
        <w:t xml:space="preserve">) each date of </w:t>
      </w:r>
      <w:r>
        <w:rPr>
          <w:rFonts w:ascii="Times New Roman" w:cs="Times New Roman" w:eastAsia="Times New Roman" w:hAnsi="Times New Roman"/>
          <w:sz w:val="20"/>
          <w:szCs w:val="20"/>
          <w:color w:val="FF0000"/>
          <w:strike w:val="1"/>
        </w:rPr>
        <w:t>issuance of any</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007F00"/>
          <w:strike w:val="1"/>
        </w:rPr>
        <w:t>Letter of Credit</w:t>
      </w:r>
      <w:r>
        <w:rPr>
          <w:rFonts w:ascii="Times New Roman" w:cs="Times New Roman" w:eastAsia="Times New Roman" w:hAnsi="Times New Roman"/>
          <w:sz w:val="20"/>
          <w:szCs w:val="20"/>
          <w:u w:val="single" w:color="auto"/>
          <w:color w:val="0000FF"/>
        </w:rPr>
        <w:t>a</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7F00"/>
        </w:rPr>
        <w:t>continuation of</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such Loan pursuant to the terms of this Agreement</w:t>
      </w:r>
      <w:r>
        <w:rPr>
          <w:rFonts w:ascii="Times New Roman" w:cs="Times New Roman" w:eastAsia="Times New Roman" w:hAnsi="Times New Roman"/>
          <w:sz w:val="20"/>
          <w:szCs w:val="20"/>
          <w:color w:val="000000"/>
        </w:rPr>
        <w:t xml:space="preserve">, but only as to the </w:t>
      </w:r>
      <w:r>
        <w:rPr>
          <w:rFonts w:ascii="Times New Roman" w:cs="Times New Roman" w:eastAsia="Times New Roman" w:hAnsi="Times New Roman"/>
          <w:sz w:val="20"/>
          <w:szCs w:val="20"/>
          <w:color w:val="007F00"/>
          <w:strike w:val="1"/>
        </w:rPr>
        <w:t>Letter of Credit</w:t>
      </w:r>
      <w:r>
        <w:rPr>
          <w:rFonts w:ascii="Times New Roman" w:cs="Times New Roman" w:eastAsia="Times New Roman" w:hAnsi="Times New Roman"/>
          <w:sz w:val="20"/>
          <w:szCs w:val="20"/>
          <w:u w:val="single" w:color="auto"/>
          <w:color w:val="0000FF"/>
        </w:rPr>
        <w:t>amounts</w:t>
      </w:r>
      <w:r>
        <w:rPr>
          <w:rFonts w:ascii="Times New Roman" w:cs="Times New Roman" w:eastAsia="Times New Roman" w:hAnsi="Times New Roman"/>
          <w:sz w:val="20"/>
          <w:szCs w:val="20"/>
          <w:color w:val="000000"/>
        </w:rPr>
        <w:t xml:space="preserve"> so </w:t>
      </w:r>
      <w:r>
        <w:rPr>
          <w:rFonts w:ascii="Times New Roman" w:cs="Times New Roman" w:eastAsia="Times New Roman" w:hAnsi="Times New Roman"/>
          <w:sz w:val="20"/>
          <w:szCs w:val="20"/>
          <w:color w:val="FF0000"/>
          <w:strike w:val="1"/>
        </w:rPr>
        <w:t>issued, amended or extended</w:t>
      </w:r>
      <w:r>
        <w:rPr>
          <w:rFonts w:ascii="Times New Roman" w:cs="Times New Roman" w:eastAsia="Times New Roman" w:hAnsi="Times New Roman"/>
          <w:sz w:val="20"/>
          <w:szCs w:val="20"/>
          <w:u w:val="single" w:color="auto"/>
          <w:color w:val="0000FF"/>
        </w:rPr>
        <w:t>continued</w:t>
      </w:r>
      <w:r>
        <w:rPr>
          <w:rFonts w:ascii="Times New Roman" w:cs="Times New Roman" w:eastAsia="Times New Roman" w:hAnsi="Times New Roman"/>
          <w:sz w:val="20"/>
          <w:szCs w:val="20"/>
          <w:color w:val="000000"/>
        </w:rPr>
        <w:t xml:space="preserve"> on such date</w:t>
      </w:r>
      <w:r>
        <w:rPr>
          <w:rFonts w:ascii="Times New Roman" w:cs="Times New Roman" w:eastAsia="Times New Roman" w:hAnsi="Times New Roman"/>
          <w:sz w:val="20"/>
          <w:szCs w:val="20"/>
          <w:color w:val="FF0000"/>
        </w:rPr>
        <w:t>,</w:t>
      </w:r>
      <w:r>
        <w:rPr>
          <w:rFonts w:ascii="Times New Roman" w:cs="Times New Roman" w:eastAsia="Times New Roman" w:hAnsi="Times New Roman"/>
          <w:sz w:val="20"/>
          <w:szCs w:val="20"/>
          <w:color w:val="0000FF"/>
        </w:rPr>
        <w:t>;</w:t>
      </w:r>
      <w:r>
        <w:rPr>
          <w:rFonts w:ascii="Times New Roman" w:cs="Times New Roman" w:eastAsia="Times New Roman" w:hAnsi="Times New Roman"/>
          <w:sz w:val="20"/>
          <w:szCs w:val="20"/>
          <w:color w:val="000000"/>
        </w:rPr>
        <w:t xml:space="preserve"> and (</w:t>
      </w:r>
      <w:r>
        <w:rPr>
          <w:rFonts w:ascii="Times New Roman" w:cs="Times New Roman" w:eastAsia="Times New Roman" w:hAnsi="Times New Roman"/>
          <w:sz w:val="20"/>
          <w:szCs w:val="20"/>
          <w:color w:val="FF0000"/>
          <w:strike w:val="1"/>
        </w:rPr>
        <w:t>c</w:t>
      </w:r>
      <w:r>
        <w:rPr>
          <w:rFonts w:ascii="Times New Roman" w:cs="Times New Roman" w:eastAsia="Times New Roman" w:hAnsi="Times New Roman"/>
          <w:sz w:val="20"/>
          <w:szCs w:val="20"/>
          <w:u w:val="single" w:color="auto"/>
          <w:color w:val="0000FF"/>
        </w:rPr>
        <w:t>iii</w:t>
      </w:r>
      <w:r>
        <w:rPr>
          <w:rFonts w:ascii="Times New Roman" w:cs="Times New Roman" w:eastAsia="Times New Roman" w:hAnsi="Times New Roman"/>
          <w:sz w:val="20"/>
          <w:szCs w:val="20"/>
          <w:color w:val="000000"/>
        </w:rPr>
        <w:t xml:space="preserve">) such additional dates as the Administrative Agent shall determine </w:t>
      </w:r>
      <w:r>
        <w:rPr>
          <w:rFonts w:ascii="Times New Roman" w:cs="Times New Roman" w:eastAsia="Times New Roman" w:hAnsi="Times New Roman"/>
          <w:sz w:val="20"/>
          <w:szCs w:val="20"/>
          <w:color w:val="FF0000"/>
        </w:rPr>
        <w:t>or the Required Lenders shall require.</w:t>
      </w:r>
      <w:r>
        <w:rPr>
          <w:rFonts w:ascii="Times New Roman" w:cs="Times New Roman" w:eastAsia="Times New Roman" w:hAnsi="Times New Roman"/>
          <w:sz w:val="20"/>
          <w:szCs w:val="20"/>
          <w:u w:val="single" w:color="auto"/>
          <w:color w:val="0000FF"/>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2273300</wp:posOffset>
            </wp:positionH>
            <wp:positionV relativeFrom="paragraph">
              <wp:posOffset>-83185</wp:posOffset>
            </wp:positionV>
            <wp:extent cx="19183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76">
                      <a:extLst>
                        <a:ext uri="{28A0092B-C50C-407E-A947-70E740481C1C}"/>
                      </a:extLst>
                    </a:blip>
                    <a:srcRect/>
                    <a:stretch>
                      <a:fillRect/>
                    </a:stretch>
                  </pic:blipFill>
                  <pic:spPr bwMode="auto">
                    <a:xfrm>
                      <a:off x="0" y="0"/>
                      <a:ext cx="1918335" cy="8255"/>
                    </a:xfrm>
                    <a:prstGeom prst="rect">
                      <a:avLst/>
                    </a:prstGeom>
                    <a:noFill/>
                  </pic:spPr>
                </pic:pic>
              </a:graphicData>
            </a:graphic>
          </wp:anchor>
        </w:drawing>
      </w:r>
    </w:p>
    <w:p>
      <w:pPr>
        <w:spacing w:after="0" w:line="160" w:lineRule="exact"/>
        <w:rPr>
          <w:sz w:val="20"/>
          <w:szCs w:val="20"/>
          <w:color w:val="auto"/>
        </w:rPr>
      </w:pPr>
    </w:p>
    <w:p>
      <w:pPr>
        <w:jc w:val="both"/>
        <w:ind w:left="620" w:right="60" w:firstLine="646"/>
        <w:spacing w:after="0" w:line="254" w:lineRule="auto"/>
        <w:tabs>
          <w:tab w:leader="none" w:pos="1539" w:val="left"/>
        </w:tabs>
        <w:numPr>
          <w:ilvl w:val="0"/>
          <w:numId w:val="97"/>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 xml:space="preserve">with respect to any Canadian </w:t>
      </w:r>
      <w:r>
        <w:rPr>
          <w:rFonts w:ascii="Times New Roman" w:cs="Times New Roman" w:eastAsia="Times New Roman" w:hAnsi="Times New Roman"/>
          <w:sz w:val="20"/>
          <w:szCs w:val="20"/>
          <w:u w:val="single" w:color="auto"/>
          <w:color w:val="007F00"/>
        </w:rPr>
        <w:t>Letter of Credit</w:t>
      </w:r>
      <w:r>
        <w:rPr>
          <w:rFonts w:ascii="Times New Roman" w:cs="Times New Roman" w:eastAsia="Times New Roman" w:hAnsi="Times New Roman"/>
          <w:sz w:val="20"/>
          <w:szCs w:val="20"/>
          <w:u w:val="single" w:color="auto"/>
          <w:color w:val="0000FF"/>
        </w:rPr>
        <w:t xml:space="preserve">, each of the following: (i) each date of issuance of such </w:t>
      </w:r>
      <w:r>
        <w:rPr>
          <w:rFonts w:ascii="Times New Roman" w:cs="Times New Roman" w:eastAsia="Times New Roman" w:hAnsi="Times New Roman"/>
          <w:sz w:val="20"/>
          <w:szCs w:val="20"/>
          <w:u w:val="single" w:color="auto"/>
          <w:color w:val="007F00"/>
        </w:rPr>
        <w:t>Letter of Credit</w:t>
      </w:r>
      <w:r>
        <w:rPr>
          <w:rFonts w:ascii="Times New Roman" w:cs="Times New Roman" w:eastAsia="Times New Roman" w:hAnsi="Times New Roman"/>
          <w:sz w:val="20"/>
          <w:szCs w:val="20"/>
          <w:u w:val="single" w:color="auto"/>
          <w:color w:val="0000FF"/>
        </w:rPr>
        <w:t>, but only as to the stated amount of the Letter of Credit so issued on such date; (ii) each date of the borrowing (or deemed borrowing) of a Revolving Credit Loan in respect of any unreimbursed portion of any payment by the applicable Issuing Lender under any Canadian Letter of Credit, but only as to the stated amount of the unreimbursed amount of such Letter of Credit; and (iii) such additional dates as the Administrative Agent shall determine.</w:t>
      </w:r>
    </w:p>
    <w:p>
      <w:pPr>
        <w:spacing w:after="0" w:line="174" w:lineRule="exact"/>
        <w:rPr>
          <w:sz w:val="20"/>
          <w:szCs w:val="20"/>
          <w:color w:val="auto"/>
        </w:rPr>
      </w:pPr>
    </w:p>
    <w:p>
      <w:pPr>
        <w:jc w:val="both"/>
        <w:ind w:left="620" w:right="20" w:firstLine="642"/>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Commitment</w:t>
      </w:r>
      <w:r>
        <w:rPr>
          <w:rFonts w:ascii="Times New Roman" w:cs="Times New Roman" w:eastAsia="Times New Roman" w:hAnsi="Times New Roman"/>
          <w:sz w:val="20"/>
          <w:szCs w:val="20"/>
          <w:color w:val="auto"/>
        </w:rPr>
        <w:t xml:space="preserve">” means (a) as to any Revolving Credit Lender, the obligation of such Revolving Credit Lender to make Revolving Credit Loans to, and to purchase participations in L/C Obligations and Swingline Loans for the account of, the Borrowers hereunder in an aggregate principal amount at any time outstanding not to exceed the amount set forth opposite such Revolving Credit Lender’s name on the Register, as such amount may be modified at any time or from time to time pursuant to the terms hereof (including, without limitation, </w:t>
      </w:r>
      <w:r>
        <w:rPr>
          <w:rFonts w:ascii="Times New Roman" w:cs="Times New Roman" w:eastAsia="Times New Roman" w:hAnsi="Times New Roman"/>
          <w:sz w:val="20"/>
          <w:szCs w:val="20"/>
          <w:u w:val="single" w:color="auto"/>
          <w:color w:val="auto"/>
        </w:rPr>
        <w:t>Section 5.13</w:t>
      </w:r>
      <w:r>
        <w:rPr>
          <w:rFonts w:ascii="Times New Roman" w:cs="Times New Roman" w:eastAsia="Times New Roman" w:hAnsi="Times New Roman"/>
          <w:sz w:val="20"/>
          <w:szCs w:val="20"/>
          <w:color w:val="auto"/>
        </w:rPr>
        <w:t xml:space="preserve">) and (b) as to all Revolving Credit Lenders, the aggregate commitment of all Revolving Credit Lenders to make Revolving Credit Loans, as such amount may be modified at any time or from time to time pursuant to the terms hereof (including, without limitation, </w:t>
      </w:r>
      <w:r>
        <w:rPr>
          <w:rFonts w:ascii="Times New Roman" w:cs="Times New Roman" w:eastAsia="Times New Roman" w:hAnsi="Times New Roman"/>
          <w:sz w:val="20"/>
          <w:szCs w:val="20"/>
          <w:u w:val="single" w:color="auto"/>
          <w:color w:val="auto"/>
        </w:rPr>
        <w:t>Section 5.13</w:t>
      </w:r>
      <w:r>
        <w:rPr>
          <w:rFonts w:ascii="Times New Roman" w:cs="Times New Roman" w:eastAsia="Times New Roman" w:hAnsi="Times New Roman"/>
          <w:sz w:val="20"/>
          <w:szCs w:val="20"/>
          <w:color w:val="auto"/>
        </w:rPr>
        <w:t xml:space="preserve">). The aggregate Revolving Credit Commitment of all the Revolving Credit Lenders on the Closing Date shall be $400,000,000. The initial Revolving Credit Commitment of each Revolving Credit Lender on the Closing Date is set forth opposite the name of such Lender on </w:t>
      </w:r>
      <w:r>
        <w:rPr>
          <w:rFonts w:ascii="Times New Roman" w:cs="Times New Roman" w:eastAsia="Times New Roman" w:hAnsi="Times New Roman"/>
          <w:sz w:val="20"/>
          <w:szCs w:val="20"/>
          <w:u w:val="single" w:color="auto"/>
          <w:color w:val="auto"/>
        </w:rPr>
        <w:t>Schedule 1.1(a)</w:t>
      </w:r>
      <w:r>
        <w:rPr>
          <w:rFonts w:ascii="Times New Roman" w:cs="Times New Roman" w:eastAsia="Times New Roman" w:hAnsi="Times New Roman"/>
          <w:sz w:val="20"/>
          <w:szCs w:val="20"/>
          <w:color w:val="auto"/>
        </w:rPr>
        <w:t>. The Revolving Credit Commitment of any Lender shall include the Extended Revolving Credit Commitment and Refinancing Revolving Credit Commitment of such Lender.</w:t>
      </w:r>
    </w:p>
    <w:p>
      <w:pPr>
        <w:spacing w:after="0" w:line="200" w:lineRule="exact"/>
        <w:rPr>
          <w:sz w:val="20"/>
          <w:szCs w:val="20"/>
          <w:color w:val="auto"/>
        </w:rPr>
      </w:pPr>
    </w:p>
    <w:p>
      <w:pPr>
        <w:spacing w:after="0" w:line="39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70</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-34290</wp:posOffset>
            </wp:positionV>
            <wp:extent cx="8255" cy="1016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77">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1060"/>
          </w:cols>
          <w:pgMar w:left="380" w:top="1440" w:right="459" w:bottom="1440" w:gutter="0" w:footer="0" w:header="0"/>
        </w:sectPr>
      </w:pPr>
    </w:p>
    <w:bookmarkStart w:id="219" w:name="page220"/>
    <w:bookmarkEnd w:id="219"/>
    <w:p>
      <w:pPr>
        <w:spacing w:after="0" w:line="81" w:lineRule="exact"/>
        <w:rPr>
          <w:sz w:val="20"/>
          <w:szCs w:val="20"/>
          <w:color w:val="auto"/>
        </w:rPr>
      </w:pPr>
    </w:p>
    <w:p>
      <w:pPr>
        <w:jc w:val="both"/>
        <w:ind w:left="620" w:firstLine="642"/>
        <w:spacing w:after="0" w:line="26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Commitment Percentage</w:t>
      </w:r>
      <w:r>
        <w:rPr>
          <w:rFonts w:ascii="Times New Roman" w:cs="Times New Roman" w:eastAsia="Times New Roman" w:hAnsi="Times New Roman"/>
          <w:sz w:val="20"/>
          <w:szCs w:val="20"/>
          <w:color w:val="auto"/>
        </w:rPr>
        <w:t>” means, with respect to any Revolving Credit Lender at any time, the percentage of the total Revolving Credit Commitments of all the Revolving Credit Lenders represented by such Revolving Credit Lender’s Revolving Credit Commitment. If the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71</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-43180</wp:posOffset>
            </wp:positionV>
            <wp:extent cx="8255" cy="1016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78">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1040"/>
          </w:cols>
          <w:pgMar w:left="380" w:top="1440" w:right="479" w:bottom="1440" w:gutter="0" w:footer="0" w:header="0"/>
        </w:sectPr>
      </w:pPr>
    </w:p>
    <w:bookmarkStart w:id="220" w:name="page221"/>
    <w:bookmarkEnd w:id="220"/>
    <w:p>
      <w:pPr>
        <w:spacing w:after="0" w:line="202" w:lineRule="exact"/>
        <w:rPr>
          <w:sz w:val="20"/>
          <w:szCs w:val="20"/>
          <w:color w:val="auto"/>
        </w:rPr>
      </w:pPr>
    </w:p>
    <w:p>
      <w:pPr>
        <w:jc w:val="both"/>
        <w:ind w:left="620" w:right="60"/>
        <w:spacing w:after="0" w:line="257" w:lineRule="auto"/>
        <w:rPr>
          <w:sz w:val="20"/>
          <w:szCs w:val="20"/>
          <w:color w:val="auto"/>
        </w:rPr>
      </w:pPr>
      <w:r>
        <w:rPr>
          <w:rFonts w:ascii="Times New Roman" w:cs="Times New Roman" w:eastAsia="Times New Roman" w:hAnsi="Times New Roman"/>
          <w:sz w:val="20"/>
          <w:szCs w:val="20"/>
          <w:color w:val="auto"/>
        </w:rPr>
        <w:t xml:space="preserve">Credit Commitments have terminated or expired, the Revolving Credit Commitment Percentages shall be determined based upon the Revolving Credit Commitments most recently in effect, giving effect to any assignments. The initial Revolving Credit Commitment of each Revolving Credit Lender is set forth opposite the name of such Lender on </w:t>
      </w:r>
      <w:r>
        <w:rPr>
          <w:rFonts w:ascii="Times New Roman" w:cs="Times New Roman" w:eastAsia="Times New Roman" w:hAnsi="Times New Roman"/>
          <w:sz w:val="20"/>
          <w:szCs w:val="20"/>
          <w:u w:val="single" w:color="auto"/>
          <w:color w:val="auto"/>
        </w:rPr>
        <w:t>Schedule 1.1(a)</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jc w:val="both"/>
        <w:ind w:left="620" w:right="60" w:firstLine="642"/>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Exposure</w:t>
      </w:r>
      <w:r>
        <w:rPr>
          <w:rFonts w:ascii="Times New Roman" w:cs="Times New Roman" w:eastAsia="Times New Roman" w:hAnsi="Times New Roman"/>
          <w:sz w:val="20"/>
          <w:szCs w:val="20"/>
          <w:color w:val="auto"/>
        </w:rPr>
        <w:t>” means, as to any Revolving Credit Lender at any time, the aggregate principal amount at such time of its outstanding Revolving Credit Loans and such Revolving Credit Lender’s participation in L/C Obligations and Swingline Loans at such time.</w:t>
      </w:r>
    </w:p>
    <w:p>
      <w:pPr>
        <w:spacing w:after="0" w:line="184" w:lineRule="exact"/>
        <w:rPr>
          <w:sz w:val="20"/>
          <w:szCs w:val="20"/>
          <w:color w:val="auto"/>
        </w:rPr>
      </w:pPr>
    </w:p>
    <w:p>
      <w:pPr>
        <w:jc w:val="both"/>
        <w:ind w:left="620" w:right="40" w:firstLine="642"/>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Facility</w:t>
      </w:r>
      <w:r>
        <w:rPr>
          <w:rFonts w:ascii="Times New Roman" w:cs="Times New Roman" w:eastAsia="Times New Roman" w:hAnsi="Times New Roman"/>
          <w:sz w:val="20"/>
          <w:szCs w:val="20"/>
          <w:color w:val="auto"/>
        </w:rPr>
        <w:t xml:space="preserve">” means the revolving credit facility established pursuant to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(including any increase in such revolving credit facility established pursuant to </w:t>
      </w:r>
      <w:r>
        <w:rPr>
          <w:rFonts w:ascii="Times New Roman" w:cs="Times New Roman" w:eastAsia="Times New Roman" w:hAnsi="Times New Roman"/>
          <w:sz w:val="20"/>
          <w:szCs w:val="20"/>
          <w:u w:val="single" w:color="auto"/>
          <w:color w:val="auto"/>
        </w:rPr>
        <w:t>Section 5.13</w:t>
      </w:r>
      <w:r>
        <w:rPr>
          <w:rFonts w:ascii="Times New Roman" w:cs="Times New Roman" w:eastAsia="Times New Roman" w:hAnsi="Times New Roman"/>
          <w:sz w:val="20"/>
          <w:szCs w:val="20"/>
          <w:color w:val="auto"/>
        </w:rPr>
        <w:t xml:space="preserve">, any Refinance pursuant to </w:t>
      </w:r>
      <w:r>
        <w:rPr>
          <w:rFonts w:ascii="Times New Roman" w:cs="Times New Roman" w:eastAsia="Times New Roman" w:hAnsi="Times New Roman"/>
          <w:sz w:val="20"/>
          <w:szCs w:val="20"/>
          <w:u w:val="single" w:color="auto"/>
          <w:color w:val="auto"/>
        </w:rPr>
        <w:t>Section 5.18</w:t>
      </w:r>
      <w:r>
        <w:rPr>
          <w:rFonts w:ascii="Times New Roman" w:cs="Times New Roman" w:eastAsia="Times New Roman" w:hAnsi="Times New Roman"/>
          <w:sz w:val="20"/>
          <w:szCs w:val="20"/>
          <w:color w:val="auto"/>
        </w:rPr>
        <w:t xml:space="preserve"> and any Extension pursuant to </w:t>
      </w:r>
      <w:r>
        <w:rPr>
          <w:rFonts w:ascii="Times New Roman" w:cs="Times New Roman" w:eastAsia="Times New Roman" w:hAnsi="Times New Roman"/>
          <w:sz w:val="20"/>
          <w:szCs w:val="20"/>
          <w:u w:val="single" w:color="auto"/>
          <w:color w:val="auto"/>
        </w:rPr>
        <w:t>Section 5.19</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Lenders</w:t>
      </w:r>
      <w:r>
        <w:rPr>
          <w:rFonts w:ascii="Times New Roman" w:cs="Times New Roman" w:eastAsia="Times New Roman" w:hAnsi="Times New Roman"/>
          <w:sz w:val="20"/>
          <w:szCs w:val="20"/>
          <w:color w:val="auto"/>
        </w:rPr>
        <w:t>” means, collectively, all of the Lenders with a Revolving Credit Commitment. With respect to</w:t>
      </w:r>
    </w:p>
    <w:p>
      <w:pPr>
        <w:spacing w:after="0" w:line="25" w:lineRule="exact"/>
        <w:rPr>
          <w:sz w:val="20"/>
          <w:szCs w:val="20"/>
          <w:color w:val="auto"/>
        </w:rPr>
      </w:pPr>
    </w:p>
    <w:p>
      <w:pPr>
        <w:jc w:val="both"/>
        <w:ind w:left="620" w:right="60" w:firstLine="4"/>
        <w:spacing w:after="0" w:line="267" w:lineRule="auto"/>
        <w:tabs>
          <w:tab w:leader="none" w:pos="887"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provision of this Agreement relating to the making or the repayment of any Canadian Revolving Credit Loan, (b) any rights of set-off, (c) any rights of indemnification or expense reimbursement and (d) reserves, capital adequacy or other provisions, each reference to a “Revolving Credit Lender” shall be deemed to include such Revolving Credit Lender’s Applicable Designee with respect to the portion of such Revolving Credit Lender’s Commitment funded by such Applicable Designee.</w:t>
      </w:r>
    </w:p>
    <w:p>
      <w:pPr>
        <w:spacing w:after="0" w:line="1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Loan</w:t>
      </w:r>
      <w:r>
        <w:rPr>
          <w:rFonts w:ascii="Times New Roman" w:cs="Times New Roman" w:eastAsia="Times New Roman" w:hAnsi="Times New Roman"/>
          <w:sz w:val="20"/>
          <w:szCs w:val="20"/>
          <w:color w:val="auto"/>
        </w:rPr>
        <w:t>” means, collectively, all US Revolving Credit Loans and all Canadian Revolving Credit Loans.</w:t>
      </w:r>
    </w:p>
    <w:p>
      <w:pPr>
        <w:spacing w:after="0" w:line="211" w:lineRule="exact"/>
        <w:rPr>
          <w:sz w:val="20"/>
          <w:szCs w:val="20"/>
          <w:color w:val="auto"/>
        </w:rPr>
      </w:pPr>
    </w:p>
    <w:p>
      <w:pPr>
        <w:jc w:val="both"/>
        <w:ind w:left="620" w:right="20" w:firstLine="642"/>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Revolving Credit Maturity Date</w:t>
      </w:r>
      <w:r>
        <w:rPr>
          <w:rFonts w:ascii="Times New Roman" w:cs="Times New Roman" w:eastAsia="Times New Roman" w:hAnsi="Times New Roman"/>
          <w:sz w:val="19"/>
          <w:szCs w:val="19"/>
          <w:color w:val="auto"/>
        </w:rPr>
        <w:t xml:space="preserve">” means the earliest to occur of (a) August 27, 2026, (b) the date of termination of the entire Revolving Credit Commitment by the US Borrowers pursuant to </w:t>
      </w:r>
      <w:r>
        <w:rPr>
          <w:rFonts w:ascii="Times New Roman" w:cs="Times New Roman" w:eastAsia="Times New Roman" w:hAnsi="Times New Roman"/>
          <w:sz w:val="19"/>
          <w:szCs w:val="19"/>
          <w:u w:val="single" w:color="auto"/>
          <w:color w:val="auto"/>
        </w:rPr>
        <w:t>Section 2.5</w:t>
      </w:r>
      <w:r>
        <w:rPr>
          <w:rFonts w:ascii="Times New Roman" w:cs="Times New Roman" w:eastAsia="Times New Roman" w:hAnsi="Times New Roman"/>
          <w:sz w:val="19"/>
          <w:szCs w:val="19"/>
          <w:color w:val="auto"/>
        </w:rPr>
        <w:t xml:space="preserve">, and (c) the date of termination of the Revolving Credit Commitment pursuant to </w:t>
      </w:r>
      <w:r>
        <w:rPr>
          <w:rFonts w:ascii="Times New Roman" w:cs="Times New Roman" w:eastAsia="Times New Roman" w:hAnsi="Times New Roman"/>
          <w:sz w:val="19"/>
          <w:szCs w:val="19"/>
          <w:u w:val="single" w:color="auto"/>
          <w:color w:val="auto"/>
        </w:rPr>
        <w:t>Section 10.2(a)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the Revolving Credit Maturity Date applicable to Extended Revolving Credit Commitments and Refinancing Revolving Credit Commitments shall be the final maturity date specified in the relevant documentation for such Extended Revolving Credit Commitments or Refinancing Revolving Credit Commitments.</w:t>
      </w:r>
    </w:p>
    <w:p>
      <w:pPr>
        <w:spacing w:after="0" w:line="162" w:lineRule="exact"/>
        <w:rPr>
          <w:sz w:val="20"/>
          <w:szCs w:val="20"/>
          <w:color w:val="auto"/>
        </w:rPr>
      </w:pPr>
    </w:p>
    <w:p>
      <w:pPr>
        <w:jc w:val="both"/>
        <w:ind w:left="620" w:firstLine="642"/>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Outstandings</w:t>
      </w:r>
      <w:r>
        <w:rPr>
          <w:rFonts w:ascii="Times New Roman" w:cs="Times New Roman" w:eastAsia="Times New Roman" w:hAnsi="Times New Roman"/>
          <w:sz w:val="20"/>
          <w:szCs w:val="20"/>
          <w:color w:val="auto"/>
        </w:rPr>
        <w:t xml:space="preserve">” means the </w:t>
      </w:r>
      <w:r>
        <w:rPr>
          <w:rFonts w:ascii="Times New Roman" w:cs="Times New Roman" w:eastAsia="Times New Roman" w:hAnsi="Times New Roman"/>
          <w:sz w:val="20"/>
          <w:szCs w:val="20"/>
          <w:u w:val="single" w:color="auto"/>
          <w:color w:val="auto"/>
        </w:rPr>
        <w:t>sum</w:t>
      </w:r>
      <w:r>
        <w:rPr>
          <w:rFonts w:ascii="Times New Roman" w:cs="Times New Roman" w:eastAsia="Times New Roman" w:hAnsi="Times New Roman"/>
          <w:sz w:val="20"/>
          <w:szCs w:val="20"/>
          <w:color w:val="auto"/>
        </w:rPr>
        <w:t xml:space="preserve"> of (a) with respect to Revolving Credit Loans and Swingline Loans on any date, the aggregate outstanding principal amount thereof after giving effect to any borrowings and prepayments or repayments of Revolving Credit Loans and Swingline Loans, as the case may be, occurring on such date;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with respect to any L/C Obligations on any date, the aggregate outstanding amount thereof on such date after giving effect to any Revolving Extensions of Credit occurring on such date and any other changes in the aggregate amount of the L/C Obligations as of such date, including as a result of any reimbursements of outstanding unpaid drawings under any Letters of Credit or any reductions in the maximum amount available for drawing under Letters of Credit taking effect on such date.</w:t>
      </w:r>
    </w:p>
    <w:p>
      <w:pPr>
        <w:spacing w:after="0" w:line="182" w:lineRule="exact"/>
        <w:rPr>
          <w:sz w:val="20"/>
          <w:szCs w:val="20"/>
          <w:color w:val="auto"/>
        </w:rPr>
      </w:pPr>
    </w:p>
    <w:p>
      <w:pPr>
        <w:jc w:val="both"/>
        <w:ind w:left="620" w:firstLine="642"/>
        <w:spacing w:after="0" w:line="27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Extensions of Credit</w:t>
      </w:r>
      <w:r>
        <w:rPr>
          <w:rFonts w:ascii="Times New Roman" w:cs="Times New Roman" w:eastAsia="Times New Roman" w:hAnsi="Times New Roman"/>
          <w:sz w:val="20"/>
          <w:szCs w:val="20"/>
          <w:color w:val="auto"/>
        </w:rPr>
        <w:t>” means (a) any Revolving Credit Loan then outstanding, (b) any Letter of Credit then outstanding or (c) any Swingline Loan then outstanding.</w:t>
      </w:r>
    </w:p>
    <w:p>
      <w:pPr>
        <w:spacing w:after="0" w:line="15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means Standard &amp; Poor’s Rating Service, a division of S&amp;P Global Inc. and any successor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72</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-43180</wp:posOffset>
            </wp:positionV>
            <wp:extent cx="8255" cy="1016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79">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1060"/>
          </w:cols>
          <w:pgMar w:left="380" w:top="1440" w:right="459" w:bottom="1440" w:gutter="0" w:footer="0" w:header="0"/>
        </w:sectPr>
      </w:pPr>
    </w:p>
    <w:bookmarkStart w:id="221" w:name="page222"/>
    <w:bookmarkEnd w:id="221"/>
    <w:p>
      <w:pPr>
        <w:spacing w:after="0" w:line="202" w:lineRule="exact"/>
        <w:rPr>
          <w:sz w:val="20"/>
          <w:szCs w:val="20"/>
          <w:color w:val="auto"/>
        </w:rPr>
      </w:pPr>
    </w:p>
    <w:p>
      <w:pPr>
        <w:jc w:val="both"/>
        <w:ind w:left="620" w:right="40" w:firstLine="642"/>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Country</w:t>
      </w:r>
      <w:r>
        <w:rPr>
          <w:rFonts w:ascii="Times New Roman" w:cs="Times New Roman" w:eastAsia="Times New Roman" w:hAnsi="Times New Roman"/>
          <w:sz w:val="20"/>
          <w:szCs w:val="20"/>
          <w:color w:val="auto"/>
        </w:rPr>
        <w:t>” means at any time, a region, country or territory which is itself the subject or target of any Sanctions (which, as of the Closing Date, consists of Cuba, Iran, North Korea, Syria and Crimea).</w:t>
      </w:r>
    </w:p>
    <w:p>
      <w:pPr>
        <w:spacing w:after="0" w:line="178" w:lineRule="exact"/>
        <w:rPr>
          <w:sz w:val="20"/>
          <w:szCs w:val="20"/>
          <w:color w:val="auto"/>
        </w:rPr>
      </w:pPr>
    </w:p>
    <w:p>
      <w:pPr>
        <w:jc w:val="both"/>
        <w:ind w:left="620" w:right="20" w:firstLine="642"/>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Sanctioned Person</w:t>
      </w:r>
      <w:r>
        <w:rPr>
          <w:rFonts w:ascii="Times New Roman" w:cs="Times New Roman" w:eastAsia="Times New Roman" w:hAnsi="Times New Roman"/>
          <w:sz w:val="19"/>
          <w:szCs w:val="19"/>
          <w:color w:val="auto"/>
        </w:rPr>
        <w:t>” means, at any time, (a) any Person listed in any Sanctions-related list of designated Persons maintained by OFAC, the U.S. Department of State, the United Nations Security Council, the European Union, any member state of the European Union, Her Majesty’s Treasury of the United Kingdom, Global Affairs Canada, or other relevant sanctions authority,</w:t>
      </w:r>
    </w:p>
    <w:p>
      <w:pPr>
        <w:spacing w:after="0" w:line="2" w:lineRule="exact"/>
        <w:rPr>
          <w:sz w:val="20"/>
          <w:szCs w:val="20"/>
          <w:color w:val="auto"/>
        </w:rPr>
      </w:pPr>
    </w:p>
    <w:p>
      <w:pPr>
        <w:ind w:left="620" w:right="40" w:firstLine="4"/>
        <w:spacing w:after="0" w:line="254" w:lineRule="auto"/>
        <w:tabs>
          <w:tab w:leader="none" w:pos="905"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operating, organized or resident in a Sanctioned Country or (c) any Person owned or controlled by any such Person or Persons described in clauses (a) and (b).</w:t>
      </w:r>
    </w:p>
    <w:p>
      <w:pPr>
        <w:spacing w:after="0" w:line="173" w:lineRule="exact"/>
        <w:rPr>
          <w:sz w:val="20"/>
          <w:szCs w:val="20"/>
          <w:color w:val="auto"/>
        </w:rPr>
      </w:pPr>
    </w:p>
    <w:p>
      <w:pPr>
        <w:jc w:val="both"/>
        <w:ind w:left="620" w:right="40" w:firstLine="642"/>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 means sanctions, trade embargoes and anti-terrorism laws, including, but not limited to, those imposed, administered or enforced from time to time by the U.S. government (including those administered by OFAC or the U.S. Department of State), the United Nations Security Council, the European Union, any member state of the European Union, Her Majesty’s Treasury of the United Kingdom, Global Affairs Canada, or other relevant sanctions authority.</w:t>
      </w:r>
    </w:p>
    <w:p>
      <w:pPr>
        <w:spacing w:after="0" w:line="173" w:lineRule="exact"/>
        <w:rPr>
          <w:sz w:val="20"/>
          <w:szCs w:val="20"/>
          <w:color w:val="auto"/>
        </w:rPr>
      </w:pPr>
    </w:p>
    <w:p>
      <w:pPr>
        <w:jc w:val="both"/>
        <w:ind w:left="620" w:right="40" w:firstLine="642"/>
        <w:spacing w:after="0" w:line="27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Cash Management Agreement</w:t>
      </w:r>
      <w:r>
        <w:rPr>
          <w:rFonts w:ascii="Times New Roman" w:cs="Times New Roman" w:eastAsia="Times New Roman" w:hAnsi="Times New Roman"/>
          <w:sz w:val="20"/>
          <w:szCs w:val="20"/>
          <w:color w:val="auto"/>
        </w:rPr>
        <w:t>” means any Cash Management Agreement between or among any Credit Party or applicable Subsidiary thereof and any Cash Management Bank.</w:t>
      </w:r>
    </w:p>
    <w:p>
      <w:pPr>
        <w:spacing w:after="0" w:line="151" w:lineRule="exact"/>
        <w:rPr>
          <w:sz w:val="20"/>
          <w:szCs w:val="20"/>
          <w:color w:val="auto"/>
        </w:rPr>
      </w:pPr>
    </w:p>
    <w:p>
      <w:pPr>
        <w:jc w:val="both"/>
        <w:ind w:left="620" w:right="40" w:firstLine="642"/>
        <w:spacing w:after="0" w:line="27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Hedge Agreement</w:t>
      </w:r>
      <w:r>
        <w:rPr>
          <w:rFonts w:ascii="Times New Roman" w:cs="Times New Roman" w:eastAsia="Times New Roman" w:hAnsi="Times New Roman"/>
          <w:sz w:val="20"/>
          <w:szCs w:val="20"/>
          <w:color w:val="auto"/>
        </w:rPr>
        <w:t>” means any Hedge Agreement between or among any Credit Party or applicable Subsidiary thereof and any Hedge Bank.</w:t>
      </w:r>
    </w:p>
    <w:p>
      <w:pPr>
        <w:spacing w:after="0" w:line="151" w:lineRule="exact"/>
        <w:rPr>
          <w:sz w:val="20"/>
          <w:szCs w:val="20"/>
          <w:color w:val="auto"/>
        </w:rPr>
      </w:pPr>
    </w:p>
    <w:p>
      <w:pPr>
        <w:jc w:val="both"/>
        <w:ind w:left="620" w:right="40" w:firstLine="642"/>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Obligations</w:t>
      </w:r>
      <w:r>
        <w:rPr>
          <w:rFonts w:ascii="Times New Roman" w:cs="Times New Roman" w:eastAsia="Times New Roman" w:hAnsi="Times New Roman"/>
          <w:sz w:val="20"/>
          <w:szCs w:val="20"/>
          <w:color w:val="auto"/>
        </w:rPr>
        <w:t>” means, collectively, (a) the Obligations and (b) all existing or future payment and other obligations owing by any Credit Party under (i) any Secured Hedge Agreement (other than an Excluded Swap Obligation) and (ii) any Secured Cash Management Agreement.</w:t>
      </w:r>
    </w:p>
    <w:p>
      <w:pPr>
        <w:spacing w:after="0" w:line="2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Parties</w:t>
      </w:r>
      <w:r>
        <w:rPr>
          <w:rFonts w:ascii="Times New Roman" w:cs="Times New Roman" w:eastAsia="Times New Roman" w:hAnsi="Times New Roman"/>
          <w:sz w:val="20"/>
          <w:szCs w:val="20"/>
          <w:color w:val="auto"/>
        </w:rPr>
        <w:t>” means, collectively, the Canadian Secured Parties and the US Secured Parties. “</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means</w:t>
      </w:r>
    </w:p>
    <w:p>
      <w:pPr>
        <w:spacing w:after="0" w:line="2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the Securities Act of 1933 (15 U.S.C. §§ 77 et seq.).</w:t>
      </w:r>
    </w:p>
    <w:p>
      <w:pPr>
        <w:spacing w:after="0" w:line="104" w:lineRule="exact"/>
        <w:rPr>
          <w:sz w:val="20"/>
          <w:szCs w:val="20"/>
          <w:color w:val="auto"/>
        </w:rPr>
      </w:pPr>
    </w:p>
    <w:p>
      <w:pPr>
        <w:jc w:val="both"/>
        <w:ind w:left="620" w:right="20" w:firstLine="642"/>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Security Documents</w:t>
      </w:r>
      <w:r>
        <w:rPr>
          <w:rFonts w:ascii="Times New Roman" w:cs="Times New Roman" w:eastAsia="Times New Roman" w:hAnsi="Times New Roman"/>
          <w:sz w:val="20"/>
          <w:szCs w:val="20"/>
          <w:color w:val="auto"/>
        </w:rPr>
        <w:t>” means the collective reference to the US Collateral Agreement, Canadian Collateral Agreement, and each other agreement or writing pursuant to which any Credit Party pledges or grants a security interest in any Property or assets securing the Secured Obligations.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means a rate equal to the secured overnight financing rate as administered by the SOFR Administrator.</w:t>
      </w:r>
    </w:p>
    <w:p>
      <w:pPr>
        <w:spacing w:after="0" w:line="211" w:lineRule="exact"/>
        <w:rPr>
          <w:sz w:val="20"/>
          <w:szCs w:val="20"/>
          <w:color w:val="auto"/>
        </w:rPr>
      </w:pPr>
    </w:p>
    <w:p>
      <w:pPr>
        <w:jc w:val="both"/>
        <w:ind w:left="620" w:right="40" w:firstLine="642"/>
        <w:spacing w:after="0" w:line="27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Administrator</w:t>
      </w:r>
      <w:r>
        <w:rPr>
          <w:rFonts w:ascii="Times New Roman" w:cs="Times New Roman" w:eastAsia="Times New Roman" w:hAnsi="Times New Roman"/>
          <w:sz w:val="20"/>
          <w:szCs w:val="20"/>
          <w:color w:val="auto"/>
        </w:rPr>
        <w:t>” means the Federal Reserve Bank of New York (or a successor administrator of the secured overnight financing rate).</w:t>
      </w:r>
    </w:p>
    <w:p>
      <w:pPr>
        <w:spacing w:after="0" w:line="15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Loan</w:t>
      </w:r>
      <w:r>
        <w:rPr>
          <w:rFonts w:ascii="Times New Roman" w:cs="Times New Roman" w:eastAsia="Times New Roman" w:hAnsi="Times New Roman"/>
          <w:sz w:val="20"/>
          <w:szCs w:val="20"/>
          <w:color w:val="auto"/>
        </w:rPr>
        <w:t xml:space="preserve">” means any Loan bearing interest at a rate based on Adjusted Term SOFR as provided in </w:t>
      </w:r>
      <w:r>
        <w:rPr>
          <w:rFonts w:ascii="Times New Roman" w:cs="Times New Roman" w:eastAsia="Times New Roman" w:hAnsi="Times New Roman"/>
          <w:sz w:val="20"/>
          <w:szCs w:val="20"/>
          <w:u w:val="single" w:color="auto"/>
          <w:color w:val="auto"/>
        </w:rPr>
        <w:t>Section 5.1(a)</w:t>
      </w:r>
      <w:r>
        <w:rPr>
          <w:rFonts w:ascii="Times New Roman" w:cs="Times New Roman" w:eastAsia="Times New Roman" w:hAnsi="Times New Roman"/>
          <w:sz w:val="20"/>
          <w:szCs w:val="20"/>
          <w:color w:val="auto"/>
        </w:rPr>
        <w:t>.</w:t>
      </w:r>
    </w:p>
    <w:p>
      <w:pPr>
        <w:spacing w:after="0" w:line="225" w:lineRule="exact"/>
        <w:rPr>
          <w:sz w:val="20"/>
          <w:szCs w:val="20"/>
          <w:color w:val="auto"/>
        </w:rPr>
      </w:pPr>
    </w:p>
    <w:p>
      <w:pPr>
        <w:jc w:val="both"/>
        <w:ind w:left="620" w:firstLine="642"/>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Solvent</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Solvency</w:t>
      </w:r>
      <w:r>
        <w:rPr>
          <w:rFonts w:ascii="Times New Roman" w:cs="Times New Roman" w:eastAsia="Times New Roman" w:hAnsi="Times New Roman"/>
          <w:sz w:val="20"/>
          <w:szCs w:val="20"/>
          <w:color w:val="auto"/>
        </w:rPr>
        <w:t>” mean,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w:t>
      </w:r>
    </w:p>
    <w:p>
      <w:pPr>
        <w:spacing w:after="0" w:line="200" w:lineRule="exact"/>
        <w:rPr>
          <w:sz w:val="20"/>
          <w:szCs w:val="20"/>
          <w:color w:val="auto"/>
        </w:rPr>
      </w:pPr>
    </w:p>
    <w:p>
      <w:pPr>
        <w:spacing w:after="0" w:line="38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73</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-34290</wp:posOffset>
            </wp:positionV>
            <wp:extent cx="8255" cy="1016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80">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1040"/>
          </w:cols>
          <w:pgMar w:left="380" w:top="1440" w:right="479" w:bottom="1440" w:gutter="0" w:footer="0" w:header="0"/>
        </w:sectPr>
      </w:pPr>
    </w:p>
    <w:bookmarkStart w:id="222" w:name="page223"/>
    <w:bookmarkEnd w:id="222"/>
    <w:p>
      <w:pPr>
        <w:spacing w:after="0" w:line="95" w:lineRule="exact"/>
        <w:rPr>
          <w:sz w:val="20"/>
          <w:szCs w:val="20"/>
          <w:color w:val="auto"/>
        </w:rPr>
      </w:pPr>
    </w:p>
    <w:p>
      <w:pPr>
        <w:ind w:left="620"/>
        <w:spacing w:after="0" w:line="277" w:lineRule="auto"/>
        <w:rPr>
          <w:sz w:val="20"/>
          <w:szCs w:val="20"/>
          <w:color w:val="auto"/>
        </w:rPr>
      </w:pPr>
      <w:r>
        <w:rPr>
          <w:rFonts w:ascii="Times New Roman" w:cs="Times New Roman" w:eastAsia="Times New Roman" w:hAnsi="Times New Roman"/>
          <w:sz w:val="20"/>
          <w:szCs w:val="20"/>
          <w:color w:val="auto"/>
        </w:rPr>
        <w:t>mature, (d) such Person is not engaged in business or a transaction, and is not about to engage in business or a transaction, for which such Person’s property would constitute an unreasonably small capital,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74</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-43180</wp:posOffset>
            </wp:positionV>
            <wp:extent cx="8255" cy="1016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81">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1040"/>
          </w:cols>
          <w:pgMar w:left="380" w:top="1440" w:right="479" w:bottom="1440" w:gutter="0" w:footer="0" w:header="0"/>
        </w:sectPr>
      </w:pPr>
    </w:p>
    <w:bookmarkStart w:id="223" w:name="page224"/>
    <w:bookmarkEnd w:id="223"/>
    <w:p>
      <w:pPr>
        <w:spacing w:after="0" w:line="202" w:lineRule="exact"/>
        <w:rPr>
          <w:sz w:val="20"/>
          <w:szCs w:val="20"/>
          <w:color w:val="auto"/>
        </w:rPr>
      </w:pPr>
    </w:p>
    <w:p>
      <w:pPr>
        <w:jc w:val="both"/>
        <w:ind w:left="620" w:right="20" w:firstLine="4"/>
        <w:spacing w:after="0" w:line="250" w:lineRule="auto"/>
        <w:tabs>
          <w:tab w:leader="none" w:pos="893"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Southwest Gas</w:t>
      </w:r>
      <w:r>
        <w:rPr>
          <w:rFonts w:ascii="Times New Roman" w:cs="Times New Roman" w:eastAsia="Times New Roman" w:hAnsi="Times New Roman"/>
          <w:sz w:val="20"/>
          <w:szCs w:val="20"/>
          <w:color w:val="auto"/>
        </w:rPr>
        <w:t>” means Southwest Gas Holdings, Inc., a Delaware corporation.</w:t>
      </w:r>
    </w:p>
    <w:p>
      <w:pPr>
        <w:spacing w:after="0" w:line="211" w:lineRule="exact"/>
        <w:rPr>
          <w:sz w:val="20"/>
          <w:szCs w:val="20"/>
          <w:color w:val="auto"/>
        </w:rPr>
      </w:pPr>
    </w:p>
    <w:p>
      <w:pPr>
        <w:jc w:val="both"/>
        <w:ind w:left="620" w:right="20" w:firstLine="642"/>
        <w:spacing w:after="0" w:line="27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Disposition</w:t>
      </w:r>
      <w:r>
        <w:rPr>
          <w:rFonts w:ascii="Times New Roman" w:cs="Times New Roman" w:eastAsia="Times New Roman" w:hAnsi="Times New Roman"/>
          <w:sz w:val="20"/>
          <w:szCs w:val="20"/>
          <w:color w:val="auto"/>
        </w:rPr>
        <w:t>” means any Asset Disposition (or series of related Asset Dispositions) having gross sales proceeds in excess of $10,000,000.</w:t>
      </w:r>
    </w:p>
    <w:p>
      <w:pPr>
        <w:spacing w:after="0" w:line="151" w:lineRule="exact"/>
        <w:rPr>
          <w:sz w:val="20"/>
          <w:szCs w:val="20"/>
          <w:color w:val="auto"/>
        </w:rPr>
      </w:pPr>
    </w:p>
    <w:p>
      <w:pPr>
        <w:jc w:val="both"/>
        <w:ind w:left="620" w:firstLine="642"/>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Representations</w:t>
      </w:r>
      <w:r>
        <w:rPr>
          <w:rFonts w:ascii="Times New Roman" w:cs="Times New Roman" w:eastAsia="Times New Roman" w:hAnsi="Times New Roman"/>
          <w:sz w:val="20"/>
          <w:szCs w:val="20"/>
          <w:color w:val="auto"/>
        </w:rPr>
        <w:t>” means the representations and warranties set forth in the Loan Documents relating to corporate existence of the Credit Parties and good standing of the Credit Parties in their respective jurisdictions of organization; power and authority, due authorization, execution and delivery and enforceability, in each case, relating to the Credit Parties entering into and performance of the Loan Documents; no conflicts with or consents under the Credit Parties’ organizational documents; Solvency of the Borrowers and their respective subsidiaries on a Consolidated basis as of the Closing Date (after giving effect to the Transactions); Federal Reserve margin regulations; the Investment Company Act; use of proceeds not in violation of Sanctions, Anti-Money Laundering Laws, Anti-Corruption Laws and Beneficial Ownership Certifications; and creation, validity and perfection of security interests in the Collateral; and the status of the Credit Facilities and the guaranties thereof as senior debt (or equivalent term) and, to the extent applicable, “designated senior debt” (or an equivalent term).</w:t>
      </w:r>
    </w:p>
    <w:p>
      <w:pPr>
        <w:spacing w:after="0" w:line="180" w:lineRule="exact"/>
        <w:rPr>
          <w:sz w:val="20"/>
          <w:szCs w:val="20"/>
          <w:color w:val="auto"/>
        </w:rPr>
      </w:pPr>
    </w:p>
    <w:p>
      <w:pPr>
        <w:jc w:val="both"/>
        <w:ind w:left="620" w:right="20" w:firstLine="642"/>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Transactions</w:t>
      </w:r>
      <w:r>
        <w:rPr>
          <w:rFonts w:ascii="Times New Roman" w:cs="Times New Roman" w:eastAsia="Times New Roman" w:hAnsi="Times New Roman"/>
          <w:sz w:val="20"/>
          <w:szCs w:val="20"/>
          <w:color w:val="auto"/>
        </w:rPr>
        <w:t>” means (a) any Specified Disposition consummated after the Closing Date, (b) any Permitted Acquisition consummated after the Closing Date and (c) the Transactions.</w:t>
      </w:r>
    </w:p>
    <w:p>
      <w:pPr>
        <w:spacing w:after="0" w:line="178" w:lineRule="exact"/>
        <w:rPr>
          <w:sz w:val="20"/>
          <w:szCs w:val="20"/>
          <w:color w:val="auto"/>
        </w:rPr>
      </w:pPr>
    </w:p>
    <w:p>
      <w:pPr>
        <w:jc w:val="both"/>
        <w:ind w:left="620" w:firstLine="642"/>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Spot Rate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means, subject to Section 1.10,</w:t>
      </w:r>
      <w:r>
        <w:rPr>
          <w:rFonts w:ascii="Times New Roman" w:cs="Times New Roman" w:eastAsia="Times New Roman" w:hAnsi="Times New Roman"/>
          <w:sz w:val="20"/>
          <w:szCs w:val="20"/>
          <w:color w:val="auto"/>
        </w:rPr>
        <w:t xml:space="preserve"> for a currency </w:t>
      </w:r>
      <w:r>
        <w:rPr>
          <w:rFonts w:ascii="Times New Roman" w:cs="Times New Roman" w:eastAsia="Times New Roman" w:hAnsi="Times New Roman"/>
          <w:sz w:val="20"/>
          <w:szCs w:val="20"/>
          <w:color w:val="FF0000"/>
          <w:strike w:val="1"/>
        </w:rPr>
        <w:t>means</w:t>
      </w:r>
      <w:r>
        <w:rPr>
          <w:rFonts w:ascii="Times New Roman" w:cs="Times New Roman" w:eastAsia="Times New Roman" w:hAnsi="Times New Roman"/>
          <w:sz w:val="20"/>
          <w:szCs w:val="20"/>
          <w:color w:val="0000FF"/>
        </w:rPr>
        <w:t>,</w:t>
      </w:r>
      <w:r>
        <w:rPr>
          <w:rFonts w:ascii="Times New Roman" w:cs="Times New Roman" w:eastAsia="Times New Roman" w:hAnsi="Times New Roman"/>
          <w:sz w:val="20"/>
          <w:szCs w:val="20"/>
          <w:color w:val="auto"/>
        </w:rPr>
        <w:t xml:space="preserve"> the rate </w:t>
      </w:r>
      <w:r>
        <w:rPr>
          <w:rFonts w:ascii="Times New Roman" w:cs="Times New Roman" w:eastAsia="Times New Roman" w:hAnsi="Times New Roman"/>
          <w:sz w:val="20"/>
          <w:szCs w:val="20"/>
          <w:color w:val="FF0000"/>
          <w:strike w:val="1"/>
        </w:rPr>
        <w:t>determined</w:t>
      </w:r>
      <w:r>
        <w:rPr>
          <w:rFonts w:ascii="Times New Roman" w:cs="Times New Roman" w:eastAsia="Times New Roman" w:hAnsi="Times New Roman"/>
          <w:sz w:val="20"/>
          <w:szCs w:val="20"/>
          <w:u w:val="single" w:color="auto"/>
          <w:color w:val="0000FF"/>
        </w:rPr>
        <w:t>provided (either by publication 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otherwise provided or made available to the Administrative Agent) by Thomson Reuters Corp. (or equivalent service chosen</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by the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Administrative Agent </w:t>
      </w:r>
      <w:r>
        <w:rPr>
          <w:rFonts w:ascii="Times New Roman" w:cs="Times New Roman" w:eastAsia="Times New Roman" w:hAnsi="Times New Roman"/>
          <w:sz w:val="20"/>
          <w:szCs w:val="20"/>
          <w:color w:val="FF0000"/>
          <w:strike w:val="1"/>
        </w:rPr>
        <w:t>to be the rate quoted by the Person acting in such capacity</w:t>
      </w:r>
      <w:r>
        <w:rPr>
          <w:rFonts w:ascii="Times New Roman" w:cs="Times New Roman" w:eastAsia="Times New Roman" w:hAnsi="Times New Roman"/>
          <w:sz w:val="20"/>
          <w:szCs w:val="20"/>
          <w:u w:val="single" w:color="auto"/>
          <w:color w:val="0000FF"/>
        </w:rPr>
        <w:t>in its reasonable discretion)</w:t>
      </w:r>
      <w:r>
        <w:rPr>
          <w:rFonts w:ascii="Times New Roman" w:cs="Times New Roman" w:eastAsia="Times New Roman" w:hAnsi="Times New Roman"/>
          <w:sz w:val="20"/>
          <w:szCs w:val="20"/>
          <w:color w:val="000000"/>
        </w:rPr>
        <w:t xml:space="preserve"> as the spot rate for the purchase </w:t>
      </w:r>
      <w:r>
        <w:rPr>
          <w:rFonts w:ascii="Times New Roman" w:cs="Times New Roman" w:eastAsia="Times New Roman" w:hAnsi="Times New Roman"/>
          <w:sz w:val="20"/>
          <w:szCs w:val="20"/>
          <w:color w:val="FF0000"/>
          <w:strike w:val="1"/>
        </w:rPr>
        <w:t>by such Person</w:t>
      </w:r>
      <w:r>
        <w:rPr>
          <w:rFonts w:ascii="Times New Roman" w:cs="Times New Roman" w:eastAsia="Times New Roman" w:hAnsi="Times New Roman"/>
          <w:sz w:val="20"/>
          <w:szCs w:val="20"/>
          <w:color w:val="000000"/>
        </w:rPr>
        <w:t xml:space="preserve"> of such currency with another currency </w:t>
      </w:r>
      <w:r>
        <w:rPr>
          <w:rFonts w:ascii="Times New Roman" w:cs="Times New Roman" w:eastAsia="Times New Roman" w:hAnsi="Times New Roman"/>
          <w:sz w:val="20"/>
          <w:szCs w:val="20"/>
          <w:color w:val="FF0000"/>
          <w:strike w:val="1"/>
        </w:rPr>
        <w:t>through its principal foreign exchange trading office at</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FF0000"/>
          <w:strike w:val="1"/>
        </w:rPr>
        <w:t xml:space="preserve">approximately 11:00 a.m. </w:t>
      </w:r>
      <w:r>
        <w:rPr>
          <w:rFonts w:ascii="Times New Roman" w:cs="Times New Roman" w:eastAsia="Times New Roman" w:hAnsi="Times New Roman"/>
          <w:sz w:val="20"/>
          <w:szCs w:val="20"/>
          <w:color w:val="007F00"/>
          <w:strike w:val="1"/>
        </w:rPr>
        <w:t>on the</w:t>
      </w:r>
      <w:r>
        <w:rPr>
          <w:rFonts w:ascii="Times New Roman" w:cs="Times New Roman" w:eastAsia="Times New Roman" w:hAnsi="Times New Roman"/>
          <w:sz w:val="20"/>
          <w:szCs w:val="20"/>
          <w:color w:val="FF0000"/>
          <w:strike w:val="1"/>
        </w:rPr>
        <w:t xml:space="preserve"> date </w:t>
      </w:r>
      <w:r>
        <w:rPr>
          <w:rFonts w:ascii="Times New Roman" w:cs="Times New Roman" w:eastAsia="Times New Roman" w:hAnsi="Times New Roman"/>
          <w:sz w:val="20"/>
          <w:szCs w:val="20"/>
          <w:color w:val="007F00"/>
          <w:strike w:val="1"/>
        </w:rPr>
        <w:t>two (2) Business Days prior to the</w:t>
      </w:r>
      <w:r>
        <w:rPr>
          <w:rFonts w:ascii="Times New Roman" w:cs="Times New Roman" w:eastAsia="Times New Roman" w:hAnsi="Times New Roman"/>
          <w:sz w:val="20"/>
          <w:szCs w:val="20"/>
          <w:color w:val="FF0000"/>
          <w:strike w:val="1"/>
        </w:rPr>
        <w:t xml:space="preserve"> date as of which the foreign exchange computation is made</w:t>
      </w:r>
      <w:r>
        <w:rPr>
          <w:rFonts w:ascii="Times New Roman" w:cs="Times New Roman" w:eastAsia="Times New Roman" w:hAnsi="Times New Roman"/>
          <w:sz w:val="20"/>
          <w:szCs w:val="20"/>
          <w:color w:val="007F00"/>
          <w:strike w:val="1"/>
        </w:rPr>
        <w:t>;</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007F00"/>
          <w:strike w:val="1"/>
        </w:rPr>
        <w:t>provided</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7F00"/>
          <w:strike w:val="1"/>
        </w:rPr>
        <w:t>that</w:t>
      </w:r>
      <w:r>
        <w:rPr>
          <w:rFonts w:ascii="Times New Roman" w:cs="Times New Roman" w:eastAsia="Times New Roman" w:hAnsi="Times New Roman"/>
          <w:sz w:val="20"/>
          <w:szCs w:val="20"/>
          <w:color w:val="FF0000"/>
          <w:strike w:val="1"/>
        </w:rPr>
        <w:t xml:space="preserve"> the Administrative Agent may obtain such spot rate from another financial institution reasonably designated</w:t>
      </w:r>
      <w:r>
        <w:rPr>
          <w:rFonts w:ascii="Times New Roman" w:cs="Times New Roman" w:eastAsia="Times New Roman" w:hAnsi="Times New Roman"/>
          <w:sz w:val="20"/>
          <w:szCs w:val="20"/>
          <w:u w:val="single" w:color="auto"/>
          <w:color w:val="0000FF"/>
          <w:strike w:val="1"/>
        </w:rPr>
        <w:t>at a</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0000FF"/>
          <w:strike w:val="1"/>
        </w:rPr>
        <w:t>time selected</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000000"/>
          <w:strike w:val="1"/>
        </w:rPr>
        <w:t>by the Administrative Agent</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FF0000"/>
          <w:strike w:val="1"/>
        </w:rPr>
        <w:t>if the Person acting in such capacity does not have</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007F00"/>
          <w:strike w:val="1"/>
        </w:rPr>
        <w:t>as of</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FF0000"/>
          <w:strike w:val="1"/>
        </w:rPr>
        <w:t>the date of determination a spot</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FF0000"/>
          <w:strike w:val="1"/>
        </w:rPr>
        <w:t>buying rate for any such currency.</w:t>
      </w:r>
      <w:r>
        <w:rPr>
          <w:rFonts w:ascii="Times New Roman" w:cs="Times New Roman" w:eastAsia="Times New Roman" w:hAnsi="Times New Roman"/>
          <w:sz w:val="20"/>
          <w:szCs w:val="20"/>
          <w:u w:val="single" w:color="auto"/>
          <w:color w:val="0000FF"/>
          <w:strike w:val="1"/>
        </w:rPr>
        <w:t>in accordance with the procedures generally used</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007F00"/>
          <w:strike w:val="1"/>
        </w:rPr>
        <w:t>by the Administrative Agent</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0000FF"/>
          <w:strike w:val="1"/>
        </w:rPr>
        <w:t>for syndicated</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0000FF"/>
          <w:strike w:val="1"/>
        </w:rPr>
        <w:t>credit facilities in which it acts as administrative agent.</w:t>
      </w:r>
    </w:p>
    <w:p>
      <w:pPr>
        <w:spacing w:after="0" w:line="166" w:lineRule="exact"/>
        <w:rPr>
          <w:sz w:val="20"/>
          <w:szCs w:val="20"/>
          <w:color w:val="auto"/>
        </w:rPr>
      </w:pPr>
    </w:p>
    <w:p>
      <w:pPr>
        <w:jc w:val="both"/>
        <w:ind w:left="620" w:right="20" w:firstLine="642"/>
        <w:spacing w:after="0" w:line="26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Subordinated Indebtedness</w:t>
      </w:r>
      <w:r>
        <w:rPr>
          <w:rFonts w:ascii="Times New Roman" w:cs="Times New Roman" w:eastAsia="Times New Roman" w:hAnsi="Times New Roman"/>
          <w:sz w:val="20"/>
          <w:szCs w:val="20"/>
          <w:color w:val="auto"/>
        </w:rPr>
        <w:t>” means the collective reference to any Indebtedness incurred by any Consolidated Company that is subordinated in right and time of payment to the Obligations on terms and conditions satisfactory to the Administrative Agent.</w:t>
      </w:r>
    </w:p>
    <w:p>
      <w:pPr>
        <w:spacing w:after="0" w:line="164" w:lineRule="exact"/>
        <w:rPr>
          <w:sz w:val="20"/>
          <w:szCs w:val="20"/>
          <w:color w:val="auto"/>
        </w:rPr>
      </w:pPr>
    </w:p>
    <w:p>
      <w:pPr>
        <w:jc w:val="both"/>
        <w:ind w:left="620" w:right="20" w:firstLine="642"/>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as to any Person, any corporation, partnership, limited liability company or other entity of which more than fifty percent (50%) of the outstanding Equity Interests having ordinary voting power to elect a majority of the board of directors (or equivalent governing body) or other managers of such corporation, partnership, limited liability company or other entity is at the time owned by (directly or indirectly) or the management is otherwise controlled by (directly or indirectly) such Person (irrespective of whether, at the time, Equity Interests of any other class or classes of such corporation, partnership, limited liability company or other entity shall have or might have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75</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-42545</wp:posOffset>
            </wp:positionV>
            <wp:extent cx="8255" cy="1016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82">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1020"/>
          </w:cols>
          <w:pgMar w:left="380" w:top="1440" w:right="499" w:bottom="1440" w:gutter="0" w:footer="0" w:header="0"/>
        </w:sectPr>
      </w:pPr>
    </w:p>
    <w:bookmarkStart w:id="224" w:name="page225"/>
    <w:bookmarkEnd w:id="224"/>
    <w:p>
      <w:pPr>
        <w:spacing w:after="0" w:line="202" w:lineRule="exact"/>
        <w:rPr>
          <w:sz w:val="20"/>
          <w:szCs w:val="20"/>
          <w:color w:val="auto"/>
        </w:rPr>
      </w:pPr>
    </w:p>
    <w:p>
      <w:pPr>
        <w:ind w:left="620" w:right="380"/>
        <w:spacing w:after="0" w:line="263" w:lineRule="auto"/>
        <w:rPr>
          <w:sz w:val="20"/>
          <w:szCs w:val="20"/>
          <w:color w:val="auto"/>
        </w:rPr>
      </w:pPr>
      <w:r>
        <w:rPr>
          <w:rFonts w:ascii="Times New Roman" w:cs="Times New Roman" w:eastAsia="Times New Roman" w:hAnsi="Times New Roman"/>
          <w:sz w:val="20"/>
          <w:szCs w:val="20"/>
          <w:color w:val="auto"/>
        </w:rPr>
        <w:t>by reason of the happening of any contingency). Unless otherwise qualified, references to “Subsidiary” or “Subsidiaries” herein shall refer to those of Centuri.</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 Guarantors</w:t>
      </w:r>
      <w:r>
        <w:rPr>
          <w:rFonts w:ascii="Times New Roman" w:cs="Times New Roman" w:eastAsia="Times New Roman" w:hAnsi="Times New Roman"/>
          <w:sz w:val="20"/>
          <w:szCs w:val="20"/>
          <w:color w:val="auto"/>
        </w:rPr>
        <w:t>” means, collectively, the US Subsidiary Guarantors and the Canadian Subsidiary Guarantors.</w:t>
      </w:r>
    </w:p>
    <w:p>
      <w:pPr>
        <w:spacing w:after="0" w:line="211" w:lineRule="exact"/>
        <w:rPr>
          <w:sz w:val="20"/>
          <w:szCs w:val="20"/>
          <w:color w:val="auto"/>
        </w:rPr>
      </w:pPr>
    </w:p>
    <w:p>
      <w:pPr>
        <w:ind w:left="620" w:right="20" w:firstLine="642"/>
        <w:spacing w:after="0" w:line="27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Obligation</w:t>
      </w:r>
      <w:r>
        <w:rPr>
          <w:rFonts w:ascii="Times New Roman" w:cs="Times New Roman" w:eastAsia="Times New Roman" w:hAnsi="Times New Roman"/>
          <w:sz w:val="20"/>
          <w:szCs w:val="20"/>
          <w:color w:val="auto"/>
        </w:rPr>
        <w:t>” means, with respect to any Credit Party, any obligation to pay or perform under any agreement, contract or transaction that constitutes a “swap” within the meaning of section 1a(47) of the Commodity Exchange Act.</w:t>
      </w:r>
    </w:p>
    <w:p>
      <w:pPr>
        <w:spacing w:after="0" w:line="15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Commitment</w:t>
      </w:r>
      <w:r>
        <w:rPr>
          <w:rFonts w:ascii="Times New Roman" w:cs="Times New Roman" w:eastAsia="Times New Roman" w:hAnsi="Times New Roman"/>
          <w:sz w:val="20"/>
          <w:szCs w:val="20"/>
          <w:color w:val="auto"/>
        </w:rPr>
        <w:t>” means the lesser of (a) $30,000,000 and (b) the Revolving Credit Commitment.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Swingline Facility</w:t>
      </w:r>
      <w:r>
        <w:rPr>
          <w:rFonts w:ascii="Times New Roman" w:cs="Times New Roman" w:eastAsia="Times New Roman" w:hAnsi="Times New Roman"/>
          <w:sz w:val="19"/>
          <w:szCs w:val="19"/>
          <w:color w:val="auto"/>
        </w:rPr>
        <w:t xml:space="preserve">” means the swingline facility established pursuant to </w:t>
      </w:r>
      <w:r>
        <w:rPr>
          <w:rFonts w:ascii="Times New Roman" w:cs="Times New Roman" w:eastAsia="Times New Roman" w:hAnsi="Times New Roman"/>
          <w:sz w:val="19"/>
          <w:szCs w:val="19"/>
          <w:u w:val="single" w:color="auto"/>
          <w:color w:val="auto"/>
        </w:rPr>
        <w:t>Section 2.2</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Swingline Lender</w:t>
      </w:r>
      <w:r>
        <w:rPr>
          <w:rFonts w:ascii="Times New Roman" w:cs="Times New Roman" w:eastAsia="Times New Roman" w:hAnsi="Times New Roman"/>
          <w:sz w:val="19"/>
          <w:szCs w:val="19"/>
          <w:color w:val="auto"/>
        </w:rPr>
        <w:t>” means (a) Wells</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Fargo, solely in its capacity as swingline lender with</w:t>
      </w:r>
    </w:p>
    <w:p>
      <w:pPr>
        <w:spacing w:after="0" w:line="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respect to US Swingline Loans and (b) CIBC, solely in its capacity as swingline lender with respect to</w:t>
      </w:r>
    </w:p>
    <w:p>
      <w:pPr>
        <w:ind w:left="620"/>
        <w:spacing w:after="0"/>
        <w:rPr>
          <w:sz w:val="20"/>
          <w:szCs w:val="20"/>
          <w:color w:val="auto"/>
        </w:rPr>
      </w:pPr>
      <w:r>
        <w:rPr>
          <w:rFonts w:ascii="Times New Roman" w:cs="Times New Roman" w:eastAsia="Times New Roman" w:hAnsi="Times New Roman"/>
          <w:sz w:val="20"/>
          <w:szCs w:val="20"/>
          <w:color w:val="auto"/>
        </w:rPr>
        <w:t>Canadian Swingline Loans, in each case, or any successor thereto.</w:t>
      </w:r>
    </w:p>
    <w:p>
      <w:pPr>
        <w:spacing w:after="0" w:line="189" w:lineRule="exact"/>
        <w:rPr>
          <w:sz w:val="20"/>
          <w:szCs w:val="20"/>
          <w:color w:val="auto"/>
        </w:rPr>
      </w:pPr>
    </w:p>
    <w:p>
      <w:pPr>
        <w:jc w:val="both"/>
        <w:ind w:left="620" w:firstLine="642"/>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Loan</w:t>
      </w:r>
      <w:r>
        <w:rPr>
          <w:rFonts w:ascii="Times New Roman" w:cs="Times New Roman" w:eastAsia="Times New Roman" w:hAnsi="Times New Roman"/>
          <w:sz w:val="20"/>
          <w:szCs w:val="20"/>
          <w:color w:val="auto"/>
        </w:rPr>
        <w:t>” means, a US Swingline Loan or a Canadian Swingline Loan, as the context requires, and “</w:t>
      </w:r>
      <w:r>
        <w:rPr>
          <w:rFonts w:ascii="Times New Roman" w:cs="Times New Roman" w:eastAsia="Times New Roman" w:hAnsi="Times New Roman"/>
          <w:sz w:val="20"/>
          <w:szCs w:val="20"/>
          <w:u w:val="single" w:color="auto"/>
          <w:color w:val="auto"/>
        </w:rPr>
        <w:t>Swingline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Loans</w:t>
      </w:r>
      <w:r>
        <w:rPr>
          <w:rFonts w:ascii="Times New Roman" w:cs="Times New Roman" w:eastAsia="Times New Roman" w:hAnsi="Times New Roman"/>
          <w:sz w:val="20"/>
          <w:szCs w:val="20"/>
          <w:color w:val="auto"/>
        </w:rPr>
        <w:t>” means, collectively, all US Swingline Loans and all Canadian Swingline Loans.</w:t>
      </w:r>
    </w:p>
    <w:p>
      <w:pPr>
        <w:spacing w:after="0" w:line="178" w:lineRule="exact"/>
        <w:rPr>
          <w:sz w:val="20"/>
          <w:szCs w:val="20"/>
          <w:color w:val="auto"/>
        </w:rPr>
      </w:pPr>
    </w:p>
    <w:p>
      <w:pPr>
        <w:jc w:val="both"/>
        <w:ind w:left="620" w:firstLine="642"/>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Synthetic Lease</w:t>
      </w:r>
      <w:r>
        <w:rPr>
          <w:rFonts w:ascii="Times New Roman" w:cs="Times New Roman" w:eastAsia="Times New Roman" w:hAnsi="Times New Roman"/>
          <w:sz w:val="20"/>
          <w:szCs w:val="20"/>
          <w:color w:val="auto"/>
        </w:rPr>
        <w:t>” means any synthetic lease, tax retention operating lease, off-balance sheet loan or similar off-balance sheet financing product where such transaction is considered borrowed money indebtedness for tax purposes but is classified as an Operating Lease in accordance with GAAP.</w:t>
      </w:r>
    </w:p>
    <w:p>
      <w:pPr>
        <w:spacing w:after="0" w:line="171" w:lineRule="exact"/>
        <w:rPr>
          <w:sz w:val="20"/>
          <w:szCs w:val="20"/>
          <w:color w:val="auto"/>
        </w:rPr>
      </w:pPr>
    </w:p>
    <w:p>
      <w:pPr>
        <w:jc w:val="both"/>
        <w:ind w:left="620" w:right="40" w:firstLine="642"/>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means all present or future taxes, levies, imposts, duties, deductions, withholdings (including backup withholding), assessments, fees or other charges imposed by any Governmental Authority, including any interest, fines, additions to tax or penalties applicable thereto.</w:t>
      </w:r>
    </w:p>
    <w:p>
      <w:pPr>
        <w:spacing w:after="0" w:line="184" w:lineRule="exact"/>
        <w:rPr>
          <w:sz w:val="20"/>
          <w:szCs w:val="20"/>
          <w:color w:val="auto"/>
        </w:rPr>
      </w:pPr>
    </w:p>
    <w:p>
      <w:pPr>
        <w:jc w:val="both"/>
        <w:ind w:left="620" w:right="20" w:firstLine="642"/>
        <w:spacing w:after="0" w:line="263" w:lineRule="auto"/>
        <w:rPr>
          <w:sz w:val="20"/>
          <w:szCs w:val="20"/>
          <w:color w:val="auto"/>
        </w:rPr>
      </w:pPr>
      <w:r>
        <w:rPr>
          <w:rFonts w:ascii="Times New Roman" w:cs="Times New Roman" w:eastAsia="Times New Roman" w:hAnsi="Times New Roman"/>
          <w:sz w:val="19"/>
          <w:szCs w:val="19"/>
          <w:u w:val="single" w:color="auto"/>
          <w:color w:val="0000FF"/>
        </w:rPr>
        <w:t xml:space="preserve">“Term CORRA” means, for any calculation with respect to a Term CORRA Loan, the Term CORRA Reference Rate for a tenor comparable to the applicable Interest Period </w:t>
      </w:r>
      <w:r>
        <w:rPr>
          <w:rFonts w:ascii="Times New Roman" w:cs="Times New Roman" w:eastAsia="Times New Roman" w:hAnsi="Times New Roman"/>
          <w:sz w:val="19"/>
          <w:szCs w:val="19"/>
          <w:u w:val="single" w:color="auto"/>
          <w:color w:val="007F00"/>
        </w:rPr>
        <w:t>on the</w:t>
      </w:r>
      <w:r>
        <w:rPr>
          <w:rFonts w:ascii="Times New Roman" w:cs="Times New Roman" w:eastAsia="Times New Roman" w:hAnsi="Times New Roman"/>
          <w:sz w:val="19"/>
          <w:szCs w:val="19"/>
          <w:u w:val="single" w:color="auto"/>
          <w:color w:val="0000FF"/>
        </w:rPr>
        <w:t xml:space="preserve"> day (such day, the “Periodic Term CORRA Determination Day”) that is </w:t>
      </w:r>
      <w:r>
        <w:rPr>
          <w:rFonts w:ascii="Times New Roman" w:cs="Times New Roman" w:eastAsia="Times New Roman" w:hAnsi="Times New Roman"/>
          <w:sz w:val="19"/>
          <w:szCs w:val="19"/>
          <w:u w:val="single" w:color="auto"/>
          <w:color w:val="007F00"/>
        </w:rPr>
        <w:t xml:space="preserve">two (2) Business Days prior to the </w:t>
      </w:r>
      <w:r>
        <w:rPr>
          <w:rFonts w:ascii="Times New Roman" w:cs="Times New Roman" w:eastAsia="Times New Roman" w:hAnsi="Times New Roman"/>
          <w:sz w:val="19"/>
          <w:szCs w:val="19"/>
          <w:u w:val="single" w:color="auto"/>
          <w:color w:val="0000FF"/>
        </w:rPr>
        <w:t>first day of such Interest Period, as such rate is published by the Term CORRA Administrator;</w:t>
      </w:r>
      <w:r>
        <w:rPr>
          <w:rFonts w:ascii="Times New Roman" w:cs="Times New Roman" w:eastAsia="Times New Roman" w:hAnsi="Times New Roman"/>
          <w:sz w:val="19"/>
          <w:szCs w:val="19"/>
          <w:u w:val="single" w:color="auto"/>
          <w:color w:val="007F00"/>
        </w:rPr>
        <w:t xml:space="preserve"> </w:t>
      </w:r>
      <w:r>
        <w:rPr>
          <w:rFonts w:ascii="Times New Roman" w:cs="Times New Roman" w:eastAsia="Times New Roman" w:hAnsi="Times New Roman"/>
          <w:sz w:val="19"/>
          <w:szCs w:val="19"/>
          <w:u w:val="single" w:color="auto"/>
          <w:color w:val="0000FF"/>
        </w:rPr>
        <w:t>provided, however, that if as of 5:00 p.m. (Toronto time) on any Periodic Term CORRA Determination Date the Term CORRA Reference Rate for the applicable tenor has not been published by the Term CORRA Administrator and a Benchmark Replacement Date with respect to the Term CORRA Reference Rate has not occurred, then Term CORRA will be the Term CORRA Reference Rate for such tenor as published by the Term CORRA Administrator on the first preceding Business Day for which such Term CORRA Reference Rate for such tenor was published by the Term CORRA Administrator so long as such first preceding Business Day is not more than three (3</w:t>
      </w:r>
      <w:r>
        <w:rPr>
          <w:rFonts w:ascii="Times New Roman" w:cs="Times New Roman" w:eastAsia="Times New Roman" w:hAnsi="Times New Roman"/>
          <w:sz w:val="19"/>
          <w:szCs w:val="19"/>
          <w:u w:val="single" w:color="auto"/>
          <w:color w:val="007F00"/>
        </w:rPr>
        <w:t>) Business Days</w:t>
      </w:r>
      <w:r>
        <w:rPr>
          <w:rFonts w:ascii="Times New Roman" w:cs="Times New Roman" w:eastAsia="Times New Roman" w:hAnsi="Times New Roman"/>
          <w:sz w:val="19"/>
          <w:szCs w:val="19"/>
          <w:u w:val="single" w:color="auto"/>
          <w:color w:val="0000FF"/>
        </w:rPr>
        <w:t xml:space="preserve"> prior to such Periodic Term CORRA Determination Date.</w:t>
      </w:r>
    </w:p>
    <w:p>
      <w:pPr>
        <w:spacing w:after="0" w:line="159" w:lineRule="exact"/>
        <w:rPr>
          <w:sz w:val="20"/>
          <w:szCs w:val="20"/>
          <w:color w:val="auto"/>
        </w:rPr>
      </w:pPr>
    </w:p>
    <w:p>
      <w:pPr>
        <w:ind w:left="620" w:right="60" w:firstLine="642"/>
        <w:spacing w:after="0" w:line="277" w:lineRule="auto"/>
        <w:rPr>
          <w:sz w:val="20"/>
          <w:szCs w:val="20"/>
          <w:color w:val="auto"/>
        </w:rPr>
      </w:pPr>
      <w:r>
        <w:rPr>
          <w:rFonts w:ascii="Times New Roman" w:cs="Times New Roman" w:eastAsia="Times New Roman" w:hAnsi="Times New Roman"/>
          <w:sz w:val="20"/>
          <w:szCs w:val="20"/>
          <w:u w:val="single" w:color="auto"/>
          <w:color w:val="0000FF"/>
        </w:rPr>
        <w:t xml:space="preserve">“Term CORRA Adjustment” means, with respect to any Term CORRA Loan, a percentage </w:t>
      </w:r>
      <w:r>
        <w:rPr>
          <w:rFonts w:ascii="Times New Roman" w:cs="Times New Roman" w:eastAsia="Times New Roman" w:hAnsi="Times New Roman"/>
          <w:sz w:val="20"/>
          <w:szCs w:val="20"/>
          <w:u w:val="single" w:color="auto"/>
          <w:color w:val="007F00"/>
        </w:rPr>
        <w:t>per annum</w:t>
      </w:r>
      <w:r>
        <w:rPr>
          <w:rFonts w:ascii="Times New Roman" w:cs="Times New Roman" w:eastAsia="Times New Roman" w:hAnsi="Times New Roman"/>
          <w:sz w:val="20"/>
          <w:szCs w:val="20"/>
          <w:u w:val="single" w:color="auto"/>
          <w:color w:val="0000FF"/>
        </w:rPr>
        <w:t xml:space="preserve"> as set forth below </w:t>
      </w:r>
      <w:r>
        <w:rPr>
          <w:rFonts w:ascii="Times New Roman" w:cs="Times New Roman" w:eastAsia="Times New Roman" w:hAnsi="Times New Roman"/>
          <w:sz w:val="20"/>
          <w:szCs w:val="20"/>
          <w:u w:val="single" w:color="auto"/>
          <w:color w:val="007F00"/>
        </w:rPr>
        <w:t>for</w:t>
      </w:r>
      <w:r>
        <w:rPr>
          <w:rFonts w:ascii="Times New Roman" w:cs="Times New Roman" w:eastAsia="Times New Roman" w:hAnsi="Times New Roman"/>
          <w:sz w:val="20"/>
          <w:szCs w:val="20"/>
          <w:u w:val="single" w:color="auto"/>
          <w:color w:val="0000FF"/>
        </w:rPr>
        <w:t xml:space="preserve"> </w:t>
      </w:r>
      <w:r>
        <w:rPr>
          <w:rFonts w:ascii="Times New Roman" w:cs="Times New Roman" w:eastAsia="Times New Roman" w:hAnsi="Times New Roman"/>
          <w:sz w:val="20"/>
          <w:szCs w:val="20"/>
          <w:u w:val="single" w:color="auto"/>
          <w:color w:val="007F00"/>
        </w:rPr>
        <w:t xml:space="preserve">the applicable Interest Period </w:t>
      </w:r>
      <w:r>
        <w:rPr>
          <w:rFonts w:ascii="Times New Roman" w:cs="Times New Roman" w:eastAsia="Times New Roman" w:hAnsi="Times New Roman"/>
          <w:sz w:val="20"/>
          <w:szCs w:val="20"/>
          <w:u w:val="single" w:color="auto"/>
          <w:color w:val="0000FF"/>
        </w:rPr>
        <w:t>therefor: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76</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-43180</wp:posOffset>
            </wp:positionV>
            <wp:extent cx="8255" cy="1016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83">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1040"/>
          </w:cols>
          <w:pgMar w:left="380" w:top="1440" w:right="479" w:bottom="1440" w:gutter="0" w:footer="0" w:header="0"/>
        </w:sectPr>
      </w:pPr>
    </w:p>
    <w:bookmarkStart w:id="225" w:name="page226"/>
    <w:bookmarkEnd w:id="225"/>
    <w:tbl>
      <w:tblPr>
        <w:tblLayout w:type="fixed"/>
        <w:tblInd w:w="1910" w:type="dxa"/>
        <w:tblCellMar>
          <w:top w:w="0" w:type="dxa"/>
          <w:left w:w="0" w:type="dxa"/>
          <w:bottom w:w="0" w:type="dxa"/>
          <w:right w:w="0" w:type="dxa"/>
        </w:tblCellMar>
      </w:tblPr>
      <w:tr>
        <w:trPr>
          <w:trHeight w:val="281"/>
        </w:trPr>
        <w:tc>
          <w:tcPr>
            <w:tcW w:w="2880" w:type="dxa"/>
            <w:vAlign w:val="bottom"/>
            <w:tcBorders>
              <w:top w:val="single" w:sz="8" w:color="010101"/>
              <w:left w:val="single" w:sz="8" w:color="010101"/>
              <w:bottom w:val="single" w:sz="8" w:color="010101"/>
              <w:right w:val="single" w:sz="8" w:color="010101"/>
            </w:tcBorders>
            <w:gridSpan w:val="7"/>
            <w:shd w:val="clear" w:color="auto" w:fill="E6E6F9"/>
          </w:tcPr>
          <w:p>
            <w:pPr>
              <w:jc w:val="center"/>
              <w:ind w:right="20"/>
              <w:spacing w:after="0"/>
              <w:rPr>
                <w:sz w:val="20"/>
                <w:szCs w:val="20"/>
                <w:color w:val="auto"/>
              </w:rPr>
            </w:pPr>
            <w:r>
              <w:rPr>
                <w:rFonts w:ascii="Times New Roman" w:cs="Times New Roman" w:eastAsia="Times New Roman" w:hAnsi="Times New Roman"/>
                <w:sz w:val="18"/>
                <w:szCs w:val="18"/>
                <w:b w:val="1"/>
                <w:bCs w:val="1"/>
                <w:color w:val="0000FF"/>
                <w:w w:val="98"/>
              </w:rPr>
              <w:t>Interest Period</w:t>
            </w:r>
          </w:p>
        </w:tc>
        <w:tc>
          <w:tcPr>
            <w:tcW w:w="1040" w:type="dxa"/>
            <w:vAlign w:val="bottom"/>
            <w:tcBorders>
              <w:top w:val="single" w:sz="8" w:color="010101"/>
              <w:bottom w:val="single" w:sz="8" w:color="010101"/>
            </w:tcBorders>
            <w:shd w:val="clear" w:color="auto" w:fill="E6E6F9"/>
          </w:tcPr>
          <w:p>
            <w:pPr>
              <w:spacing w:after="0"/>
              <w:rPr>
                <w:sz w:val="24"/>
                <w:szCs w:val="24"/>
                <w:color w:val="auto"/>
              </w:rPr>
            </w:pPr>
          </w:p>
        </w:tc>
        <w:tc>
          <w:tcPr>
            <w:tcW w:w="1920" w:type="dxa"/>
            <w:vAlign w:val="bottom"/>
            <w:tcBorders>
              <w:top w:val="single" w:sz="8" w:color="010101"/>
              <w:bottom w:val="single" w:sz="8" w:color="010101"/>
              <w:right w:val="single" w:sz="8" w:color="010101"/>
            </w:tcBorders>
            <w:gridSpan w:val="4"/>
            <w:shd w:val="clear" w:color="auto" w:fill="E6E6F9"/>
          </w:tcPr>
          <w:p>
            <w:pPr>
              <w:jc w:val="center"/>
              <w:ind w:right="1080"/>
              <w:spacing w:after="0"/>
              <w:rPr>
                <w:sz w:val="20"/>
                <w:szCs w:val="20"/>
                <w:color w:val="auto"/>
              </w:rPr>
            </w:pPr>
            <w:r>
              <w:rPr>
                <w:rFonts w:ascii="Times New Roman" w:cs="Times New Roman" w:eastAsia="Times New Roman" w:hAnsi="Times New Roman"/>
                <w:sz w:val="18"/>
                <w:szCs w:val="18"/>
                <w:b w:val="1"/>
                <w:bCs w:val="1"/>
                <w:color w:val="0000FF"/>
                <w:w w:val="98"/>
              </w:rPr>
              <w:t>Percentage</w:t>
            </w:r>
          </w:p>
        </w:tc>
      </w:tr>
      <w:tr>
        <w:trPr>
          <w:trHeight w:val="261"/>
        </w:trPr>
        <w:tc>
          <w:tcPr>
            <w:tcW w:w="860" w:type="dxa"/>
            <w:vAlign w:val="bottom"/>
            <w:tcBorders>
              <w:left w:val="single" w:sz="8" w:color="010101"/>
              <w:bottom w:val="single" w:sz="8" w:color="010101"/>
            </w:tcBorders>
            <w:shd w:val="clear" w:color="auto" w:fill="E6E6F9"/>
          </w:tcPr>
          <w:p>
            <w:pPr>
              <w:spacing w:after="0"/>
              <w:rPr>
                <w:sz w:val="22"/>
                <w:szCs w:val="22"/>
                <w:color w:val="auto"/>
              </w:rPr>
            </w:pPr>
          </w:p>
        </w:tc>
        <w:tc>
          <w:tcPr>
            <w:tcW w:w="80" w:type="dxa"/>
            <w:vAlign w:val="bottom"/>
            <w:tcBorders>
              <w:bottom w:val="single" w:sz="8" w:color="010101"/>
            </w:tcBorders>
            <w:shd w:val="clear" w:color="auto" w:fill="E6E6F9"/>
          </w:tcPr>
          <w:p>
            <w:pPr>
              <w:spacing w:after="0"/>
              <w:rPr>
                <w:sz w:val="22"/>
                <w:szCs w:val="22"/>
                <w:color w:val="auto"/>
              </w:rPr>
            </w:pPr>
          </w:p>
        </w:tc>
        <w:tc>
          <w:tcPr>
            <w:tcW w:w="80" w:type="dxa"/>
            <w:vAlign w:val="bottom"/>
            <w:tcBorders>
              <w:bottom w:val="single" w:sz="8" w:color="010101"/>
            </w:tcBorders>
            <w:shd w:val="clear" w:color="auto" w:fill="E6E6F9"/>
          </w:tcPr>
          <w:p>
            <w:pPr>
              <w:spacing w:after="0"/>
              <w:rPr>
                <w:sz w:val="22"/>
                <w:szCs w:val="22"/>
                <w:color w:val="auto"/>
              </w:rPr>
            </w:pPr>
          </w:p>
        </w:tc>
        <w:tc>
          <w:tcPr>
            <w:tcW w:w="1860" w:type="dxa"/>
            <w:vAlign w:val="bottom"/>
            <w:tcBorders>
              <w:bottom w:val="single" w:sz="8" w:color="010101"/>
              <w:right w:val="single" w:sz="8" w:color="010101"/>
            </w:tcBorders>
            <w:gridSpan w:val="4"/>
            <w:shd w:val="clear" w:color="auto" w:fill="E6E6F9"/>
          </w:tcPr>
          <w:p>
            <w:pPr>
              <w:jc w:val="center"/>
              <w:ind w:right="1060"/>
              <w:spacing w:after="0" w:line="194" w:lineRule="exact"/>
              <w:rPr>
                <w:sz w:val="20"/>
                <w:szCs w:val="20"/>
                <w:color w:val="auto"/>
              </w:rPr>
            </w:pPr>
            <w:r>
              <w:rPr>
                <w:rFonts w:ascii="Times New Roman" w:cs="Times New Roman" w:eastAsia="Times New Roman" w:hAnsi="Times New Roman"/>
                <w:sz w:val="18"/>
                <w:szCs w:val="18"/>
                <w:color w:val="0000FF"/>
                <w:w w:val="99"/>
              </w:rPr>
              <w:t>One month</w:t>
            </w:r>
          </w:p>
        </w:tc>
        <w:tc>
          <w:tcPr>
            <w:tcW w:w="1880" w:type="dxa"/>
            <w:vAlign w:val="bottom"/>
            <w:tcBorders>
              <w:bottom w:val="single" w:sz="8" w:color="010101"/>
            </w:tcBorders>
            <w:gridSpan w:val="4"/>
            <w:shd w:val="clear" w:color="auto" w:fill="E6E6F9"/>
          </w:tcPr>
          <w:p>
            <w:pPr>
              <w:jc w:val="center"/>
              <w:ind w:left="951"/>
              <w:spacing w:after="0" w:line="194" w:lineRule="exact"/>
              <w:rPr>
                <w:sz w:val="20"/>
                <w:szCs w:val="20"/>
                <w:color w:val="auto"/>
              </w:rPr>
            </w:pPr>
            <w:r>
              <w:rPr>
                <w:rFonts w:ascii="Times New Roman" w:cs="Times New Roman" w:eastAsia="Times New Roman" w:hAnsi="Times New Roman"/>
                <w:sz w:val="18"/>
                <w:szCs w:val="18"/>
                <w:color w:val="0000FF"/>
                <w:w w:val="97"/>
              </w:rPr>
              <w:t>0.</w:t>
            </w:r>
            <w:r>
              <w:rPr>
                <w:rFonts w:ascii="Times New Roman" w:cs="Times New Roman" w:eastAsia="Times New Roman" w:hAnsi="Times New Roman"/>
                <w:sz w:val="18"/>
                <w:szCs w:val="18"/>
                <w:u w:val="single" w:color="auto"/>
                <w:color w:val="0000FF"/>
                <w:w w:val="97"/>
              </w:rPr>
              <w:t>29547%</w:t>
            </w:r>
          </w:p>
        </w:tc>
        <w:tc>
          <w:tcPr>
            <w:tcW w:w="1080" w:type="dxa"/>
            <w:vAlign w:val="bottom"/>
            <w:tcBorders>
              <w:bottom w:val="single" w:sz="8" w:color="010101"/>
              <w:right w:val="single" w:sz="8" w:color="010101"/>
            </w:tcBorders>
            <w:shd w:val="clear" w:color="auto" w:fill="E6E6F9"/>
          </w:tcPr>
          <w:p>
            <w:pPr>
              <w:spacing w:after="0"/>
              <w:rPr>
                <w:sz w:val="22"/>
                <w:szCs w:val="22"/>
                <w:color w:val="auto"/>
              </w:rPr>
            </w:pPr>
          </w:p>
        </w:tc>
      </w:tr>
      <w:tr>
        <w:trPr>
          <w:trHeight w:val="261"/>
        </w:trPr>
        <w:tc>
          <w:tcPr>
            <w:tcW w:w="860" w:type="dxa"/>
            <w:vAlign w:val="bottom"/>
            <w:tcBorders>
              <w:left w:val="single" w:sz="8" w:color="010101"/>
              <w:bottom w:val="single" w:sz="8" w:color="010101"/>
            </w:tcBorders>
            <w:shd w:val="clear" w:color="auto" w:fill="E6E6F9"/>
          </w:tcPr>
          <w:p>
            <w:pPr>
              <w:spacing w:after="0"/>
              <w:rPr>
                <w:sz w:val="22"/>
                <w:szCs w:val="22"/>
                <w:color w:val="auto"/>
              </w:rPr>
            </w:pPr>
          </w:p>
        </w:tc>
        <w:tc>
          <w:tcPr>
            <w:tcW w:w="80" w:type="dxa"/>
            <w:vAlign w:val="bottom"/>
            <w:tcBorders>
              <w:bottom w:val="single" w:sz="8" w:color="010101"/>
            </w:tcBorders>
            <w:shd w:val="clear" w:color="auto" w:fill="E6E6F9"/>
          </w:tcPr>
          <w:p>
            <w:pPr>
              <w:spacing w:after="0"/>
              <w:rPr>
                <w:sz w:val="22"/>
                <w:szCs w:val="22"/>
                <w:color w:val="auto"/>
              </w:rPr>
            </w:pPr>
          </w:p>
        </w:tc>
        <w:tc>
          <w:tcPr>
            <w:tcW w:w="1940" w:type="dxa"/>
            <w:vAlign w:val="bottom"/>
            <w:tcBorders>
              <w:bottom w:val="single" w:sz="8" w:color="010101"/>
              <w:right w:val="single" w:sz="8" w:color="010101"/>
            </w:tcBorders>
            <w:gridSpan w:val="5"/>
            <w:shd w:val="clear" w:color="auto" w:fill="E6E6F9"/>
          </w:tcPr>
          <w:p>
            <w:pPr>
              <w:jc w:val="center"/>
              <w:ind w:right="960"/>
              <w:spacing w:after="0" w:line="194" w:lineRule="exact"/>
              <w:rPr>
                <w:sz w:val="20"/>
                <w:szCs w:val="20"/>
                <w:color w:val="auto"/>
              </w:rPr>
            </w:pPr>
            <w:r>
              <w:rPr>
                <w:rFonts w:ascii="Times New Roman" w:cs="Times New Roman" w:eastAsia="Times New Roman" w:hAnsi="Times New Roman"/>
                <w:sz w:val="18"/>
                <w:szCs w:val="18"/>
                <w:color w:val="0000FF"/>
                <w:w w:val="98"/>
              </w:rPr>
              <w:t>Three months</w:t>
            </w:r>
          </w:p>
        </w:tc>
        <w:tc>
          <w:tcPr>
            <w:tcW w:w="1880" w:type="dxa"/>
            <w:vAlign w:val="bottom"/>
            <w:tcBorders>
              <w:bottom w:val="single" w:sz="8" w:color="010101"/>
            </w:tcBorders>
            <w:gridSpan w:val="4"/>
            <w:shd w:val="clear" w:color="auto" w:fill="E6E6F9"/>
          </w:tcPr>
          <w:p>
            <w:pPr>
              <w:jc w:val="center"/>
              <w:ind w:left="951"/>
              <w:spacing w:after="0" w:line="194" w:lineRule="exact"/>
              <w:rPr>
                <w:sz w:val="20"/>
                <w:szCs w:val="20"/>
                <w:color w:val="auto"/>
              </w:rPr>
            </w:pPr>
            <w:r>
              <w:rPr>
                <w:rFonts w:ascii="Times New Roman" w:cs="Times New Roman" w:eastAsia="Times New Roman" w:hAnsi="Times New Roman"/>
                <w:sz w:val="18"/>
                <w:szCs w:val="18"/>
                <w:color w:val="0000FF"/>
                <w:w w:val="97"/>
              </w:rPr>
              <w:t>0.</w:t>
            </w:r>
            <w:r>
              <w:rPr>
                <w:rFonts w:ascii="Times New Roman" w:cs="Times New Roman" w:eastAsia="Times New Roman" w:hAnsi="Times New Roman"/>
                <w:sz w:val="18"/>
                <w:szCs w:val="18"/>
                <w:u w:val="single" w:color="auto"/>
                <w:color w:val="0000FF"/>
                <w:w w:val="97"/>
              </w:rPr>
              <w:t>32138%</w:t>
            </w:r>
          </w:p>
        </w:tc>
        <w:tc>
          <w:tcPr>
            <w:tcW w:w="1080" w:type="dxa"/>
            <w:vAlign w:val="bottom"/>
            <w:tcBorders>
              <w:bottom w:val="single" w:sz="8" w:color="010101"/>
              <w:right w:val="single" w:sz="8" w:color="010101"/>
            </w:tcBorders>
            <w:shd w:val="clear" w:color="auto" w:fill="E6E6F9"/>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440" w:val="left"/>
        </w:tabs>
        <w:rPr>
          <w:sz w:val="20"/>
          <w:szCs w:val="20"/>
          <w:color w:val="auto"/>
        </w:rPr>
      </w:pPr>
      <w:r>
        <w:rPr>
          <w:sz w:val="1"/>
          <w:szCs w:val="1"/>
          <w:color w:val="auto"/>
        </w:rPr>
        <w:drawing>
          <wp:inline distT="0" distB="0" distL="0" distR="0">
            <wp:extent cx="8255" cy="101600"/>
            <wp:effectExtent l="0" t="0" r="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84">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77</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ectPr>
          <w:pgSz w:w="11900" w:h="16838" w:orient="portrait"/>
          <w:cols w:equalWidth="0" w:num="1">
            <w:col w:w="10139"/>
          </w:cols>
          <w:pgMar w:left="320" w:top="1350" w:right="1440" w:bottom="1440" w:gutter="0" w:footer="0" w:header="0"/>
        </w:sectPr>
      </w:pPr>
    </w:p>
    <w:bookmarkStart w:id="226" w:name="page227"/>
    <w:bookmarkEnd w:id="226"/>
    <w:p>
      <w:pPr>
        <w:spacing w:after="0" w:line="389" w:lineRule="exact"/>
        <w:rPr>
          <w:sz w:val="20"/>
          <w:szCs w:val="20"/>
          <w:color w:val="auto"/>
        </w:rPr>
      </w:pPr>
    </w:p>
    <w:p>
      <w:pPr>
        <w:jc w:val="both"/>
        <w:ind w:left="620" w:right="40" w:firstLine="642"/>
        <w:spacing w:after="0" w:line="255" w:lineRule="auto"/>
        <w:rPr>
          <w:sz w:val="20"/>
          <w:szCs w:val="20"/>
          <w:color w:val="auto"/>
        </w:rPr>
      </w:pPr>
      <w:r>
        <w:rPr>
          <w:rFonts w:ascii="Times New Roman" w:cs="Times New Roman" w:eastAsia="Times New Roman" w:hAnsi="Times New Roman"/>
          <w:sz w:val="20"/>
          <w:szCs w:val="20"/>
          <w:u w:val="single" w:color="auto"/>
          <w:color w:val="0000FF"/>
        </w:rPr>
        <w:t>“Term CORRA Administrator” means CanDeal Benchmark Administration Services Inc. (“CanDeal”) or, in the reasonable discretion of the Administrative Agent, TSX Inc. or an affiliate of TSX Inc. as the publication source of the CanDeal/TMX Term CORRA benchmark that is administered by CanDeal (or a successor administrator of the Term CORRA Reference Rate selected by the Administrative Agent in its reasonable discretion).</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u w:val="single" w:color="auto"/>
          <w:color w:val="0000FF"/>
        </w:rPr>
        <w:t xml:space="preserve">“Term CORRA </w:t>
      </w:r>
      <w:r>
        <w:rPr>
          <w:rFonts w:ascii="Times New Roman" w:cs="Times New Roman" w:eastAsia="Times New Roman" w:hAnsi="Times New Roman"/>
          <w:sz w:val="20"/>
          <w:szCs w:val="20"/>
          <w:u w:val="single" w:color="auto"/>
          <w:color w:val="007F00"/>
        </w:rPr>
        <w:t>Loan” means</w:t>
      </w:r>
      <w:r>
        <w:rPr>
          <w:rFonts w:ascii="Times New Roman" w:cs="Times New Roman" w:eastAsia="Times New Roman" w:hAnsi="Times New Roman"/>
          <w:sz w:val="20"/>
          <w:szCs w:val="20"/>
          <w:u w:val="single" w:color="auto"/>
          <w:color w:val="0000FF"/>
        </w:rPr>
        <w:t xml:space="preserve"> a Loan that bears </w:t>
      </w:r>
      <w:r>
        <w:rPr>
          <w:rFonts w:ascii="Times New Roman" w:cs="Times New Roman" w:eastAsia="Times New Roman" w:hAnsi="Times New Roman"/>
          <w:sz w:val="20"/>
          <w:szCs w:val="20"/>
          <w:u w:val="single" w:color="auto"/>
          <w:color w:val="007F00"/>
        </w:rPr>
        <w:t>interest at a rate</w:t>
      </w:r>
      <w:r>
        <w:rPr>
          <w:rFonts w:ascii="Times New Roman" w:cs="Times New Roman" w:eastAsia="Times New Roman" w:hAnsi="Times New Roman"/>
          <w:sz w:val="20"/>
          <w:szCs w:val="20"/>
          <w:u w:val="single" w:color="auto"/>
          <w:color w:val="0000FF"/>
        </w:rPr>
        <w:t xml:space="preserve"> based on Adjusted Term CORRA.</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u w:val="single" w:color="auto"/>
          <w:color w:val="0000FF"/>
        </w:rPr>
        <w:t xml:space="preserve">“Term CORRA Reference </w:t>
      </w:r>
      <w:r>
        <w:rPr>
          <w:rFonts w:ascii="Times New Roman" w:cs="Times New Roman" w:eastAsia="Times New Roman" w:hAnsi="Times New Roman"/>
          <w:sz w:val="20"/>
          <w:szCs w:val="20"/>
          <w:u w:val="single" w:color="auto"/>
          <w:color w:val="007F00"/>
        </w:rPr>
        <w:t>Rate” means the</w:t>
      </w:r>
      <w:r>
        <w:rPr>
          <w:rFonts w:ascii="Times New Roman" w:cs="Times New Roman" w:eastAsia="Times New Roman" w:hAnsi="Times New Roman"/>
          <w:sz w:val="20"/>
          <w:szCs w:val="20"/>
          <w:u w:val="single" w:color="auto"/>
          <w:color w:val="0000FF"/>
        </w:rPr>
        <w:t xml:space="preserve"> forward-looking term rate based on CORRA.</w:t>
      </w:r>
    </w:p>
    <w:p>
      <w:pPr>
        <w:spacing w:after="0" w:line="211" w:lineRule="exact"/>
        <w:rPr>
          <w:sz w:val="20"/>
          <w:szCs w:val="20"/>
          <w:color w:val="auto"/>
        </w:rPr>
      </w:pPr>
    </w:p>
    <w:p>
      <w:pPr>
        <w:jc w:val="both"/>
        <w:ind w:left="620" w:right="20" w:firstLine="642"/>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Loan Commitment</w:t>
      </w:r>
      <w:r>
        <w:rPr>
          <w:rFonts w:ascii="Times New Roman" w:cs="Times New Roman" w:eastAsia="Times New Roman" w:hAnsi="Times New Roman"/>
          <w:sz w:val="19"/>
          <w:szCs w:val="19"/>
          <w:color w:val="auto"/>
        </w:rPr>
        <w:t>” means (a) as to any Term Loan Lender, the obligation of such Term Loan Lender to make a portion of the Initial Term Loan and/or Incremental Term Loans, as applicable, to the account of the US Borrowers or the Canadian Borrowers, as applicable, hereunder on the Closing Date or the applicable borrowing date (in the case of any Incremental Term Loan) in an aggregate principal amount not to exceed the amount set forth opposite such Lender’s name on the Register, as such amount may be increased, reduced or otherwise modified at any time or from time to time pursuant to the terms hereof and (b) as to all Term Loan Lenders, the aggregate commitment of all Term Loan Lenders to make such Initial Term Loan. The aggregate Term Loan Commitment with respect to the Initial Term Loan of all Term Loan Lenders on the Closing Date shall be $1,145,000,000.</w:t>
      </w:r>
    </w:p>
    <w:p>
      <w:pPr>
        <w:spacing w:after="0" w:line="164" w:lineRule="exact"/>
        <w:rPr>
          <w:sz w:val="20"/>
          <w:szCs w:val="20"/>
          <w:color w:val="auto"/>
        </w:rPr>
      </w:pPr>
    </w:p>
    <w:p>
      <w:pPr>
        <w:jc w:val="both"/>
        <w:ind w:left="620" w:right="60" w:firstLine="642"/>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 Facility</w:t>
      </w:r>
      <w:r>
        <w:rPr>
          <w:rFonts w:ascii="Times New Roman" w:cs="Times New Roman" w:eastAsia="Times New Roman" w:hAnsi="Times New Roman"/>
          <w:sz w:val="20"/>
          <w:szCs w:val="20"/>
          <w:color w:val="auto"/>
        </w:rPr>
        <w:t xml:space="preserve">” means the term loan facility established pursuant to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(including any new term loan facility established pursuant to </w:t>
      </w:r>
      <w:r>
        <w:rPr>
          <w:rFonts w:ascii="Times New Roman" w:cs="Times New Roman" w:eastAsia="Times New Roman" w:hAnsi="Times New Roman"/>
          <w:sz w:val="20"/>
          <w:szCs w:val="20"/>
          <w:u w:val="single" w:color="auto"/>
          <w:color w:val="auto"/>
        </w:rPr>
        <w:t>Section 5.13</w:t>
      </w:r>
      <w:r>
        <w:rPr>
          <w:rFonts w:ascii="Times New Roman" w:cs="Times New Roman" w:eastAsia="Times New Roman" w:hAnsi="Times New Roman"/>
          <w:sz w:val="20"/>
          <w:szCs w:val="20"/>
          <w:color w:val="auto"/>
        </w:rPr>
        <w:t>, each facility providing for the borrowing of Refinancing Term Loans and each facility providing for the borrowing of Extended Term Loans).</w:t>
      </w:r>
    </w:p>
    <w:p>
      <w:pPr>
        <w:spacing w:after="0" w:line="171" w:lineRule="exact"/>
        <w:rPr>
          <w:sz w:val="20"/>
          <w:szCs w:val="20"/>
          <w:color w:val="auto"/>
        </w:rPr>
      </w:pPr>
    </w:p>
    <w:p>
      <w:pPr>
        <w:jc w:val="both"/>
        <w:ind w:left="620" w:firstLine="642"/>
        <w:spacing w:after="0" w:line="26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 Lender</w:t>
      </w:r>
      <w:r>
        <w:rPr>
          <w:rFonts w:ascii="Times New Roman" w:cs="Times New Roman" w:eastAsia="Times New Roman" w:hAnsi="Times New Roman"/>
          <w:sz w:val="20"/>
          <w:szCs w:val="20"/>
          <w:color w:val="auto"/>
        </w:rPr>
        <w:t>” means any Lender with a Term Loan Commitment and/or outstanding Term Loans, each reference to a “Term Loan Lender” shall be deemed to include such Term Loan Lender’s Applicable Designee with respect to the portion of such Term Loan Lender’s Term Loan Commitment funded by such Applicable Designee.</w:t>
      </w:r>
    </w:p>
    <w:p>
      <w:pPr>
        <w:spacing w:after="0" w:line="164" w:lineRule="exact"/>
        <w:rPr>
          <w:sz w:val="20"/>
          <w:szCs w:val="20"/>
          <w:color w:val="auto"/>
        </w:rPr>
      </w:pPr>
    </w:p>
    <w:p>
      <w:pPr>
        <w:jc w:val="both"/>
        <w:ind w:left="620" w:right="60" w:firstLine="642"/>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 Maturity Date</w:t>
      </w:r>
      <w:r>
        <w:rPr>
          <w:rFonts w:ascii="Times New Roman" w:cs="Times New Roman" w:eastAsia="Times New Roman" w:hAnsi="Times New Roman"/>
          <w:sz w:val="20"/>
          <w:szCs w:val="20"/>
          <w:color w:val="auto"/>
        </w:rPr>
        <w:t xml:space="preserve">” means the first to occur of (a) August 27, 2028 and (b) the date of acceleration of the Term Loans pursuant to </w:t>
      </w:r>
      <w:r>
        <w:rPr>
          <w:rFonts w:ascii="Times New Roman" w:cs="Times New Roman" w:eastAsia="Times New Roman" w:hAnsi="Times New Roman"/>
          <w:sz w:val="20"/>
          <w:szCs w:val="20"/>
          <w:u w:val="single" w:color="auto"/>
          <w:color w:val="auto"/>
        </w:rPr>
        <w:t>Section 10.2(a)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Term Loan Maturity Date applicable to Incremental Term Loans, Extended Term Loans and Refinancing Term Loans shall be the final maturity date specified in the relevant documentation for such Incremental Term Loans, Extended Term Loans and Refinancing Term Loans.</w:t>
      </w:r>
    </w:p>
    <w:p>
      <w:pPr>
        <w:spacing w:after="0" w:line="173" w:lineRule="exact"/>
        <w:rPr>
          <w:sz w:val="20"/>
          <w:szCs w:val="20"/>
          <w:color w:val="auto"/>
        </w:rPr>
      </w:pPr>
    </w:p>
    <w:p>
      <w:pPr>
        <w:jc w:val="both"/>
        <w:ind w:left="620" w:right="40" w:firstLine="642"/>
        <w:spacing w:after="0" w:line="30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Loan Percentage</w:t>
      </w:r>
      <w:r>
        <w:rPr>
          <w:rFonts w:ascii="Times New Roman" w:cs="Times New Roman" w:eastAsia="Times New Roman" w:hAnsi="Times New Roman"/>
          <w:sz w:val="19"/>
          <w:szCs w:val="19"/>
          <w:color w:val="auto"/>
        </w:rPr>
        <w:t>” means, with respect to any Term Loan Lender at any time, the percentage of the total outstanding principal balance of the Term Loans represented by the outstanding principal balance of such Term Loan Lender’s Term Loans.</w:t>
      </w:r>
    </w:p>
    <w:p>
      <w:pPr>
        <w:spacing w:after="0" w:line="129" w:lineRule="exact"/>
        <w:rPr>
          <w:sz w:val="20"/>
          <w:szCs w:val="20"/>
          <w:color w:val="auto"/>
        </w:rPr>
      </w:pPr>
    </w:p>
    <w:p>
      <w:pPr>
        <w:jc w:val="both"/>
        <w:ind w:left="620" w:right="60" w:firstLine="642"/>
        <w:spacing w:after="0" w:line="27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Loans</w:t>
      </w:r>
      <w:r>
        <w:rPr>
          <w:rFonts w:ascii="Times New Roman" w:cs="Times New Roman" w:eastAsia="Times New Roman" w:hAnsi="Times New Roman"/>
          <w:sz w:val="20"/>
          <w:szCs w:val="20"/>
          <w:color w:val="auto"/>
        </w:rPr>
        <w:t>” means the Initial Term Loan and, if applicable, the Incremental Term Loans, the Extended Term Loans and the Refinancing Term Loans, and “</w:t>
      </w:r>
      <w:r>
        <w:rPr>
          <w:rFonts w:ascii="Times New Roman" w:cs="Times New Roman" w:eastAsia="Times New Roman" w:hAnsi="Times New Roman"/>
          <w:sz w:val="20"/>
          <w:szCs w:val="20"/>
          <w:u w:val="single" w:color="auto"/>
          <w:color w:val="auto"/>
        </w:rPr>
        <w:t>Term Loan</w:t>
      </w:r>
      <w:r>
        <w:rPr>
          <w:rFonts w:ascii="Times New Roman" w:cs="Times New Roman" w:eastAsia="Times New Roman" w:hAnsi="Times New Roman"/>
          <w:sz w:val="20"/>
          <w:szCs w:val="20"/>
          <w:color w:val="auto"/>
        </w:rPr>
        <w:t>” means any of such Term Loans.</w:t>
      </w:r>
    </w:p>
    <w:p>
      <w:pPr>
        <w:spacing w:after="0" w:line="15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w:t>
      </w:r>
      <w:r>
        <w:rPr>
          <w:rFonts w:ascii="Times New Roman" w:cs="Times New Roman" w:eastAsia="Times New Roman" w:hAnsi="Times New Roman"/>
          <w:sz w:val="20"/>
          <w:szCs w:val="20"/>
          <w:color w:val="auto"/>
        </w:rPr>
        <w:t>” means:</w:t>
      </w:r>
    </w:p>
    <w:p>
      <w:pPr>
        <w:spacing w:after="0" w:line="211" w:lineRule="exact"/>
        <w:rPr>
          <w:sz w:val="20"/>
          <w:szCs w:val="20"/>
          <w:color w:val="auto"/>
        </w:rPr>
      </w:pPr>
    </w:p>
    <w:p>
      <w:pPr>
        <w:jc w:val="both"/>
        <w:ind w:left="620" w:right="60" w:firstLine="646"/>
        <w:spacing w:after="0" w:line="264" w:lineRule="auto"/>
        <w:tabs>
          <w:tab w:leader="none" w:pos="1867"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calculation with respect to a SOFR Loan, the Term SOFR Reference Rate for a tenor comparable to the applicable Interest Period on the day (such day, the “</w:t>
      </w:r>
      <w:r>
        <w:rPr>
          <w:rFonts w:ascii="Times New Roman" w:cs="Times New Roman" w:eastAsia="Times New Roman" w:hAnsi="Times New Roman"/>
          <w:sz w:val="20"/>
          <w:szCs w:val="20"/>
          <w:u w:val="single" w:color="auto"/>
          <w:color w:val="auto"/>
        </w:rPr>
        <w:t>Periodic Term SOFR Determination Day</w:t>
      </w:r>
      <w:r>
        <w:rPr>
          <w:rFonts w:ascii="Times New Roman" w:cs="Times New Roman" w:eastAsia="Times New Roman" w:hAnsi="Times New Roman"/>
          <w:sz w:val="20"/>
          <w:szCs w:val="20"/>
          <w:color w:val="auto"/>
        </w:rPr>
        <w:t>”) that is two (2) US Government Securities Business Days prior to the first day of</w:t>
      </w:r>
    </w:p>
    <w:p>
      <w:pPr>
        <w:spacing w:after="0" w:line="200" w:lineRule="exact"/>
        <w:rPr>
          <w:sz w:val="20"/>
          <w:szCs w:val="20"/>
          <w:color w:val="auto"/>
        </w:rPr>
      </w:pPr>
    </w:p>
    <w:p>
      <w:pPr>
        <w:spacing w:after="0" w:line="37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78</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-42545</wp:posOffset>
            </wp:positionV>
            <wp:extent cx="8255" cy="1016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85">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1060"/>
          </w:cols>
          <w:pgMar w:left="380" w:top="1440" w:right="459" w:bottom="1440" w:gutter="0" w:footer="0" w:header="0"/>
        </w:sectPr>
      </w:pPr>
    </w:p>
    <w:bookmarkStart w:id="227" w:name="page228"/>
    <w:bookmarkEnd w:id="227"/>
    <w:p>
      <w:pPr>
        <w:jc w:val="both"/>
        <w:ind w:left="620" w:right="40"/>
        <w:spacing w:after="0" w:line="263" w:lineRule="auto"/>
        <w:rPr>
          <w:sz w:val="20"/>
          <w:szCs w:val="20"/>
          <w:color w:val="auto"/>
        </w:rPr>
      </w:pPr>
      <w:r>
        <w:rPr>
          <w:rFonts w:ascii="Times New Roman" w:cs="Times New Roman" w:eastAsia="Times New Roman" w:hAnsi="Times New Roman"/>
          <w:sz w:val="19"/>
          <w:szCs w:val="19"/>
          <w:color w:val="auto"/>
        </w:rPr>
        <w:t xml:space="preserve">such Interest Period, as such rate is published by the Term SOFR Administrator;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if as of 5:00 p.m. (Eastern time) on any Periodic Term SOFR Determination Day the Term SOFR Reference Rate for the applicable tenor has not been published by the Term SOFR Administrator and a Benchmark Replacement Date (Revolver)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70" w:lineRule="exact"/>
        <w:rPr>
          <w:sz w:val="20"/>
          <w:szCs w:val="20"/>
          <w:color w:val="auto"/>
        </w:rPr>
      </w:pPr>
    </w:p>
    <w:p>
      <w:pPr>
        <w:jc w:val="both"/>
        <w:ind w:left="620" w:firstLine="646"/>
        <w:spacing w:after="0" w:line="263" w:lineRule="auto"/>
        <w:tabs>
          <w:tab w:leader="none" w:pos="1865"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any calculation with respect to a Base Rate Loan on any day, the Term SOFR Reference Rate for a tenor of one month on the day (such day, the “</w:t>
      </w:r>
      <w:r>
        <w:rPr>
          <w:rFonts w:ascii="Times New Roman" w:cs="Times New Roman" w:eastAsia="Times New Roman" w:hAnsi="Times New Roman"/>
          <w:sz w:val="19"/>
          <w:szCs w:val="19"/>
          <w:u w:val="single" w:color="auto"/>
          <w:color w:val="auto"/>
        </w:rPr>
        <w:t>Base Rate Term SOFR Determination Day</w:t>
      </w:r>
      <w:r>
        <w:rPr>
          <w:rFonts w:ascii="Times New Roman" w:cs="Times New Roman" w:eastAsia="Times New Roman" w:hAnsi="Times New Roman"/>
          <w:sz w:val="19"/>
          <w:szCs w:val="19"/>
          <w:color w:val="auto"/>
        </w:rPr>
        <w:t xml:space="preserve">”) that is two (2) US Government Securities Business Days prior to such day, as such rate is published by the Term SOFR Administrator;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if as of 5:00 p.m. (Eastern time) on any Base Rate Term SOFR Determination Day the Term SOFR Reference Rate for the applicable tenor has not been published by the Term SOFR Administrator and a Benchmark Replacement Date (Revolver)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SOFR Determination Day.</w:t>
      </w:r>
    </w:p>
    <w:p>
      <w:pPr>
        <w:spacing w:after="0" w:line="1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Adjustment</w:t>
      </w:r>
      <w:r>
        <w:rPr>
          <w:rFonts w:ascii="Times New Roman" w:cs="Times New Roman" w:eastAsia="Times New Roman" w:hAnsi="Times New Roman"/>
          <w:sz w:val="20"/>
          <w:szCs w:val="20"/>
          <w:color w:val="auto"/>
        </w:rPr>
        <w:t>” means:</w:t>
      </w:r>
    </w:p>
    <w:p>
      <w:pPr>
        <w:spacing w:after="0" w:line="211" w:lineRule="exact"/>
        <w:rPr>
          <w:sz w:val="20"/>
          <w:szCs w:val="20"/>
          <w:color w:val="auto"/>
        </w:rPr>
      </w:pPr>
    </w:p>
    <w:p>
      <w:pPr>
        <w:ind w:left="1880" w:hanging="614"/>
        <w:spacing w:after="0"/>
        <w:tabs>
          <w:tab w:leader="none" w:pos="188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Revolving Credit Loans and Swingline Loans, a percentage equal to 0.10% per annum; and</w:t>
      </w:r>
    </w:p>
    <w:p>
      <w:pPr>
        <w:spacing w:after="0" w:line="224" w:lineRule="exact"/>
        <w:rPr>
          <w:rFonts w:ascii="Times New Roman" w:cs="Times New Roman" w:eastAsia="Times New Roman" w:hAnsi="Times New Roman"/>
          <w:sz w:val="20"/>
          <w:szCs w:val="20"/>
          <w:color w:val="auto"/>
        </w:rPr>
      </w:pPr>
    </w:p>
    <w:p>
      <w:pPr>
        <w:ind w:left="620" w:right="40" w:firstLine="646"/>
        <w:spacing w:after="0" w:line="263" w:lineRule="auto"/>
        <w:tabs>
          <w:tab w:leader="none" w:pos="1865"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Initial Term Loans, for any calculation with respect to a Base Rate Loan or a SOFR Loan, a percentage per annum as set forth below for the applicable type of such Loan and (if applicable) Interest Period therefor:</w:t>
      </w:r>
    </w:p>
    <w:p>
      <w:pPr>
        <w:spacing w:after="0" w:line="178" w:lineRule="exact"/>
        <w:rPr>
          <w:sz w:val="20"/>
          <w:szCs w:val="20"/>
          <w:color w:val="auto"/>
        </w:rPr>
      </w:pPr>
    </w:p>
    <w:tbl>
      <w:tblPr>
        <w:tblLayout w:type="fixed"/>
        <w:tblInd w:w="1850" w:type="dxa"/>
        <w:tblCellMar>
          <w:top w:w="0" w:type="dxa"/>
          <w:left w:w="0" w:type="dxa"/>
          <w:bottom w:w="0" w:type="dxa"/>
          <w:right w:w="0" w:type="dxa"/>
        </w:tblCellMar>
      </w:tblPr>
      <w:tr>
        <w:trPr>
          <w:trHeight w:val="255"/>
        </w:trPr>
        <w:tc>
          <w:tcPr>
            <w:tcW w:w="2880" w:type="dxa"/>
            <w:vAlign w:val="bottom"/>
            <w:gridSpan w:val="3"/>
            <w:vMerge w:val="restart"/>
          </w:tcPr>
          <w:p>
            <w:pPr>
              <w:jc w:val="right"/>
              <w:ind w:right="260"/>
              <w:spacing w:after="0"/>
              <w:rPr>
                <w:sz w:val="20"/>
                <w:szCs w:val="20"/>
                <w:color w:val="auto"/>
              </w:rPr>
            </w:pPr>
            <w:r>
              <w:rPr>
                <w:rFonts w:ascii="Arial" w:cs="Arial" w:eastAsia="Arial" w:hAnsi="Arial"/>
                <w:sz w:val="21"/>
                <w:szCs w:val="21"/>
                <w:color w:val="auto"/>
              </w:rPr>
              <w:t>0.11448%</w:t>
            </w:r>
          </w:p>
        </w:tc>
        <w:tc>
          <w:tcPr>
            <w:tcW w:w="29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Base Rate Loans:</w:t>
            </w:r>
          </w:p>
        </w:tc>
        <w:tc>
          <w:tcPr>
            <w:tcW w:w="0" w:type="dxa"/>
            <w:vAlign w:val="bottom"/>
          </w:tcPr>
          <w:p>
            <w:pPr>
              <w:spacing w:after="0"/>
              <w:rPr>
                <w:sz w:val="1"/>
                <w:szCs w:val="1"/>
                <w:color w:val="auto"/>
              </w:rPr>
            </w:pPr>
          </w:p>
        </w:tc>
      </w:tr>
      <w:tr>
        <w:trPr>
          <w:trHeight w:val="264"/>
        </w:trPr>
        <w:tc>
          <w:tcPr>
            <w:tcW w:w="2880" w:type="dxa"/>
            <w:vAlign w:val="bottom"/>
            <w:gridSpan w:val="3"/>
            <w:vMerge w:val="continue"/>
          </w:tcPr>
          <w:p>
            <w:pPr>
              <w:spacing w:after="0"/>
              <w:rPr>
                <w:sz w:val="22"/>
                <w:szCs w:val="22"/>
                <w:color w:val="auto"/>
              </w:rPr>
            </w:pPr>
          </w:p>
        </w:tc>
        <w:tc>
          <w:tcPr>
            <w:tcW w:w="10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8"/>
        </w:trPr>
        <w:tc>
          <w:tcPr>
            <w:tcW w:w="2880" w:type="dxa"/>
            <w:vAlign w:val="bottom"/>
            <w:gridSpan w:val="3"/>
          </w:tcPr>
          <w:p>
            <w:pPr>
              <w:jc w:val="right"/>
              <w:ind w:right="1740"/>
              <w:spacing w:after="0"/>
              <w:rPr>
                <w:sz w:val="20"/>
                <w:szCs w:val="20"/>
                <w:color w:val="auto"/>
              </w:rPr>
            </w:pPr>
            <w:r>
              <w:rPr>
                <w:rFonts w:ascii="Times New Roman" w:cs="Times New Roman" w:eastAsia="Times New Roman" w:hAnsi="Times New Roman"/>
                <w:sz w:val="20"/>
                <w:szCs w:val="20"/>
                <w:color w:val="auto"/>
              </w:rPr>
              <w:t>SOFR Loans:</w:t>
            </w: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800" w:type="dxa"/>
            <w:vAlign w:val="bottom"/>
            <w:tcBorders>
              <w:bottom w:val="single" w:sz="8" w:color="010101"/>
            </w:tcBorders>
          </w:tcPr>
          <w:p>
            <w:pPr>
              <w:spacing w:after="0" w:line="20" w:lineRule="exact"/>
              <w:rPr>
                <w:sz w:val="1"/>
                <w:szCs w:val="1"/>
                <w:color w:val="auto"/>
              </w:rPr>
            </w:pPr>
          </w:p>
        </w:tc>
        <w:tc>
          <w:tcPr>
            <w:tcW w:w="1260" w:type="dxa"/>
            <w:vAlign w:val="bottom"/>
            <w:tcBorders>
              <w:bottom w:val="single" w:sz="8" w:color="010101"/>
            </w:tcBorders>
          </w:tcPr>
          <w:p>
            <w:pPr>
              <w:spacing w:after="0" w:line="20" w:lineRule="exact"/>
              <w:rPr>
                <w:sz w:val="1"/>
                <w:szCs w:val="1"/>
                <w:color w:val="auto"/>
              </w:rPr>
            </w:pPr>
          </w:p>
        </w:tc>
        <w:tc>
          <w:tcPr>
            <w:tcW w:w="820" w:type="dxa"/>
            <w:vAlign w:val="bottom"/>
            <w:tcBorders>
              <w:bottom w:val="single" w:sz="8" w:color="010101"/>
            </w:tcBorders>
          </w:tcPr>
          <w:p>
            <w:pPr>
              <w:spacing w:after="0" w:line="20" w:lineRule="exact"/>
              <w:rPr>
                <w:sz w:val="1"/>
                <w:szCs w:val="1"/>
                <w:color w:val="auto"/>
              </w:rPr>
            </w:pPr>
          </w:p>
        </w:tc>
        <w:tc>
          <w:tcPr>
            <w:tcW w:w="1000" w:type="dxa"/>
            <w:vAlign w:val="bottom"/>
            <w:tcBorders>
              <w:bottom w:val="single" w:sz="8" w:color="010101"/>
            </w:tcBorders>
          </w:tcPr>
          <w:p>
            <w:pPr>
              <w:spacing w:after="0" w:line="20" w:lineRule="exact"/>
              <w:rPr>
                <w:sz w:val="1"/>
                <w:szCs w:val="1"/>
                <w:color w:val="auto"/>
              </w:rPr>
            </w:pPr>
          </w:p>
        </w:tc>
        <w:tc>
          <w:tcPr>
            <w:tcW w:w="920" w:type="dxa"/>
            <w:vAlign w:val="bottom"/>
            <w:tcBorders>
              <w:bottom w:val="single" w:sz="8" w:color="010101"/>
            </w:tcBorders>
          </w:tcPr>
          <w:p>
            <w:pPr>
              <w:spacing w:after="0" w:line="20" w:lineRule="exact"/>
              <w:rPr>
                <w:sz w:val="1"/>
                <w:szCs w:val="1"/>
                <w:color w:val="auto"/>
              </w:rPr>
            </w:pPr>
          </w:p>
        </w:tc>
        <w:tc>
          <w:tcPr>
            <w:tcW w:w="1040" w:type="dxa"/>
            <w:vAlign w:val="bottom"/>
            <w:tcBorders>
              <w:bottom w:val="single" w:sz="8" w:color="01010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800" w:type="dxa"/>
            <w:vAlign w:val="bottom"/>
            <w:tcBorders>
              <w:left w:val="single" w:sz="8" w:color="010101"/>
            </w:tcBorders>
          </w:tcPr>
          <w:p>
            <w:pPr>
              <w:spacing w:after="0"/>
              <w:rPr>
                <w:sz w:val="16"/>
                <w:szCs w:val="16"/>
                <w:color w:val="auto"/>
              </w:rPr>
            </w:pPr>
          </w:p>
        </w:tc>
        <w:tc>
          <w:tcPr>
            <w:tcW w:w="2080" w:type="dxa"/>
            <w:vAlign w:val="bottom"/>
            <w:tcBorders>
              <w:right w:val="single" w:sz="8" w:color="010101"/>
            </w:tcBorders>
            <w:gridSpan w:val="2"/>
          </w:tcPr>
          <w:p>
            <w:pPr>
              <w:jc w:val="center"/>
              <w:ind w:right="820"/>
              <w:spacing w:after="0" w:line="194" w:lineRule="exact"/>
              <w:rPr>
                <w:sz w:val="20"/>
                <w:szCs w:val="20"/>
                <w:color w:val="auto"/>
              </w:rPr>
            </w:pPr>
            <w:r>
              <w:rPr>
                <w:rFonts w:ascii="Times New Roman" w:cs="Times New Roman" w:eastAsia="Times New Roman" w:hAnsi="Times New Roman"/>
                <w:sz w:val="20"/>
                <w:szCs w:val="20"/>
                <w:b w:val="1"/>
                <w:bCs w:val="1"/>
                <w:color w:val="auto"/>
                <w:w w:val="98"/>
              </w:rPr>
              <w:t>Interest Period</w:t>
            </w:r>
          </w:p>
        </w:tc>
        <w:tc>
          <w:tcPr>
            <w:tcW w:w="1000" w:type="dxa"/>
            <w:vAlign w:val="bottom"/>
          </w:tcPr>
          <w:p>
            <w:pPr>
              <w:spacing w:after="0"/>
              <w:rPr>
                <w:sz w:val="16"/>
                <w:szCs w:val="16"/>
                <w:color w:val="auto"/>
              </w:rPr>
            </w:pPr>
          </w:p>
        </w:tc>
        <w:tc>
          <w:tcPr>
            <w:tcW w:w="1960" w:type="dxa"/>
            <w:vAlign w:val="bottom"/>
            <w:tcBorders>
              <w:right w:val="single" w:sz="8" w:color="010101"/>
            </w:tcBorders>
            <w:gridSpan w:val="2"/>
          </w:tcPr>
          <w:p>
            <w:pPr>
              <w:jc w:val="center"/>
              <w:ind w:right="1040"/>
              <w:spacing w:after="0" w:line="194" w:lineRule="exact"/>
              <w:rPr>
                <w:sz w:val="20"/>
                <w:szCs w:val="20"/>
                <w:color w:val="auto"/>
              </w:rPr>
            </w:pPr>
            <w:r>
              <w:rPr>
                <w:rFonts w:ascii="Times New Roman" w:cs="Times New Roman" w:eastAsia="Times New Roman" w:hAnsi="Times New Roman"/>
                <w:sz w:val="20"/>
                <w:szCs w:val="20"/>
                <w:b w:val="1"/>
                <w:bCs w:val="1"/>
                <w:color w:val="auto"/>
                <w:w w:val="97"/>
              </w:rPr>
              <w:t>Percentage</w:t>
            </w:r>
          </w:p>
        </w:tc>
        <w:tc>
          <w:tcPr>
            <w:tcW w:w="0" w:type="dxa"/>
            <w:vAlign w:val="bottom"/>
          </w:tcPr>
          <w:p>
            <w:pPr>
              <w:spacing w:after="0"/>
              <w:rPr>
                <w:sz w:val="1"/>
                <w:szCs w:val="1"/>
                <w:color w:val="auto"/>
              </w:rPr>
            </w:pPr>
          </w:p>
        </w:tc>
      </w:tr>
      <w:tr>
        <w:trPr>
          <w:trHeight w:val="33"/>
        </w:trPr>
        <w:tc>
          <w:tcPr>
            <w:tcW w:w="800" w:type="dxa"/>
            <w:vAlign w:val="bottom"/>
            <w:tcBorders>
              <w:left w:val="single" w:sz="8" w:color="010101"/>
              <w:bottom w:val="single" w:sz="8" w:color="010101"/>
            </w:tcBorders>
          </w:tcPr>
          <w:p>
            <w:pPr>
              <w:spacing w:after="0"/>
              <w:rPr>
                <w:sz w:val="2"/>
                <w:szCs w:val="2"/>
                <w:color w:val="auto"/>
              </w:rPr>
            </w:pPr>
          </w:p>
        </w:tc>
        <w:tc>
          <w:tcPr>
            <w:tcW w:w="1260" w:type="dxa"/>
            <w:vAlign w:val="bottom"/>
            <w:tcBorders>
              <w:top w:val="single" w:sz="8" w:color="auto"/>
              <w:bottom w:val="single" w:sz="8" w:color="010101"/>
            </w:tcBorders>
          </w:tcPr>
          <w:p>
            <w:pPr>
              <w:spacing w:after="0"/>
              <w:rPr>
                <w:sz w:val="2"/>
                <w:szCs w:val="2"/>
                <w:color w:val="auto"/>
              </w:rPr>
            </w:pPr>
          </w:p>
        </w:tc>
        <w:tc>
          <w:tcPr>
            <w:tcW w:w="820" w:type="dxa"/>
            <w:vAlign w:val="bottom"/>
            <w:tcBorders>
              <w:bottom w:val="single" w:sz="8" w:color="010101"/>
              <w:right w:val="single" w:sz="8" w:color="010101"/>
            </w:tcBorders>
          </w:tcPr>
          <w:p>
            <w:pPr>
              <w:spacing w:after="0"/>
              <w:rPr>
                <w:sz w:val="2"/>
                <w:szCs w:val="2"/>
                <w:color w:val="auto"/>
              </w:rPr>
            </w:pPr>
          </w:p>
        </w:tc>
        <w:tc>
          <w:tcPr>
            <w:tcW w:w="1000" w:type="dxa"/>
            <w:vAlign w:val="bottom"/>
            <w:tcBorders>
              <w:bottom w:val="single" w:sz="8" w:color="010101"/>
            </w:tcBorders>
          </w:tcPr>
          <w:p>
            <w:pPr>
              <w:spacing w:after="0"/>
              <w:rPr>
                <w:sz w:val="2"/>
                <w:szCs w:val="2"/>
                <w:color w:val="auto"/>
              </w:rPr>
            </w:pPr>
          </w:p>
        </w:tc>
        <w:tc>
          <w:tcPr>
            <w:tcW w:w="920" w:type="dxa"/>
            <w:vAlign w:val="bottom"/>
            <w:tcBorders>
              <w:top w:val="single" w:sz="8" w:color="auto"/>
              <w:bottom w:val="single" w:sz="8" w:color="010101"/>
            </w:tcBorders>
          </w:tcPr>
          <w:p>
            <w:pPr>
              <w:spacing w:after="0"/>
              <w:rPr>
                <w:sz w:val="2"/>
                <w:szCs w:val="2"/>
                <w:color w:val="auto"/>
              </w:rPr>
            </w:pPr>
          </w:p>
        </w:tc>
        <w:tc>
          <w:tcPr>
            <w:tcW w:w="1040" w:type="dxa"/>
            <w:vAlign w:val="bottom"/>
            <w:tcBorders>
              <w:bottom w:val="single" w:sz="8" w:color="010101"/>
              <w:right w:val="single" w:sz="8" w:color="010101"/>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800" w:type="dxa"/>
            <w:vAlign w:val="bottom"/>
            <w:tcBorders>
              <w:left w:val="single" w:sz="8" w:color="010101"/>
              <w:bottom w:val="single" w:sz="8" w:color="010101"/>
            </w:tcBorders>
          </w:tcPr>
          <w:p>
            <w:pPr>
              <w:spacing w:after="0"/>
              <w:rPr>
                <w:sz w:val="21"/>
                <w:szCs w:val="21"/>
                <w:color w:val="auto"/>
              </w:rPr>
            </w:pPr>
          </w:p>
        </w:tc>
        <w:tc>
          <w:tcPr>
            <w:tcW w:w="2080" w:type="dxa"/>
            <w:vAlign w:val="bottom"/>
            <w:tcBorders>
              <w:bottom w:val="single" w:sz="8" w:color="010101"/>
              <w:right w:val="single" w:sz="8" w:color="010101"/>
            </w:tcBorders>
            <w:gridSpan w:val="2"/>
          </w:tcPr>
          <w:p>
            <w:pPr>
              <w:jc w:val="center"/>
              <w:ind w:right="840"/>
              <w:spacing w:after="0"/>
              <w:rPr>
                <w:sz w:val="20"/>
                <w:szCs w:val="20"/>
                <w:color w:val="auto"/>
              </w:rPr>
            </w:pPr>
            <w:r>
              <w:rPr>
                <w:rFonts w:ascii="Times New Roman" w:cs="Times New Roman" w:eastAsia="Times New Roman" w:hAnsi="Times New Roman"/>
                <w:sz w:val="20"/>
                <w:szCs w:val="20"/>
                <w:color w:val="auto"/>
                <w:w w:val="98"/>
              </w:rPr>
              <w:t>One month</w:t>
            </w:r>
          </w:p>
        </w:tc>
        <w:tc>
          <w:tcPr>
            <w:tcW w:w="1920" w:type="dxa"/>
            <w:vAlign w:val="bottom"/>
            <w:tcBorders>
              <w:bottom w:val="single" w:sz="8" w:color="010101"/>
            </w:tcBorders>
            <w:gridSpan w:val="2"/>
          </w:tcPr>
          <w:p>
            <w:pPr>
              <w:jc w:val="center"/>
              <w:ind w:left="902"/>
              <w:spacing w:after="0"/>
              <w:rPr>
                <w:sz w:val="20"/>
                <w:szCs w:val="20"/>
                <w:color w:val="auto"/>
              </w:rPr>
            </w:pPr>
            <w:r>
              <w:rPr>
                <w:rFonts w:ascii="Times New Roman" w:cs="Times New Roman" w:eastAsia="Times New Roman" w:hAnsi="Times New Roman"/>
                <w:sz w:val="20"/>
                <w:szCs w:val="20"/>
                <w:color w:val="auto"/>
                <w:w w:val="97"/>
              </w:rPr>
              <w:t>0.11448%</w:t>
            </w:r>
          </w:p>
        </w:tc>
        <w:tc>
          <w:tcPr>
            <w:tcW w:w="1040" w:type="dxa"/>
            <w:vAlign w:val="bottom"/>
            <w:tcBorders>
              <w:bottom w:val="single" w:sz="8" w:color="010101"/>
              <w:right w:val="single" w:sz="8" w:color="010101"/>
            </w:tcBorders>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800" w:type="dxa"/>
            <w:vAlign w:val="bottom"/>
            <w:tcBorders>
              <w:left w:val="single" w:sz="8" w:color="010101"/>
              <w:bottom w:val="single" w:sz="8" w:color="010101"/>
            </w:tcBorders>
          </w:tcPr>
          <w:p>
            <w:pPr>
              <w:spacing w:after="0"/>
              <w:rPr>
                <w:sz w:val="21"/>
                <w:szCs w:val="21"/>
                <w:color w:val="auto"/>
              </w:rPr>
            </w:pPr>
          </w:p>
        </w:tc>
        <w:tc>
          <w:tcPr>
            <w:tcW w:w="2080" w:type="dxa"/>
            <w:vAlign w:val="bottom"/>
            <w:tcBorders>
              <w:bottom w:val="single" w:sz="8" w:color="010101"/>
              <w:right w:val="single" w:sz="8" w:color="010101"/>
            </w:tcBorders>
            <w:gridSpan w:val="2"/>
          </w:tcPr>
          <w:p>
            <w:pPr>
              <w:jc w:val="center"/>
              <w:ind w:right="840"/>
              <w:spacing w:after="0"/>
              <w:rPr>
                <w:sz w:val="20"/>
                <w:szCs w:val="20"/>
                <w:color w:val="auto"/>
              </w:rPr>
            </w:pPr>
            <w:r>
              <w:rPr>
                <w:rFonts w:ascii="Times New Roman" w:cs="Times New Roman" w:eastAsia="Times New Roman" w:hAnsi="Times New Roman"/>
                <w:sz w:val="20"/>
                <w:szCs w:val="20"/>
                <w:color w:val="auto"/>
                <w:w w:val="97"/>
              </w:rPr>
              <w:t>Three months</w:t>
            </w:r>
          </w:p>
        </w:tc>
        <w:tc>
          <w:tcPr>
            <w:tcW w:w="1920" w:type="dxa"/>
            <w:vAlign w:val="bottom"/>
            <w:tcBorders>
              <w:bottom w:val="single" w:sz="8" w:color="010101"/>
            </w:tcBorders>
            <w:gridSpan w:val="2"/>
          </w:tcPr>
          <w:p>
            <w:pPr>
              <w:jc w:val="center"/>
              <w:ind w:left="902"/>
              <w:spacing w:after="0"/>
              <w:rPr>
                <w:sz w:val="20"/>
                <w:szCs w:val="20"/>
                <w:color w:val="auto"/>
              </w:rPr>
            </w:pPr>
            <w:r>
              <w:rPr>
                <w:rFonts w:ascii="Times New Roman" w:cs="Times New Roman" w:eastAsia="Times New Roman" w:hAnsi="Times New Roman"/>
                <w:sz w:val="20"/>
                <w:szCs w:val="20"/>
                <w:color w:val="auto"/>
                <w:w w:val="97"/>
              </w:rPr>
              <w:t>0.26161%</w:t>
            </w:r>
          </w:p>
        </w:tc>
        <w:tc>
          <w:tcPr>
            <w:tcW w:w="1040" w:type="dxa"/>
            <w:vAlign w:val="bottom"/>
            <w:tcBorders>
              <w:bottom w:val="single" w:sz="8" w:color="010101"/>
              <w:right w:val="single" w:sz="8" w:color="010101"/>
            </w:tcBorders>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800" w:type="dxa"/>
            <w:vAlign w:val="bottom"/>
            <w:tcBorders>
              <w:left w:val="single" w:sz="8" w:color="010101"/>
              <w:bottom w:val="single" w:sz="8" w:color="010101"/>
            </w:tcBorders>
          </w:tcPr>
          <w:p>
            <w:pPr>
              <w:spacing w:after="0"/>
              <w:rPr>
                <w:sz w:val="21"/>
                <w:szCs w:val="21"/>
                <w:color w:val="auto"/>
              </w:rPr>
            </w:pPr>
          </w:p>
        </w:tc>
        <w:tc>
          <w:tcPr>
            <w:tcW w:w="2080" w:type="dxa"/>
            <w:vAlign w:val="bottom"/>
            <w:tcBorders>
              <w:bottom w:val="single" w:sz="8" w:color="010101"/>
              <w:right w:val="single" w:sz="8" w:color="010101"/>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Six months</w:t>
            </w:r>
          </w:p>
        </w:tc>
        <w:tc>
          <w:tcPr>
            <w:tcW w:w="1920" w:type="dxa"/>
            <w:vAlign w:val="bottom"/>
            <w:tcBorders>
              <w:bottom w:val="single" w:sz="8" w:color="010101"/>
            </w:tcBorders>
            <w:gridSpan w:val="2"/>
          </w:tcPr>
          <w:p>
            <w:pPr>
              <w:jc w:val="center"/>
              <w:ind w:left="902"/>
              <w:spacing w:after="0"/>
              <w:rPr>
                <w:sz w:val="20"/>
                <w:szCs w:val="20"/>
                <w:color w:val="auto"/>
              </w:rPr>
            </w:pPr>
            <w:r>
              <w:rPr>
                <w:rFonts w:ascii="Times New Roman" w:cs="Times New Roman" w:eastAsia="Times New Roman" w:hAnsi="Times New Roman"/>
                <w:sz w:val="20"/>
                <w:szCs w:val="20"/>
                <w:color w:val="auto"/>
                <w:w w:val="97"/>
              </w:rPr>
              <w:t>0.42826%</w:t>
            </w:r>
          </w:p>
        </w:tc>
        <w:tc>
          <w:tcPr>
            <w:tcW w:w="1040" w:type="dxa"/>
            <w:vAlign w:val="bottom"/>
            <w:tcBorders>
              <w:bottom w:val="single" w:sz="8" w:color="010101"/>
              <w:right w:val="single" w:sz="8" w:color="010101"/>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5" w:lineRule="exact"/>
        <w:rPr>
          <w:sz w:val="20"/>
          <w:szCs w:val="20"/>
          <w:color w:val="auto"/>
        </w:rPr>
      </w:pPr>
    </w:p>
    <w:p>
      <w:pPr>
        <w:ind w:left="620" w:right="40" w:firstLine="642"/>
        <w:spacing w:after="0" w:line="27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Administrator</w:t>
      </w:r>
      <w:r>
        <w:rPr>
          <w:rFonts w:ascii="Times New Roman" w:cs="Times New Roman" w:eastAsia="Times New Roman" w:hAnsi="Times New Roman"/>
          <w:sz w:val="20"/>
          <w:szCs w:val="20"/>
          <w:color w:val="auto"/>
        </w:rPr>
        <w:t>” means CME Group Benchmark Administration Limited (CBA) (or a successor administrator of the Term SOFR Reference Rate selected by the Administrative Agent in its reasonable discretion).</w:t>
      </w:r>
    </w:p>
    <w:p>
      <w:pPr>
        <w:spacing w:after="0" w:line="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Reference Rate</w:t>
      </w:r>
      <w:r>
        <w:rPr>
          <w:rFonts w:ascii="Times New Roman" w:cs="Times New Roman" w:eastAsia="Times New Roman" w:hAnsi="Times New Roman"/>
          <w:sz w:val="20"/>
          <w:szCs w:val="20"/>
          <w:color w:val="auto"/>
        </w:rPr>
        <w:t>” means the forward-looking term rate based on SOFR. “</w:t>
      </w:r>
      <w:r>
        <w:rPr>
          <w:rFonts w:ascii="Times New Roman" w:cs="Times New Roman" w:eastAsia="Times New Roman" w:hAnsi="Times New Roman"/>
          <w:sz w:val="20"/>
          <w:szCs w:val="20"/>
          <w:u w:val="single" w:color="auto"/>
          <w:color w:val="auto"/>
        </w:rPr>
        <w:t>Termination Event</w:t>
      </w:r>
      <w:r>
        <w:rPr>
          <w:rFonts w:ascii="Times New Roman" w:cs="Times New Roman" w:eastAsia="Times New Roman" w:hAnsi="Times New Roman"/>
          <w:sz w:val="20"/>
          <w:szCs w:val="20"/>
          <w:color w:val="auto"/>
        </w:rPr>
        <w:t>” means the</w:t>
      </w:r>
    </w:p>
    <w:p>
      <w:pPr>
        <w:spacing w:after="0" w:line="2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occurrence of any of the following which, individually or in the</w:t>
      </w:r>
    </w:p>
    <w:p>
      <w:pPr>
        <w:spacing w:after="0" w:line="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aggregate, has resulted or could reasonably be expected to result in liability of the US Borrowers or any</w:t>
      </w:r>
    </w:p>
    <w:p>
      <w:pPr>
        <w:ind w:left="620"/>
        <w:spacing w:after="0"/>
        <w:rPr>
          <w:sz w:val="20"/>
          <w:szCs w:val="20"/>
          <w:color w:val="auto"/>
        </w:rPr>
      </w:pPr>
      <w:r>
        <w:rPr>
          <w:rFonts w:ascii="Times New Roman" w:cs="Times New Roman" w:eastAsia="Times New Roman" w:hAnsi="Times New Roman"/>
          <w:sz w:val="20"/>
          <w:szCs w:val="20"/>
          <w:color w:val="auto"/>
        </w:rPr>
        <w:t>of their respective Subsidiaries in an aggregate amount in excess of the Threshold Amount: (a) a</w:t>
      </w:r>
    </w:p>
    <w:p>
      <w:pPr>
        <w:spacing w:after="0" w:line="200" w:lineRule="exact"/>
        <w:rPr>
          <w:sz w:val="20"/>
          <w:szCs w:val="20"/>
          <w:color w:val="auto"/>
        </w:rPr>
      </w:pPr>
    </w:p>
    <w:p>
      <w:pPr>
        <w:spacing w:after="0" w:line="39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79</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-43180</wp:posOffset>
            </wp:positionV>
            <wp:extent cx="8255" cy="1016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86">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1040"/>
          </w:cols>
          <w:pgMar w:left="380" w:top="1400" w:right="479" w:bottom="1440" w:gutter="0" w:footer="0" w:header="0"/>
        </w:sectPr>
      </w:pPr>
    </w:p>
    <w:bookmarkStart w:id="228" w:name="page229"/>
    <w:bookmarkEnd w:id="228"/>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80</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-43180</wp:posOffset>
            </wp:positionV>
            <wp:extent cx="8255" cy="1016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87">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0079"/>
          </w:cols>
          <w:pgMar w:left="380" w:top="1440" w:right="1440" w:bottom="1440" w:gutter="0" w:footer="0" w:header="0"/>
        </w:sectPr>
      </w:pPr>
    </w:p>
    <w:bookmarkStart w:id="229" w:name="page230"/>
    <w:bookmarkEnd w:id="229"/>
    <w:p>
      <w:pPr>
        <w:spacing w:after="0" w:line="202" w:lineRule="exact"/>
        <w:rPr>
          <w:sz w:val="20"/>
          <w:szCs w:val="20"/>
          <w:color w:val="auto"/>
        </w:rPr>
      </w:pPr>
    </w:p>
    <w:p>
      <w:pPr>
        <w:jc w:val="both"/>
        <w:ind w:left="620"/>
        <w:spacing w:after="0" w:line="261" w:lineRule="auto"/>
        <w:rPr>
          <w:sz w:val="20"/>
          <w:szCs w:val="20"/>
          <w:color w:val="auto"/>
        </w:rPr>
      </w:pPr>
      <w:r>
        <w:rPr>
          <w:rFonts w:ascii="Times New Roman" w:cs="Times New Roman" w:eastAsia="Times New Roman" w:hAnsi="Times New Roman"/>
          <w:sz w:val="19"/>
          <w:szCs w:val="19"/>
          <w:color w:val="auto"/>
        </w:rPr>
        <w:t>“Reportable Event” described in Section 4043 of ERISA for which the thirty (30) day notice requirement has not been waived by the PBGC, or (b) the withdrawal of any Credit Party or any ERISA Affiliate from a Pension Plan during a plan year in which it was a “substantial employer” as defined in Section 4001(a)(2) of ERISA or a cessation of operations that is treated as such a withdrawal under Section 4062(e) of ERISA, or (c) the termination of a Pension Plan, the filing of a notice of intent to terminate a Pension Plan or the treatment of a Pension Plan amendment as a termination, under Section 4041 of ERISA, if the plan assets are not sufficient to pay all plan liabilities, or (d) the institution of proceedings to terminate, or the appointment of a trustee with respect to, any Pension Plan by the PBGC, or (e) any other event or condition which would constitute grounds under Section 4042(a) of ERISA for the termination of, or the appointment of a trustee to administer, any Pension Plan, or (f) the imposition of a Lien pursuant to Section 430(k) of the Code or Section 303 of ERISA, or (g) the determination that any Pension Plan or Multiemployer Plan is considered an at-risk plan or plan in endangered or critical status with the meaning of Sections 430, 431 or 432 of the Code or Sections 303, 304 or 305 of ERISA or (h) the partial or complete withdrawal of any Credit Party or any ERISA Affiliate from a Multiemployer Plan if withdrawal liability is asserted by such plan, or (i) any event or condition which results in the reorganization or insolvency of a Multiemployer Plan under Sections 4241 or 4245 of ERISA, or (j) any event or condition which results in the termination of a Multiemployer Plan under Section 4041A of ERISA or the institution by PBGC of proceedings to terminate a Multiemployer Plan under Section 4042 of ERISA, or (k) the imposition of any liability under Title IV of ERISA, other than for PBGC premiums due but not delinquent under Section 4007 of ERISA, upon any Credit Party or any ERISA Affiliate.</w:t>
      </w:r>
    </w:p>
    <w:p>
      <w:pPr>
        <w:spacing w:after="0" w:line="1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Threshold Amount</w:t>
      </w:r>
      <w:r>
        <w:rPr>
          <w:rFonts w:ascii="Times New Roman" w:cs="Times New Roman" w:eastAsia="Times New Roman" w:hAnsi="Times New Roman"/>
          <w:sz w:val="20"/>
          <w:szCs w:val="20"/>
          <w:color w:val="auto"/>
        </w:rPr>
        <w:t>” means $35,000,000.</w:t>
      </w:r>
    </w:p>
    <w:p>
      <w:pPr>
        <w:spacing w:after="0" w:line="211" w:lineRule="exact"/>
        <w:rPr>
          <w:sz w:val="20"/>
          <w:szCs w:val="20"/>
          <w:color w:val="auto"/>
        </w:rPr>
      </w:pPr>
    </w:p>
    <w:p>
      <w:pPr>
        <w:ind w:left="620" w:right="40" w:firstLine="642"/>
        <w:spacing w:after="0" w:line="27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Credit Exposure</w:t>
      </w:r>
      <w:r>
        <w:rPr>
          <w:rFonts w:ascii="Times New Roman" w:cs="Times New Roman" w:eastAsia="Times New Roman" w:hAnsi="Times New Roman"/>
          <w:sz w:val="20"/>
          <w:szCs w:val="20"/>
          <w:color w:val="auto"/>
        </w:rPr>
        <w:t>” means, as to any Lender at any time, the unused Commitments, Revolving Credit Exposure and outstanding Term Loans of such Lender at such time.</w:t>
      </w:r>
    </w:p>
    <w:p>
      <w:pPr>
        <w:spacing w:after="0" w:line="15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Transactions</w:t>
      </w:r>
      <w:r>
        <w:rPr>
          <w:rFonts w:ascii="Times New Roman" w:cs="Times New Roman" w:eastAsia="Times New Roman" w:hAnsi="Times New Roman"/>
          <w:sz w:val="20"/>
          <w:szCs w:val="20"/>
          <w:color w:val="auto"/>
        </w:rPr>
        <w:t>” means, collectively, (a) the refinancing of Indebtedness outstanding under the Existing Credit Agreement,</w:t>
      </w:r>
    </w:p>
    <w:p>
      <w:pPr>
        <w:spacing w:after="0" w:line="25" w:lineRule="exact"/>
        <w:rPr>
          <w:sz w:val="20"/>
          <w:szCs w:val="20"/>
          <w:color w:val="auto"/>
        </w:rPr>
      </w:pPr>
    </w:p>
    <w:p>
      <w:pPr>
        <w:ind w:left="900" w:hanging="276"/>
        <w:spacing w:after="0"/>
        <w:tabs>
          <w:tab w:leader="none" w:pos="90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refinancing of certain Indebtedness of Drum and its Subsidiaries,</w:t>
      </w:r>
    </w:p>
    <w:p>
      <w:pPr>
        <w:spacing w:after="0" w:line="5" w:lineRule="exact"/>
        <w:rPr>
          <w:rFonts w:ascii="Times New Roman" w:cs="Times New Roman" w:eastAsia="Times New Roman" w:hAnsi="Times New Roman"/>
          <w:sz w:val="20"/>
          <w:szCs w:val="20"/>
          <w:color w:val="auto"/>
        </w:rPr>
      </w:pPr>
    </w:p>
    <w:p>
      <w:pPr>
        <w:ind w:left="900" w:hanging="276"/>
        <w:spacing w:after="0"/>
        <w:tabs>
          <w:tab w:leader="none" w:pos="900"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initial Extensions of Credit, (d) the financing of the Drum Acquisition and (e) the payment of the costs incurred in connection</w:t>
      </w:r>
    </w:p>
    <w:p>
      <w:pPr>
        <w:spacing w:after="0" w:line="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with the foregoing.</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UCC</w:t>
      </w:r>
      <w:r>
        <w:rPr>
          <w:rFonts w:ascii="Times New Roman" w:cs="Times New Roman" w:eastAsia="Times New Roman" w:hAnsi="Times New Roman"/>
          <w:sz w:val="20"/>
          <w:szCs w:val="20"/>
          <w:color w:val="auto"/>
        </w:rPr>
        <w:t>” means the Uniform Commercial Code as in effect in the State of New York.</w:t>
      </w:r>
    </w:p>
    <w:p>
      <w:pPr>
        <w:spacing w:after="0" w:line="225" w:lineRule="exact"/>
        <w:rPr>
          <w:sz w:val="20"/>
          <w:szCs w:val="20"/>
          <w:color w:val="auto"/>
        </w:rPr>
      </w:pPr>
    </w:p>
    <w:p>
      <w:pPr>
        <w:jc w:val="both"/>
        <w:ind w:left="620" w:right="40" w:firstLine="642"/>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UK Financial Institution</w:t>
      </w:r>
      <w:r>
        <w:rPr>
          <w:rFonts w:ascii="Times New Roman" w:cs="Times New Roman" w:eastAsia="Times New Roman" w:hAnsi="Times New Roman"/>
          <w:sz w:val="19"/>
          <w:szCs w:val="19"/>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60" w:lineRule="exact"/>
        <w:rPr>
          <w:sz w:val="20"/>
          <w:szCs w:val="20"/>
          <w:color w:val="auto"/>
        </w:rPr>
      </w:pPr>
    </w:p>
    <w:p>
      <w:pPr>
        <w:jc w:val="both"/>
        <w:ind w:left="620" w:right="40" w:firstLine="642"/>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Resolution Authority</w:t>
      </w:r>
      <w:r>
        <w:rPr>
          <w:rFonts w:ascii="Times New Roman" w:cs="Times New Roman" w:eastAsia="Times New Roman" w:hAnsi="Times New Roman"/>
          <w:sz w:val="20"/>
          <w:szCs w:val="20"/>
          <w:color w:val="auto"/>
        </w:rPr>
        <w:t>” means the Bank of England or any other public administrative authority having responsibility for the resolution of any UK Financial Institution.</w:t>
      </w:r>
    </w:p>
    <w:p>
      <w:pPr>
        <w:spacing w:after="0" w:line="178" w:lineRule="exact"/>
        <w:rPr>
          <w:sz w:val="20"/>
          <w:szCs w:val="20"/>
          <w:color w:val="auto"/>
        </w:rPr>
      </w:pPr>
    </w:p>
    <w:p>
      <w:pPr>
        <w:jc w:val="both"/>
        <w:ind w:left="620" w:right="20" w:firstLine="642"/>
        <w:spacing w:after="0" w:line="27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Unadjusted Benchmark Replacement</w:t>
      </w:r>
      <w:r>
        <w:rPr>
          <w:rFonts w:ascii="Times New Roman" w:cs="Times New Roman" w:eastAsia="Times New Roman" w:hAnsi="Times New Roman"/>
          <w:sz w:val="20"/>
          <w:szCs w:val="20"/>
          <w:color w:val="auto"/>
        </w:rPr>
        <w:t>” means the applicable Benchmark Replacement excluding the related Benchmark Replacement Adjustment.</w:t>
      </w:r>
    </w:p>
    <w:p>
      <w:pPr>
        <w:spacing w:after="0" w:line="151" w:lineRule="exact"/>
        <w:rPr>
          <w:sz w:val="20"/>
          <w:szCs w:val="20"/>
          <w:color w:val="auto"/>
        </w:rPr>
      </w:pPr>
    </w:p>
    <w:p>
      <w:pPr>
        <w:jc w:val="both"/>
        <w:ind w:left="620" w:right="40" w:firstLine="642"/>
        <w:spacing w:after="0" w:line="27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Uniform Customs</w:t>
      </w:r>
      <w:r>
        <w:rPr>
          <w:rFonts w:ascii="Times New Roman" w:cs="Times New Roman" w:eastAsia="Times New Roman" w:hAnsi="Times New Roman"/>
          <w:sz w:val="20"/>
          <w:szCs w:val="20"/>
          <w:color w:val="auto"/>
        </w:rPr>
        <w:t>” means the Uniform Customs and Practice for Documentary Credits (2007 Revision), effective July, 2007 International Chamber of Commerce Publication No. 600.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81</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-42545</wp:posOffset>
            </wp:positionV>
            <wp:extent cx="8255" cy="1016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88">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1040"/>
          </w:cols>
          <w:pgMar w:left="380" w:top="1440" w:right="479" w:bottom="1440" w:gutter="0" w:footer="0" w:header="0"/>
        </w:sectPr>
      </w:pPr>
    </w:p>
    <w:bookmarkStart w:id="230" w:name="page231"/>
    <w:bookmarkEnd w:id="230"/>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United States</w:t>
      </w:r>
      <w:r>
        <w:rPr>
          <w:rFonts w:ascii="Times New Roman" w:cs="Times New Roman" w:eastAsia="Times New Roman" w:hAnsi="Times New Roman"/>
          <w:sz w:val="20"/>
          <w:szCs w:val="20"/>
          <w:color w:val="auto"/>
        </w:rPr>
        <w:t>” means the United States of America.</w:t>
      </w:r>
    </w:p>
    <w:p>
      <w:pPr>
        <w:spacing w:after="0" w:line="211" w:lineRule="exact"/>
        <w:rPr>
          <w:sz w:val="20"/>
          <w:szCs w:val="20"/>
          <w:color w:val="auto"/>
        </w:rPr>
      </w:pPr>
    </w:p>
    <w:p>
      <w:pPr>
        <w:jc w:val="both"/>
        <w:ind w:left="620" w:firstLine="642"/>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Unrestricted</w:t>
      </w:r>
      <w:r>
        <w:rPr>
          <w:rFonts w:ascii="Times New Roman" w:cs="Times New Roman" w:eastAsia="Times New Roman" w:hAnsi="Times New Roman"/>
          <w:sz w:val="20"/>
          <w:szCs w:val="20"/>
          <w:color w:val="auto"/>
        </w:rPr>
        <w:t>” shall mean, when referring to cash and Cash Equivalents of Centuri and its Subsidiaries, that such cash and Cash Equivalents (a) do not appear or would not be required to appear as “restricted” on the financial statements of Centuri or any such Subsidiary (unless related to the Loan Documents or the Liens created thereunder), (b) are not subject to a Lien in favor of any Person other than the Administrative Agent under the Loan Documents, (c) are assets of Centuri or a Subsidiary that is a US Subsidiary and are held in bank accounts or securities accounts located in the United States or (d) are not otherwise unavailable to Centuri or such Subsidiary.</w:t>
      </w:r>
    </w:p>
    <w:p>
      <w:pPr>
        <w:spacing w:after="0" w:line="181" w:lineRule="exact"/>
        <w:rPr>
          <w:sz w:val="20"/>
          <w:szCs w:val="20"/>
          <w:color w:val="auto"/>
        </w:rPr>
      </w:pPr>
    </w:p>
    <w:p>
      <w:pPr>
        <w:ind w:left="620" w:right="40" w:firstLine="642"/>
        <w:spacing w:after="0" w:line="27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Borrowers</w:t>
      </w:r>
      <w:r>
        <w:rPr>
          <w:rFonts w:ascii="Times New Roman" w:cs="Times New Roman" w:eastAsia="Times New Roman" w:hAnsi="Times New Roman"/>
          <w:sz w:val="20"/>
          <w:szCs w:val="20"/>
          <w:color w:val="auto"/>
        </w:rPr>
        <w:t>” means, collectively, Centuri and each Additional Borrower approved by the Lenders that becomes a party hereto as a US Borrower.</w:t>
      </w:r>
    </w:p>
    <w:p>
      <w:pPr>
        <w:spacing w:after="0" w:line="151" w:lineRule="exact"/>
        <w:rPr>
          <w:sz w:val="20"/>
          <w:szCs w:val="20"/>
          <w:color w:val="auto"/>
        </w:rPr>
      </w:pPr>
    </w:p>
    <w:p>
      <w:pPr>
        <w:jc w:val="both"/>
        <w:ind w:left="620" w:firstLine="642"/>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Cash Management Bank</w:t>
      </w:r>
      <w:r>
        <w:rPr>
          <w:rFonts w:ascii="Times New Roman" w:cs="Times New Roman" w:eastAsia="Times New Roman" w:hAnsi="Times New Roman"/>
          <w:sz w:val="20"/>
          <w:szCs w:val="20"/>
          <w:color w:val="auto"/>
        </w:rPr>
        <w:t>” means any Person that, (a) at the time it enters into a Cash Management Agreement with a US Credit Party or any US Subsidiary thereof, is a Lender, an Affiliate of a Lender, the Administrative Agent or an Affiliate of the Administrative Agent, or (b) at the time it (or its Affiliate) becomes a Lender (including on the Closing Date), is a party to a Cash Management Agreement with a US Credit Party or any US Subsidiary thereof, in each case in its capacity as a party to such Cash Management Agreement.</w:t>
      </w:r>
    </w:p>
    <w:p>
      <w:pPr>
        <w:spacing w:after="0" w:line="174" w:lineRule="exact"/>
        <w:rPr>
          <w:sz w:val="20"/>
          <w:szCs w:val="20"/>
          <w:color w:val="auto"/>
        </w:rPr>
      </w:pPr>
    </w:p>
    <w:p>
      <w:pPr>
        <w:jc w:val="both"/>
        <w:ind w:left="620" w:right="20" w:firstLine="642"/>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Collateral Agreement</w:t>
      </w:r>
      <w:r>
        <w:rPr>
          <w:rFonts w:ascii="Times New Roman" w:cs="Times New Roman" w:eastAsia="Times New Roman" w:hAnsi="Times New Roman"/>
          <w:sz w:val="20"/>
          <w:szCs w:val="20"/>
          <w:color w:val="auto"/>
        </w:rPr>
        <w:t>” means that certain Second Amended and Restated US Collateral Agreement of even date herewith executed by the US Credit Parties in favor of the Administrative Agent, for the ratable benefit of the US Secured Parties and the Canadian Secured Parties.</w:t>
      </w:r>
    </w:p>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Credit Parties</w:t>
      </w:r>
      <w:r>
        <w:rPr>
          <w:rFonts w:ascii="Times New Roman" w:cs="Times New Roman" w:eastAsia="Times New Roman" w:hAnsi="Times New Roman"/>
          <w:sz w:val="20"/>
          <w:szCs w:val="20"/>
          <w:color w:val="auto"/>
        </w:rPr>
        <w:t>” means, collectively, the US Borrowers and the US Subsidiary Guarantors. “</w:t>
      </w:r>
      <w:r>
        <w:rPr>
          <w:rFonts w:ascii="Times New Roman" w:cs="Times New Roman" w:eastAsia="Times New Roman" w:hAnsi="Times New Roman"/>
          <w:sz w:val="20"/>
          <w:szCs w:val="20"/>
          <w:u w:val="single" w:color="auto"/>
          <w:color w:val="auto"/>
        </w:rPr>
        <w:t>US Credit Party Guaranty</w:t>
      </w:r>
    </w:p>
    <w:p>
      <w:pPr>
        <w:spacing w:after="0" w:line="2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means that certain Second Amended and Restated US</w:t>
      </w:r>
    </w:p>
    <w:p>
      <w:pPr>
        <w:spacing w:after="0" w:line="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Credit Party Guaranty Agreement of even date herewith executed by the US Credit Parties in favor of the</w:t>
      </w:r>
    </w:p>
    <w:p>
      <w:pPr>
        <w:spacing w:after="0" w:line="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Administrative Agent, for the ratable benefit of the US Secured Parties and the Canadian Secured Parties.</w:t>
      </w:r>
    </w:p>
    <w:p>
      <w:pPr>
        <w:spacing w:after="0" w:line="189" w:lineRule="exact"/>
        <w:rPr>
          <w:sz w:val="20"/>
          <w:szCs w:val="20"/>
          <w:color w:val="auto"/>
        </w:rPr>
      </w:pPr>
    </w:p>
    <w:p>
      <w:pPr>
        <w:jc w:val="both"/>
        <w:ind w:left="620" w:firstLine="642"/>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Government Securities Business Day</w:t>
      </w:r>
      <w:r>
        <w:rPr>
          <w:rFonts w:ascii="Times New Roman" w:cs="Times New Roman" w:eastAsia="Times New Roman" w:hAnsi="Times New Roman"/>
          <w:sz w:val="20"/>
          <w:szCs w:val="20"/>
          <w:color w:val="auto"/>
        </w:rPr>
        <w:t xml:space="preserve">” means any day except for (a) a Saturday, (b) a Sunday or (c) a day on which the Securities Industry and Financial Markets Association recommends that the fixed income departments of its members be closed for the entire day for purposes of trading in United States government securities;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purposes of notice requirements in </w:t>
      </w:r>
      <w:r>
        <w:rPr>
          <w:rFonts w:ascii="Times New Roman" w:cs="Times New Roman" w:eastAsia="Times New Roman" w:hAnsi="Times New Roman"/>
          <w:sz w:val="20"/>
          <w:szCs w:val="20"/>
          <w:u w:val="single" w:color="auto"/>
          <w:color w:val="auto"/>
        </w:rPr>
        <w:t>Sections 2.3(a)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2.4(c)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5.2</w:t>
      </w:r>
      <w:r>
        <w:rPr>
          <w:rFonts w:ascii="Times New Roman" w:cs="Times New Roman" w:eastAsia="Times New Roman" w:hAnsi="Times New Roman"/>
          <w:sz w:val="20"/>
          <w:szCs w:val="20"/>
          <w:color w:val="auto"/>
        </w:rPr>
        <w:t>, in each case, such day is also a Business Day.</w:t>
      </w:r>
    </w:p>
    <w:p>
      <w:pPr>
        <w:spacing w:after="0" w:line="192" w:lineRule="exact"/>
        <w:rPr>
          <w:sz w:val="20"/>
          <w:szCs w:val="20"/>
          <w:color w:val="auto"/>
        </w:rPr>
      </w:pPr>
    </w:p>
    <w:p>
      <w:pPr>
        <w:jc w:val="both"/>
        <w:ind w:left="620" w:right="40" w:firstLine="642"/>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Hedge Bank</w:t>
      </w:r>
      <w:r>
        <w:rPr>
          <w:rFonts w:ascii="Times New Roman" w:cs="Times New Roman" w:eastAsia="Times New Roman" w:hAnsi="Times New Roman"/>
          <w:sz w:val="20"/>
          <w:szCs w:val="20"/>
          <w:color w:val="auto"/>
        </w:rPr>
        <w:t xml:space="preserve">” means any Person that, (a) at the time it enters into a Hedge Agreement with a US Credit Party or any US Subsidiary thereof permitted under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is a Lender, an Affiliate of a Lender, the Administrative Agent or an Affiliate of the Administrative Agent or (b) at the time it (or its Affiliate) becomes a Lender (including on the Closing Date), is a party to a Hedge Agreement with a US Credit Party or any US Subsidiary thereof, in each case in its capacity as a party to such Hedge Agreement.</w:t>
      </w:r>
    </w:p>
    <w:p>
      <w:pPr>
        <w:spacing w:after="0" w:line="180" w:lineRule="exact"/>
        <w:rPr>
          <w:sz w:val="20"/>
          <w:szCs w:val="20"/>
          <w:color w:val="auto"/>
        </w:rPr>
      </w:pPr>
    </w:p>
    <w:p>
      <w:pPr>
        <w:jc w:val="both"/>
        <w:ind w:left="620" w:right="40" w:firstLine="642"/>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L/C Obligations</w:t>
      </w:r>
      <w:r>
        <w:rPr>
          <w:rFonts w:ascii="Times New Roman" w:cs="Times New Roman" w:eastAsia="Times New Roman" w:hAnsi="Times New Roman"/>
          <w:sz w:val="20"/>
          <w:szCs w:val="20"/>
          <w:color w:val="auto"/>
        </w:rPr>
        <w:t xml:space="preserve">” means at any time, an amount equal to the sum of (a) the aggregate undrawn and unexpired amount of the then outstanding US Letters of Credit and (b) the aggregate amount of drawings under US Letters of Credit which have not then been reimbursed pursuant to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39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82</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-43180</wp:posOffset>
            </wp:positionV>
            <wp:extent cx="8255" cy="1016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89">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1040"/>
          </w:cols>
          <w:pgMar w:left="380" w:top="1440" w:right="479" w:bottom="1440" w:gutter="0" w:footer="0" w:header="0"/>
        </w:sectPr>
      </w:pPr>
    </w:p>
    <w:bookmarkStart w:id="231" w:name="page232"/>
    <w:bookmarkEnd w:id="231"/>
    <w:p>
      <w:pPr>
        <w:spacing w:after="0" w:line="95" w:lineRule="exact"/>
        <w:rPr>
          <w:sz w:val="20"/>
          <w:szCs w:val="20"/>
          <w:color w:val="auto"/>
        </w:rPr>
      </w:pPr>
    </w:p>
    <w:p>
      <w:pPr>
        <w:jc w:val="both"/>
        <w:ind w:left="680" w:firstLine="642"/>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Letters of Credit</w:t>
      </w:r>
      <w:r>
        <w:rPr>
          <w:rFonts w:ascii="Times New Roman" w:cs="Times New Roman" w:eastAsia="Times New Roman" w:hAnsi="Times New Roman"/>
          <w:sz w:val="20"/>
          <w:szCs w:val="20"/>
          <w:color w:val="auto"/>
        </w:rPr>
        <w:t xml:space="preserve">” means the collective reference to letters of credit denominated in Dollars pursuant to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(including any applicable Existing Letters of Credit). Notwithstanding anything to the contrary contained herein, a letter of credit issued by any Issuing Lender (other than Wells Fargo at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440" w:val="left"/>
        </w:tabs>
        <w:rPr>
          <w:sz w:val="20"/>
          <w:szCs w:val="20"/>
          <w:color w:val="auto"/>
        </w:rPr>
      </w:pPr>
      <w:r>
        <w:rPr>
          <w:sz w:val="1"/>
          <w:szCs w:val="1"/>
          <w:color w:val="auto"/>
        </w:rPr>
        <w:drawing>
          <wp:inline distT="0" distB="0" distL="0" distR="0">
            <wp:extent cx="8255" cy="101600"/>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90">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83</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ectPr>
          <w:pgSz w:w="11900" w:h="16838" w:orient="portrait"/>
          <w:cols w:equalWidth="0" w:num="1">
            <w:col w:w="11100"/>
          </w:cols>
          <w:pgMar w:left="320" w:top="1440" w:right="479" w:bottom="1440" w:gutter="0" w:footer="0" w:header="0"/>
        </w:sectPr>
      </w:pPr>
    </w:p>
    <w:bookmarkStart w:id="232" w:name="page233"/>
    <w:bookmarkEnd w:id="232"/>
    <w:p>
      <w:pPr>
        <w:spacing w:after="0" w:line="202" w:lineRule="exact"/>
        <w:rPr>
          <w:sz w:val="20"/>
          <w:szCs w:val="20"/>
          <w:color w:val="auto"/>
        </w:rPr>
      </w:pPr>
    </w:p>
    <w:p>
      <w:pPr>
        <w:ind w:left="620" w:right="40"/>
        <w:spacing w:after="0" w:line="263" w:lineRule="auto"/>
        <w:rPr>
          <w:sz w:val="20"/>
          <w:szCs w:val="20"/>
          <w:color w:val="auto"/>
        </w:rPr>
      </w:pPr>
      <w:r>
        <w:rPr>
          <w:rFonts w:ascii="Times New Roman" w:cs="Times New Roman" w:eastAsia="Times New Roman" w:hAnsi="Times New Roman"/>
          <w:sz w:val="20"/>
          <w:szCs w:val="20"/>
          <w:color w:val="auto"/>
        </w:rPr>
        <w:t>any time it is also acting as Administrative Agent) shall not be a “US Letter of Credit” for purposes of the Loan Documents until such time as the Administrative Agent has been notified in writing of the issuance thereof by the applicable Issuing Lender.</w:t>
      </w:r>
    </w:p>
    <w:p>
      <w:pPr>
        <w:spacing w:after="0" w:line="178" w:lineRule="exact"/>
        <w:rPr>
          <w:sz w:val="20"/>
          <w:szCs w:val="20"/>
          <w:color w:val="auto"/>
        </w:rPr>
      </w:pPr>
    </w:p>
    <w:p>
      <w:pPr>
        <w:jc w:val="both"/>
        <w:ind w:left="620" w:firstLine="642"/>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Obligations</w:t>
      </w:r>
      <w:r>
        <w:rPr>
          <w:rFonts w:ascii="Times New Roman" w:cs="Times New Roman" w:eastAsia="Times New Roman" w:hAnsi="Times New Roman"/>
          <w:sz w:val="20"/>
          <w:szCs w:val="20"/>
          <w:color w:val="auto"/>
        </w:rPr>
        <w:t>” means, in each case, whether now in existence or hereafter arising: (a) the principal of and interest on (including interest accruing after the filing of any bankruptcy or similar petition) the Loans (other than the Canadian Revolving Credit Loans, the Canadian Swingline Loans and, to the extent applicable, any Incremental Term Loan made to the Canadian Borrowers), (b) the US L/C Obligations and (c) all other fees and commissions (including attorneys’ fees), charges, indebtedness, loans, liabilities, financial accommodations, obligations, covenants and duties owing by the US Credit Parties to the Lenders, the Issuing Lenders or the Administrative Agent, in each case under any Loan Document, with respect to any Loan (other than any Canadian Revolving Credit Loan, any Canadian Swingline Loan and, to the extent applicable, any Incremental Term Loan made to the Canadian Borrowers) or any US Letter of Credit of every kind, nature and description, direct or indirect, absolute or contingent, due or to become due, contractual or tortious, liquidated or unliquidated, and whether or not evidenced by any note and including interest and fees that accrue after the commencement by or against any Credit Party or any Affiliate thereof of any proceeding under any Debtor Relief Laws, naming such Person as the debtor in such proceeding, regardless of whether such interest and fees are allowed claims in such proceeding.</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Person</w:t>
      </w:r>
      <w:r>
        <w:rPr>
          <w:rFonts w:ascii="Times New Roman" w:cs="Times New Roman" w:eastAsia="Times New Roman" w:hAnsi="Times New Roman"/>
          <w:sz w:val="20"/>
          <w:szCs w:val="20"/>
          <w:color w:val="auto"/>
        </w:rPr>
        <w:t>” means any Person that is a “United States person” as defined in Section 7701(a)(30) of the Code.</w:t>
      </w:r>
    </w:p>
    <w:p>
      <w:pPr>
        <w:spacing w:after="0" w:line="211" w:lineRule="exact"/>
        <w:rPr>
          <w:sz w:val="20"/>
          <w:szCs w:val="20"/>
          <w:color w:val="auto"/>
        </w:rPr>
      </w:pPr>
    </w:p>
    <w:p>
      <w:pPr>
        <w:jc w:val="both"/>
        <w:ind w:left="620" w:right="40" w:firstLine="642"/>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Revolving Credit Loans</w:t>
      </w:r>
      <w:r>
        <w:rPr>
          <w:rFonts w:ascii="Times New Roman" w:cs="Times New Roman" w:eastAsia="Times New Roman" w:hAnsi="Times New Roman"/>
          <w:sz w:val="20"/>
          <w:szCs w:val="20"/>
          <w:color w:val="auto"/>
        </w:rPr>
        <w:t xml:space="preserve">” means any revolving loan denominated in Dollars made to the US Borrowers pursuant to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and all such revolving loans collectively as the context requires, and shall include any Extended Revolving Credit Loans, any Refinancing Revolving Loans and any loans made pursuant to an Incremental Revolving Credit Facility Increase, in each case, related to such loans.</w:t>
      </w:r>
    </w:p>
    <w:p>
      <w:pPr>
        <w:spacing w:after="0" w:line="173" w:lineRule="exact"/>
        <w:rPr>
          <w:sz w:val="20"/>
          <w:szCs w:val="20"/>
          <w:color w:val="auto"/>
        </w:rPr>
      </w:pPr>
    </w:p>
    <w:p>
      <w:pPr>
        <w:jc w:val="both"/>
        <w:ind w:left="620" w:right="20" w:firstLine="642"/>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Revolving Credit Note</w:t>
      </w:r>
      <w:r>
        <w:rPr>
          <w:rFonts w:ascii="Times New Roman" w:cs="Times New Roman" w:eastAsia="Times New Roman" w:hAnsi="Times New Roman"/>
          <w:sz w:val="20"/>
          <w:szCs w:val="20"/>
          <w:color w:val="auto"/>
        </w:rPr>
        <w:t xml:space="preserve">” means a promissory note made by the US Borrowers in favor of a Revolving Credit Lender evidencing the Revolving Credit Loans made by such Revolving Credit Lender, substantially in the form attached as </w:t>
      </w:r>
      <w:r>
        <w:rPr>
          <w:rFonts w:ascii="Times New Roman" w:cs="Times New Roman" w:eastAsia="Times New Roman" w:hAnsi="Times New Roman"/>
          <w:sz w:val="20"/>
          <w:szCs w:val="20"/>
          <w:b w:val="1"/>
          <w:bCs w:val="1"/>
          <w:i w:val="1"/>
          <w:iCs w:val="1"/>
          <w:color w:val="auto"/>
        </w:rPr>
        <w:t>Exhibit A-1</w:t>
      </w:r>
      <w:r>
        <w:rPr>
          <w:rFonts w:ascii="Times New Roman" w:cs="Times New Roman" w:eastAsia="Times New Roman" w:hAnsi="Times New Roman"/>
          <w:sz w:val="20"/>
          <w:szCs w:val="20"/>
          <w:color w:val="auto"/>
        </w:rPr>
        <w:t>, and any substitutes therefor, and any replacements, restatements, renewals or extension thereof, in whole or in part.</w:t>
      </w:r>
    </w:p>
    <w:p>
      <w:pPr>
        <w:spacing w:after="0" w:line="184" w:lineRule="exact"/>
        <w:rPr>
          <w:sz w:val="20"/>
          <w:szCs w:val="20"/>
          <w:color w:val="auto"/>
        </w:rPr>
      </w:pPr>
    </w:p>
    <w:p>
      <w:pPr>
        <w:jc w:val="both"/>
        <w:ind w:left="620" w:right="40" w:firstLine="642"/>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Secured Obligations</w:t>
      </w:r>
      <w:r>
        <w:rPr>
          <w:rFonts w:ascii="Times New Roman" w:cs="Times New Roman" w:eastAsia="Times New Roman" w:hAnsi="Times New Roman"/>
          <w:sz w:val="20"/>
          <w:szCs w:val="20"/>
          <w:color w:val="auto"/>
        </w:rPr>
        <w:t>” means, collectively, (a) the US Obligations and (b) all existing or future payment and other obligations owing by any US Credit Party or any US Subsidiary thereof under</w:t>
      </w:r>
    </w:p>
    <w:p>
      <w:pPr>
        <w:spacing w:after="0" w:line="1" w:lineRule="exact"/>
        <w:rPr>
          <w:sz w:val="20"/>
          <w:szCs w:val="20"/>
          <w:color w:val="auto"/>
        </w:rPr>
      </w:pPr>
    </w:p>
    <w:p>
      <w:pPr>
        <w:ind w:left="620" w:right="540" w:firstLine="4"/>
        <w:spacing w:after="0" w:line="262" w:lineRule="auto"/>
        <w:tabs>
          <w:tab w:leader="none" w:pos="854"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Secured Hedge Agreement with a US Hedge Bank and (ii) any Secured Cash Management Agreement with a US Cash Management Bank.</w:t>
      </w:r>
    </w:p>
    <w:p>
      <w:pPr>
        <w:spacing w:after="0" w:line="166" w:lineRule="exact"/>
        <w:rPr>
          <w:sz w:val="20"/>
          <w:szCs w:val="20"/>
          <w:color w:val="auto"/>
        </w:rPr>
      </w:pPr>
    </w:p>
    <w:p>
      <w:pPr>
        <w:jc w:val="both"/>
        <w:ind w:left="620" w:right="20" w:firstLine="642"/>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Secured Parties</w:t>
      </w:r>
      <w:r>
        <w:rPr>
          <w:rFonts w:ascii="Times New Roman" w:cs="Times New Roman" w:eastAsia="Times New Roman" w:hAnsi="Times New Roman"/>
          <w:sz w:val="20"/>
          <w:szCs w:val="20"/>
          <w:color w:val="auto"/>
        </w:rPr>
        <w:t xml:space="preserve">” means, collectively, the Administrative Agent, the Lenders, the Issuing Lenders, the US Hedge Banks, the US Cash Management Banks, each co-agent or sub-agent appointed by the Administrative Agent from time to time pursuant to </w:t>
      </w:r>
      <w:r>
        <w:rPr>
          <w:rFonts w:ascii="Times New Roman" w:cs="Times New Roman" w:eastAsia="Times New Roman" w:hAnsi="Times New Roman"/>
          <w:sz w:val="20"/>
          <w:szCs w:val="20"/>
          <w:u w:val="single" w:color="auto"/>
          <w:color w:val="auto"/>
        </w:rPr>
        <w:t>Section 12.5</w:t>
      </w:r>
      <w:r>
        <w:rPr>
          <w:rFonts w:ascii="Times New Roman" w:cs="Times New Roman" w:eastAsia="Times New Roman" w:hAnsi="Times New Roman"/>
          <w:sz w:val="20"/>
          <w:szCs w:val="20"/>
          <w:color w:val="auto"/>
        </w:rPr>
        <w:t>, any other holder from time to time of any US Secured Obligations and, in each case, their respective successors and permitted assigns.</w:t>
      </w:r>
    </w:p>
    <w:p>
      <w:pPr>
        <w:spacing w:after="0" w:line="173" w:lineRule="exact"/>
        <w:rPr>
          <w:sz w:val="20"/>
          <w:szCs w:val="20"/>
          <w:color w:val="auto"/>
        </w:rPr>
      </w:pPr>
    </w:p>
    <w:p>
      <w:pPr>
        <w:jc w:val="both"/>
        <w:ind w:left="620" w:right="40" w:firstLine="642"/>
        <w:spacing w:after="0" w:line="27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Subsidiary</w:t>
      </w:r>
      <w:r>
        <w:rPr>
          <w:rFonts w:ascii="Times New Roman" w:cs="Times New Roman" w:eastAsia="Times New Roman" w:hAnsi="Times New Roman"/>
          <w:sz w:val="20"/>
          <w:szCs w:val="20"/>
          <w:color w:val="auto"/>
        </w:rPr>
        <w:t>” means any Subsidiary that is organized under the laws of the United States, any State thereof or the District of Columbia.</w:t>
      </w:r>
    </w:p>
    <w:p>
      <w:pPr>
        <w:spacing w:after="0" w:line="151" w:lineRule="exact"/>
        <w:rPr>
          <w:sz w:val="20"/>
          <w:szCs w:val="20"/>
          <w:color w:val="auto"/>
        </w:rPr>
      </w:pPr>
    </w:p>
    <w:p>
      <w:pPr>
        <w:jc w:val="both"/>
        <w:ind w:left="620" w:right="20" w:firstLine="642"/>
        <w:spacing w:after="0" w:line="27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Subsidiary Guarantors</w:t>
      </w:r>
      <w:r>
        <w:rPr>
          <w:rFonts w:ascii="Times New Roman" w:cs="Times New Roman" w:eastAsia="Times New Roman" w:hAnsi="Times New Roman"/>
          <w:sz w:val="20"/>
          <w:szCs w:val="20"/>
          <w:color w:val="auto"/>
        </w:rPr>
        <w:t xml:space="preserve">” means, collectively, all US Subsidiaries in existence on the Closing Date or which become parties to the US Credit Party Guaranty Agreement pursuant to </w:t>
      </w:r>
      <w:r>
        <w:rPr>
          <w:rFonts w:ascii="Times New Roman" w:cs="Times New Roman" w:eastAsia="Times New Roman" w:hAnsi="Times New Roman"/>
          <w:sz w:val="20"/>
          <w:szCs w:val="20"/>
          <w:u w:val="single" w:color="auto"/>
          <w:color w:val="auto"/>
        </w:rPr>
        <w:t>Section 8.14</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84</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-42545</wp:posOffset>
            </wp:positionV>
            <wp:extent cx="8255" cy="1016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91">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1040"/>
          </w:cols>
          <w:pgMar w:left="380" w:top="1440" w:right="479" w:bottom="1440" w:gutter="0" w:footer="0" w:header="0"/>
        </w:sectPr>
      </w:pPr>
    </w:p>
    <w:bookmarkStart w:id="233" w:name="page234"/>
    <w:bookmarkEnd w:id="233"/>
    <w:p>
      <w:pPr>
        <w:spacing w:after="0" w:line="202" w:lineRule="exact"/>
        <w:rPr>
          <w:sz w:val="20"/>
          <w:szCs w:val="20"/>
          <w:color w:val="auto"/>
        </w:rPr>
      </w:pPr>
    </w:p>
    <w:p>
      <w:pPr>
        <w:jc w:val="both"/>
        <w:ind w:left="680" w:right="20" w:firstLine="642"/>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Swingline Loan</w:t>
      </w:r>
      <w:r>
        <w:rPr>
          <w:rFonts w:ascii="Times New Roman" w:cs="Times New Roman" w:eastAsia="Times New Roman" w:hAnsi="Times New Roman"/>
          <w:sz w:val="20"/>
          <w:szCs w:val="20"/>
          <w:color w:val="auto"/>
        </w:rPr>
        <w:t xml:space="preserve">” means any swingline loan denominated in Dollars made by the applicable Swingline Lender to a US Borrower pursuant to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and all such swingline loans collectively as the context requires.</w:t>
      </w:r>
    </w:p>
    <w:p>
      <w:pPr>
        <w:spacing w:after="0" w:line="178" w:lineRule="exact"/>
        <w:rPr>
          <w:sz w:val="20"/>
          <w:szCs w:val="20"/>
          <w:color w:val="auto"/>
        </w:rPr>
      </w:pPr>
    </w:p>
    <w:p>
      <w:pPr>
        <w:jc w:val="both"/>
        <w:ind w:left="680" w:right="20" w:firstLine="642"/>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Swingline Note</w:t>
      </w:r>
      <w:r>
        <w:rPr>
          <w:rFonts w:ascii="Times New Roman" w:cs="Times New Roman" w:eastAsia="Times New Roman" w:hAnsi="Times New Roman"/>
          <w:sz w:val="20"/>
          <w:szCs w:val="20"/>
          <w:color w:val="auto"/>
        </w:rPr>
        <w:t xml:space="preserve">” means a promissory note made by the US Borrowers in favor of the applicable Swingline Lender evidencing the Swingline Loans made by the applicable Swingline Lender, substantially in the form attached as </w:t>
      </w:r>
      <w:r>
        <w:rPr>
          <w:rFonts w:ascii="Times New Roman" w:cs="Times New Roman" w:eastAsia="Times New Roman" w:hAnsi="Times New Roman"/>
          <w:sz w:val="20"/>
          <w:szCs w:val="20"/>
          <w:b w:val="1"/>
          <w:bCs w:val="1"/>
          <w:i w:val="1"/>
          <w:iCs w:val="1"/>
          <w:color w:val="auto"/>
        </w:rPr>
        <w:t>Exhibit A-3</w:t>
      </w:r>
      <w:r>
        <w:rPr>
          <w:rFonts w:ascii="Times New Roman" w:cs="Times New Roman" w:eastAsia="Times New Roman" w:hAnsi="Times New Roman"/>
          <w:sz w:val="20"/>
          <w:szCs w:val="20"/>
          <w:color w:val="auto"/>
        </w:rPr>
        <w:t>, and any substitutes therefor, and any replacements, restatements, renewals or extension thereof, in whole or in part.</w:t>
      </w:r>
    </w:p>
    <w:p>
      <w:pPr>
        <w:spacing w:after="0" w:line="17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5.11(g)</w:t>
      </w:r>
      <w:r>
        <w:rPr>
          <w:rFonts w:ascii="Times New Roman" w:cs="Times New Roman" w:eastAsia="Times New Roman" w:hAnsi="Times New Roman"/>
          <w:sz w:val="20"/>
          <w:szCs w:val="20"/>
          <w:color w:val="auto"/>
        </w:rPr>
        <w:t>.</w:t>
      </w:r>
    </w:p>
    <w:p>
      <w:pPr>
        <w:spacing w:after="0" w:line="225" w:lineRule="exact"/>
        <w:rPr>
          <w:sz w:val="20"/>
          <w:szCs w:val="20"/>
          <w:color w:val="auto"/>
        </w:rPr>
      </w:pPr>
    </w:p>
    <w:p>
      <w:pPr>
        <w:jc w:val="both"/>
        <w:ind w:left="680" w:firstLine="642"/>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Term Loan Note</w:t>
      </w:r>
      <w:r>
        <w:rPr>
          <w:rFonts w:ascii="Times New Roman" w:cs="Times New Roman" w:eastAsia="Times New Roman" w:hAnsi="Times New Roman"/>
          <w:sz w:val="20"/>
          <w:szCs w:val="20"/>
          <w:color w:val="auto"/>
        </w:rPr>
        <w:t xml:space="preserve">” means a promissory note made by the US Borrowers in favor of a Term Loan Lender evidencing the portion of the Term Loans made by such Term Loan Lender to the US Borrowers, substantially in the form attached as </w:t>
      </w:r>
      <w:r>
        <w:rPr>
          <w:rFonts w:ascii="Times New Roman" w:cs="Times New Roman" w:eastAsia="Times New Roman" w:hAnsi="Times New Roman"/>
          <w:sz w:val="20"/>
          <w:szCs w:val="20"/>
          <w:b w:val="1"/>
          <w:bCs w:val="1"/>
          <w:i w:val="1"/>
          <w:iCs w:val="1"/>
          <w:color w:val="auto"/>
        </w:rPr>
        <w:t>Exhibit A-5</w:t>
      </w:r>
      <w:r>
        <w:rPr>
          <w:rFonts w:ascii="Times New Roman" w:cs="Times New Roman" w:eastAsia="Times New Roman" w:hAnsi="Times New Roman"/>
          <w:sz w:val="20"/>
          <w:szCs w:val="20"/>
          <w:color w:val="auto"/>
        </w:rPr>
        <w:t>, and any substitutes therefor, and any replacements, restatements, renewals or extensions thereof, in whole or in part.</w:t>
      </w:r>
    </w:p>
    <w:p>
      <w:pPr>
        <w:spacing w:after="0" w:line="171" w:lineRule="exact"/>
        <w:rPr>
          <w:sz w:val="20"/>
          <w:szCs w:val="20"/>
          <w:color w:val="auto"/>
        </w:rPr>
      </w:pPr>
    </w:p>
    <w:p>
      <w:pPr>
        <w:jc w:val="both"/>
        <w:ind w:left="680" w:right="20" w:firstLine="642"/>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Weighted Average Life to Maturity</w:t>
      </w:r>
      <w:r>
        <w:rPr>
          <w:rFonts w:ascii="Times New Roman" w:cs="Times New Roman" w:eastAsia="Times New Roman" w:hAnsi="Times New Roman"/>
          <w:sz w:val="19"/>
          <w:szCs w:val="19"/>
          <w:color w:val="auto"/>
        </w:rPr>
        <w:t>”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 in each case of clauses (a) and (b), without giving effect to the application of any prior prepayment to such installment, sinking fund, serial maturity or other required payment of principal.</w:t>
      </w:r>
    </w:p>
    <w:p>
      <w:pPr>
        <w:spacing w:after="0" w:line="112" w:lineRule="exact"/>
        <w:rPr>
          <w:sz w:val="20"/>
          <w:szCs w:val="20"/>
          <w:color w:val="auto"/>
        </w:rPr>
      </w:pPr>
    </w:p>
    <w:p>
      <w:pPr>
        <w:ind w:left="1320" w:right="20"/>
        <w:spacing w:after="0" w:line="39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Wells Fargo</w:t>
      </w:r>
      <w:r>
        <w:rPr>
          <w:rFonts w:ascii="Times New Roman" w:cs="Times New Roman" w:eastAsia="Times New Roman" w:hAnsi="Times New Roman"/>
          <w:sz w:val="20"/>
          <w:szCs w:val="20"/>
          <w:color w:val="auto"/>
        </w:rPr>
        <w:t>” means Wells Fargo Bank, National Association, a national banking association. “</w:t>
      </w:r>
      <w:r>
        <w:rPr>
          <w:rFonts w:ascii="Times New Roman" w:cs="Times New Roman" w:eastAsia="Times New Roman" w:hAnsi="Times New Roman"/>
          <w:sz w:val="20"/>
          <w:szCs w:val="20"/>
          <w:u w:val="single" w:color="auto"/>
          <w:color w:val="auto"/>
        </w:rPr>
        <w:t>Wholly-Owned</w:t>
      </w:r>
      <w:r>
        <w:rPr>
          <w:rFonts w:ascii="Times New Roman" w:cs="Times New Roman" w:eastAsia="Times New Roman" w:hAnsi="Times New Roman"/>
          <w:sz w:val="20"/>
          <w:szCs w:val="20"/>
          <w:color w:val="auto"/>
        </w:rPr>
        <w:t>” means, with respect to a Subsidiary, that all of the Equity Interests of such</w:t>
      </w:r>
    </w:p>
    <w:p>
      <w:pPr>
        <w:spacing w:after="0" w:line="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Subsidiary are, directly or indirectly, owned or controlled by Centuri and/or one or more of its</w:t>
      </w:r>
    </w:p>
    <w:p>
      <w:pPr>
        <w:spacing w:after="0" w:line="12" w:lineRule="exact"/>
        <w:rPr>
          <w:sz w:val="20"/>
          <w:szCs w:val="20"/>
          <w:color w:val="auto"/>
        </w:rPr>
      </w:pPr>
    </w:p>
    <w:p>
      <w:pPr>
        <w:jc w:val="both"/>
        <w:ind w:left="680" w:right="20"/>
        <w:spacing w:after="0"/>
        <w:rPr>
          <w:sz w:val="20"/>
          <w:szCs w:val="20"/>
          <w:color w:val="auto"/>
        </w:rPr>
      </w:pPr>
      <w:r>
        <w:rPr>
          <w:rFonts w:ascii="Times New Roman" w:cs="Times New Roman" w:eastAsia="Times New Roman" w:hAnsi="Times New Roman"/>
          <w:sz w:val="20"/>
          <w:szCs w:val="20"/>
          <w:color w:val="auto"/>
        </w:rPr>
        <w:t>Wholly-Owned Subsidiaries (except for directors’ qualifying shares or other shares required by Applicable Law to be owned by a Person other than Centuri and/or one or more of its Wholly-Owned Subsidiaries).</w:t>
      </w:r>
    </w:p>
    <w:p>
      <w:pPr>
        <w:spacing w:after="0" w:line="20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Withholding Agent</w:t>
      </w:r>
      <w:r>
        <w:rPr>
          <w:rFonts w:ascii="Times New Roman" w:cs="Times New Roman" w:eastAsia="Times New Roman" w:hAnsi="Times New Roman"/>
          <w:sz w:val="20"/>
          <w:szCs w:val="20"/>
          <w:color w:val="auto"/>
        </w:rPr>
        <w:t>” means any Credit Party and the Administrative Agent.</w:t>
      </w:r>
    </w:p>
    <w:p>
      <w:pPr>
        <w:spacing w:after="0" w:line="211" w:lineRule="exact"/>
        <w:rPr>
          <w:sz w:val="20"/>
          <w:szCs w:val="20"/>
          <w:color w:val="auto"/>
        </w:rPr>
      </w:pPr>
    </w:p>
    <w:p>
      <w:pPr>
        <w:jc w:val="both"/>
        <w:ind w:left="680" w:right="20" w:firstLine="642"/>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Working Capital</w:t>
      </w:r>
      <w:r>
        <w:rPr>
          <w:rFonts w:ascii="Times New Roman" w:cs="Times New Roman" w:eastAsia="Times New Roman" w:hAnsi="Times New Roman"/>
          <w:sz w:val="20"/>
          <w:szCs w:val="20"/>
          <w:color w:val="auto"/>
        </w:rPr>
        <w:t>” means, for Centuri and its Subsidiaries on a Consolidated basis and calculated in accordance with GAAP, as of any date of determination, the excess of (a) current assets (other than cash, Cash Equivalents, taxes and deferred taxes) over (b) current liabilities, excluding, without duplication, (i) the current portion of any long-term Indebtedness, (ii) outstanding Revolving Credit Loans and Swingline Loans, (iii) the current portion of current taxes and deferred income taxes and (iv) the current portion of accrued Consolidated Interest Expense.</w:t>
      </w:r>
    </w:p>
    <w:p>
      <w:pPr>
        <w:spacing w:after="0" w:line="193" w:lineRule="exact"/>
        <w:rPr>
          <w:sz w:val="20"/>
          <w:szCs w:val="20"/>
          <w:color w:val="auto"/>
        </w:rPr>
      </w:pPr>
    </w:p>
    <w:p>
      <w:pPr>
        <w:jc w:val="both"/>
        <w:ind w:left="680" w:right="20" w:firstLine="642"/>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Write-Down and Conversion Powers</w:t>
      </w:r>
      <w:r>
        <w:rPr>
          <w:rFonts w:ascii="Times New Roman" w:cs="Times New Roman" w:eastAsia="Times New Roman" w:hAnsi="Times New Roman"/>
          <w:sz w:val="20"/>
          <w:szCs w:val="20"/>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440" w:val="left"/>
        </w:tabs>
        <w:rPr>
          <w:sz w:val="20"/>
          <w:szCs w:val="20"/>
          <w:color w:val="auto"/>
        </w:rPr>
      </w:pPr>
      <w:r>
        <w:rPr>
          <w:sz w:val="1"/>
          <w:szCs w:val="1"/>
          <w:color w:val="auto"/>
        </w:rPr>
        <w:drawing>
          <wp:inline distT="0" distB="0" distL="0" distR="0">
            <wp:extent cx="8255" cy="101600"/>
            <wp:effectExtent l="0" t="0" r="0"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92">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85</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ectPr>
          <w:pgSz w:w="11900" w:h="16838" w:orient="portrait"/>
          <w:cols w:equalWidth="0" w:num="1">
            <w:col w:w="11080"/>
          </w:cols>
          <w:pgMar w:left="320" w:top="1440" w:right="499" w:bottom="1440" w:gutter="0" w:footer="0" w:header="0"/>
        </w:sectPr>
      </w:pPr>
    </w:p>
    <w:bookmarkStart w:id="234" w:name="page235"/>
    <w:bookmarkEnd w:id="234"/>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86</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-42545</wp:posOffset>
            </wp:positionV>
            <wp:extent cx="8255" cy="1016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93">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0079"/>
          </w:cols>
          <w:pgMar w:left="380" w:top="1440" w:right="1440" w:bottom="1440" w:gutter="0" w:footer="0" w:header="0"/>
        </w:sectPr>
      </w:pPr>
    </w:p>
    <w:bookmarkStart w:id="235" w:name="page236"/>
    <w:bookmarkEnd w:id="235"/>
    <w:p>
      <w:pPr>
        <w:spacing w:after="0" w:line="202" w:lineRule="exact"/>
        <w:rPr>
          <w:sz w:val="20"/>
          <w:szCs w:val="20"/>
          <w:color w:val="auto"/>
        </w:rPr>
      </w:pPr>
    </w:p>
    <w:p>
      <w:pPr>
        <w:ind w:left="620"/>
        <w:spacing w:after="0" w:line="263" w:lineRule="auto"/>
        <w:rPr>
          <w:sz w:val="20"/>
          <w:szCs w:val="20"/>
          <w:color w:val="auto"/>
        </w:rPr>
      </w:pPr>
      <w:r>
        <w:rPr>
          <w:rFonts w:ascii="Times New Roman" w:cs="Times New Roman" w:eastAsia="Times New Roman" w:hAnsi="Times New Roman"/>
          <w:sz w:val="20"/>
          <w:szCs w:val="20"/>
          <w:color w:val="auto"/>
        </w:rPr>
        <w:t>had been exercised under it or to suspend any obligation in respect of that liability or any of the powers under that Bail-In Legislation that are related to or ancillary to any of those powers.</w:t>
      </w:r>
    </w:p>
    <w:p>
      <w:pPr>
        <w:spacing w:after="0" w:line="178" w:lineRule="exact"/>
        <w:rPr>
          <w:sz w:val="20"/>
          <w:szCs w:val="20"/>
          <w:color w:val="auto"/>
        </w:rPr>
      </w:pPr>
    </w:p>
    <w:p>
      <w:pPr>
        <w:jc w:val="both"/>
        <w:ind w:left="620" w:right="100" w:firstLine="642"/>
        <w:spacing w:after="0" w:line="249" w:lineRule="auto"/>
        <w:rPr>
          <w:sz w:val="20"/>
          <w:szCs w:val="20"/>
          <w:color w:val="auto"/>
        </w:rPr>
      </w:pPr>
      <w:r>
        <w:rPr>
          <w:rFonts w:ascii="Times New Roman" w:cs="Times New Roman" w:eastAsia="Times New Roman" w:hAnsi="Times New Roman"/>
          <w:sz w:val="20"/>
          <w:szCs w:val="20"/>
          <w:color w:val="auto"/>
        </w:rPr>
        <w:t xml:space="preserve">SECTION 1.2 </w:t>
      </w:r>
      <w:r>
        <w:rPr>
          <w:rFonts w:ascii="Times New Roman" w:cs="Times New Roman" w:eastAsia="Times New Roman" w:hAnsi="Times New Roman"/>
          <w:sz w:val="20"/>
          <w:szCs w:val="20"/>
          <w:u w:val="single" w:color="auto"/>
          <w:color w:val="auto"/>
        </w:rPr>
        <w:t>Other Definitions and Provisions</w:t>
      </w:r>
      <w:r>
        <w:rPr>
          <w:rFonts w:ascii="Times New Roman" w:cs="Times New Roman" w:eastAsia="Times New Roman" w:hAnsi="Times New Roman"/>
          <w:sz w:val="20"/>
          <w:szCs w:val="20"/>
          <w:color w:val="auto"/>
        </w:rPr>
        <w:t>. With reference to this Agreement and each other Loan Document, unless otherwise specified herein or in such other Loan Document: (a) the definitions of terms herein shall apply equally to the singular and plural forms of the terms defined,</w:t>
      </w:r>
    </w:p>
    <w:p>
      <w:pPr>
        <w:spacing w:after="0" w:line="2" w:lineRule="exact"/>
        <w:rPr>
          <w:sz w:val="20"/>
          <w:szCs w:val="20"/>
          <w:color w:val="auto"/>
        </w:rPr>
      </w:pPr>
    </w:p>
    <w:p>
      <w:pPr>
        <w:jc w:val="both"/>
        <w:ind w:left="620" w:right="40" w:firstLine="4"/>
        <w:spacing w:after="0" w:line="245" w:lineRule="auto"/>
        <w:tabs>
          <w:tab w:leader="none" w:pos="912"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whenever the context may require, any pronoun shall include the corresponding masculine, feminine and neuter forms, (c) the words “include”, “includes” and “including” shall be deemed to be followed by the phrase “without limitation”, (d) the word “will” shall be construed to have the same meaning and effect as the word “shall”, (e) any reference herein to any Person shall be construed to include such Person’s successors and assigns, (f) the words “herein”, “hereof” and “hereunder”, and words of similar import, shall be construed to refer to this Agreement in its entirety and not to any particular provision hereof, (g) all references herein to Articles, Sections, Exhibits and Schedules shall be construed to refer to Articles and Sections of, and Exhibits and Schedules to, this Agreement, (h) the words “asset” and “property” shall be construed to have the same meaning and effect and to refer to any and all tangible and intangible assets and properties, including cash, securities, accounts and contract rights, (i) the term “documents” includes any and all instruments, documents, agreements, certificates, notices, reports, financial statements and other writings, however evidenced, whether in physical or electronic form and</w:t>
      </w:r>
    </w:p>
    <w:p>
      <w:pPr>
        <w:spacing w:after="0" w:line="6" w:lineRule="exact"/>
        <w:rPr>
          <w:rFonts w:ascii="Times New Roman" w:cs="Times New Roman" w:eastAsia="Times New Roman" w:hAnsi="Times New Roman"/>
          <w:sz w:val="20"/>
          <w:szCs w:val="20"/>
          <w:color w:val="auto"/>
        </w:rPr>
      </w:pPr>
    </w:p>
    <w:p>
      <w:pPr>
        <w:ind w:left="620" w:right="100" w:firstLine="4"/>
        <w:spacing w:after="0" w:line="254" w:lineRule="auto"/>
        <w:tabs>
          <w:tab w:leader="none" w:pos="894"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60" w:lineRule="exact"/>
        <w:rPr>
          <w:sz w:val="20"/>
          <w:szCs w:val="20"/>
          <w:color w:val="auto"/>
        </w:rPr>
      </w:pPr>
    </w:p>
    <w:p>
      <w:pPr>
        <w:ind w:left="1260"/>
        <w:spacing w:after="0"/>
        <w:tabs>
          <w:tab w:leader="none" w:pos="2560" w:val="left"/>
        </w:tabs>
        <w:rPr>
          <w:sz w:val="20"/>
          <w:szCs w:val="20"/>
          <w:color w:val="auto"/>
        </w:rPr>
      </w:pPr>
      <w:r>
        <w:rPr>
          <w:rFonts w:ascii="Times New Roman" w:cs="Times New Roman" w:eastAsia="Times New Roman" w:hAnsi="Times New Roman"/>
          <w:sz w:val="20"/>
          <w:szCs w:val="20"/>
          <w:color w:val="auto"/>
        </w:rPr>
        <w:t>SECTION 1.3</w:t>
      </w:r>
      <w:r>
        <w:rPr>
          <w:sz w:val="20"/>
          <w:szCs w:val="20"/>
          <w:color w:val="auto"/>
        </w:rPr>
        <w:tab/>
      </w:r>
      <w:r>
        <w:rPr>
          <w:rFonts w:ascii="Times New Roman" w:cs="Times New Roman" w:eastAsia="Times New Roman" w:hAnsi="Times New Roman"/>
          <w:sz w:val="19"/>
          <w:szCs w:val="19"/>
          <w:u w:val="single" w:color="auto"/>
          <w:color w:val="auto"/>
        </w:rPr>
        <w:t>Accounting Terms</w:t>
      </w:r>
      <w:r>
        <w:rPr>
          <w:rFonts w:ascii="Times New Roman" w:cs="Times New Roman" w:eastAsia="Times New Roman" w:hAnsi="Times New Roman"/>
          <w:sz w:val="19"/>
          <w:szCs w:val="19"/>
          <w:color w:val="auto"/>
        </w:rPr>
        <w:t>.</w:t>
      </w:r>
    </w:p>
    <w:p>
      <w:pPr>
        <w:spacing w:after="0" w:line="225" w:lineRule="exact"/>
        <w:rPr>
          <w:sz w:val="20"/>
          <w:szCs w:val="20"/>
          <w:color w:val="auto"/>
        </w:rPr>
      </w:pPr>
    </w:p>
    <w:p>
      <w:pPr>
        <w:jc w:val="both"/>
        <w:ind w:left="620" w:right="60" w:firstLine="646"/>
        <w:spacing w:after="0" w:line="248" w:lineRule="auto"/>
        <w:tabs>
          <w:tab w:leader="none" w:pos="1867"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and in a manner consistent with that used in preparing the audited financial statements required by </w:t>
      </w:r>
      <w:r>
        <w:rPr>
          <w:rFonts w:ascii="Times New Roman" w:cs="Times New Roman" w:eastAsia="Times New Roman" w:hAnsi="Times New Roman"/>
          <w:sz w:val="20"/>
          <w:szCs w:val="20"/>
          <w:u w:val="single" w:color="auto"/>
          <w:color w:val="auto"/>
        </w:rPr>
        <w:t>Section 8.1(a)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except</w:t>
      </w:r>
      <w:r>
        <w:rPr>
          <w:rFonts w:ascii="Times New Roman" w:cs="Times New Roman" w:eastAsia="Times New Roman" w:hAnsi="Times New Roman"/>
          <w:sz w:val="20"/>
          <w:szCs w:val="20"/>
          <w:color w:val="auto"/>
        </w:rPr>
        <w:t xml:space="preserve"> as otherwise specifically prescribed herein. Notwithstanding the foregoing, for purposes of determining compliance with any covenant (including the computation of any financial covenant) contained herein, Indebtedness of the Consolidated Companies shall be deemed to be carried at 100% of the outstanding principal amount thereof, and the effects of FASB ASC 825 and FASB ASC 470-20 on financial liabilities shall be disregarded.</w:t>
      </w:r>
    </w:p>
    <w:p>
      <w:pPr>
        <w:spacing w:after="0" w:line="185" w:lineRule="exact"/>
        <w:rPr>
          <w:rFonts w:ascii="Times New Roman" w:cs="Times New Roman" w:eastAsia="Times New Roman" w:hAnsi="Times New Roman"/>
          <w:sz w:val="20"/>
          <w:szCs w:val="20"/>
          <w:color w:val="auto"/>
        </w:rPr>
      </w:pPr>
    </w:p>
    <w:p>
      <w:pPr>
        <w:jc w:val="both"/>
        <w:ind w:left="620" w:right="40" w:firstLine="646"/>
        <w:spacing w:after="0" w:line="262" w:lineRule="auto"/>
        <w:tabs>
          <w:tab w:leader="none" w:pos="1865" w:val="left"/>
        </w:tabs>
        <w:numPr>
          <w:ilvl w:val="0"/>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at any time any change in GAAP would affect the computation of any financial ratio or requirement set forth in any Loan Document, and either the Borrowers or the Required Lenders shall so request, the Administrative Agent, the Lenders and the Borrowers shall negotiate in good faith to amend such ratio or requirement to preserve the original intent thereof in light of such change in GAAP (subject to the approval of the Required Lenders);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until so amended, (i) such ratio or requirement shall continue to be computed in accordance with GAAP prior to such change therein and (ii) the Borrowers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all obligations of any Person that are or would have been treated as operating leases for purposes of GAAP prior to the effectiveness of FASB ASC 842 shall continue to be accounted for as operating leases for purposes of all financial definitions and calculations for purpose of this Agreement (whether or not such operating lease obligations were in effect on such date) notwithstanding the fact that such obligations are required in accordance with FASB ASC 842 (on a</w:t>
      </w:r>
    </w:p>
    <w:p>
      <w:pPr>
        <w:spacing w:after="0" w:line="200" w:lineRule="exact"/>
        <w:rPr>
          <w:sz w:val="20"/>
          <w:szCs w:val="20"/>
          <w:color w:val="auto"/>
        </w:rPr>
      </w:pPr>
    </w:p>
    <w:p>
      <w:pPr>
        <w:spacing w:after="0" w:line="38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87</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-34290</wp:posOffset>
            </wp:positionV>
            <wp:extent cx="8255" cy="1016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94">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1100"/>
          </w:cols>
          <w:pgMar w:left="380" w:top="1440" w:right="419" w:bottom="1440" w:gutter="0" w:footer="0" w:header="0"/>
        </w:sectPr>
      </w:pPr>
    </w:p>
    <w:bookmarkStart w:id="236" w:name="page237"/>
    <w:bookmarkEnd w:id="236"/>
    <w:p>
      <w:pPr>
        <w:spacing w:after="0" w:line="9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auto"/>
        </w:rPr>
        <w:t>prospective or retroactive basis or otherwise) to be treated as Capital Lease Obligations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tabs>
          <w:tab w:leader="none" w:pos="440" w:val="left"/>
        </w:tabs>
        <w:rPr>
          <w:sz w:val="20"/>
          <w:szCs w:val="20"/>
          <w:color w:val="auto"/>
        </w:rPr>
      </w:pPr>
      <w:r>
        <w:rPr>
          <w:sz w:val="1"/>
          <w:szCs w:val="1"/>
          <w:color w:val="auto"/>
        </w:rPr>
        <w:drawing>
          <wp:inline distT="0" distB="0" distL="0" distR="0">
            <wp:extent cx="8255" cy="101600"/>
            <wp:effectExtent l="0" t="0" r="0" b="0"/>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95">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88</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ectPr>
          <w:pgSz w:w="11900" w:h="16838" w:orient="portrait"/>
          <w:cols w:equalWidth="0" w:num="1">
            <w:col w:w="10139"/>
          </w:cols>
          <w:pgMar w:left="320" w:top="1440" w:right="1440" w:bottom="1440" w:gutter="0" w:footer="0" w:header="0"/>
        </w:sectPr>
      </w:pPr>
    </w:p>
    <w:bookmarkStart w:id="237" w:name="page238"/>
    <w:bookmarkEnd w:id="237"/>
    <w:p>
      <w:pPr>
        <w:spacing w:after="0" w:line="202" w:lineRule="exact"/>
        <w:rPr>
          <w:sz w:val="20"/>
          <w:szCs w:val="20"/>
          <w:color w:val="auto"/>
        </w:rPr>
      </w:pPr>
    </w:p>
    <w:p>
      <w:pPr>
        <w:jc w:val="both"/>
        <w:ind w:left="680" w:right="60" w:firstLine="642"/>
        <w:spacing w:after="0" w:line="250" w:lineRule="auto"/>
        <w:rPr>
          <w:sz w:val="20"/>
          <w:szCs w:val="20"/>
          <w:color w:val="auto"/>
        </w:rPr>
      </w:pPr>
      <w:r>
        <w:rPr>
          <w:rFonts w:ascii="Times New Roman" w:cs="Times New Roman" w:eastAsia="Times New Roman" w:hAnsi="Times New Roman"/>
          <w:sz w:val="20"/>
          <w:szCs w:val="20"/>
          <w:color w:val="auto"/>
        </w:rPr>
        <w:t xml:space="preserve">SECTION 1.4 </w:t>
      </w:r>
      <w:r>
        <w:rPr>
          <w:rFonts w:ascii="Times New Roman" w:cs="Times New Roman" w:eastAsia="Times New Roman" w:hAnsi="Times New Roman"/>
          <w:sz w:val="20"/>
          <w:szCs w:val="20"/>
          <w:u w:val="single" w:color="auto"/>
          <w:color w:val="auto"/>
        </w:rPr>
        <w:t>UCC and PPSA Terms</w:t>
      </w:r>
      <w:r>
        <w:rPr>
          <w:rFonts w:ascii="Times New Roman" w:cs="Times New Roman" w:eastAsia="Times New Roman" w:hAnsi="Times New Roman"/>
          <w:sz w:val="20"/>
          <w:szCs w:val="20"/>
          <w:color w:val="auto"/>
        </w:rPr>
        <w:t xml:space="preserve">. Terms defined in the UCC and/or the PPSA in effect on the Closing Date and not otherwise defined herein shall, unless the context otherwise indicates, have the meanings provided in the UCC and/or the PPSA,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term is defined in both the UCC and the PPSA and not otherwise defined herein, such term shall have the meaning provided in the UCC. Subject to the foregoing, the term “UCC” and “PPSA” refers, as of any date of determination, to the UCC or PPSA then in effect.</w:t>
      </w:r>
    </w:p>
    <w:p>
      <w:pPr>
        <w:spacing w:after="0" w:line="180" w:lineRule="exact"/>
        <w:rPr>
          <w:sz w:val="20"/>
          <w:szCs w:val="20"/>
          <w:color w:val="auto"/>
        </w:rPr>
      </w:pPr>
    </w:p>
    <w:p>
      <w:pPr>
        <w:jc w:val="both"/>
        <w:ind w:left="680" w:firstLine="642"/>
        <w:spacing w:after="0" w:line="255" w:lineRule="auto"/>
        <w:rPr>
          <w:sz w:val="20"/>
          <w:szCs w:val="20"/>
          <w:color w:val="auto"/>
        </w:rPr>
      </w:pPr>
      <w:r>
        <w:rPr>
          <w:rFonts w:ascii="Times New Roman" w:cs="Times New Roman" w:eastAsia="Times New Roman" w:hAnsi="Times New Roman"/>
          <w:sz w:val="20"/>
          <w:szCs w:val="20"/>
          <w:color w:val="auto"/>
        </w:rPr>
        <w:t xml:space="preserve">SECTION 1.5 </w:t>
      </w:r>
      <w:r>
        <w:rPr>
          <w:rFonts w:ascii="Times New Roman" w:cs="Times New Roman" w:eastAsia="Times New Roman" w:hAnsi="Times New Roman"/>
          <w:sz w:val="20"/>
          <w:szCs w:val="20"/>
          <w:u w:val="single" w:color="auto"/>
          <w:color w:val="auto"/>
        </w:rPr>
        <w:t>Rounding</w:t>
      </w:r>
      <w:r>
        <w:rPr>
          <w:rFonts w:ascii="Times New Roman" w:cs="Times New Roman" w:eastAsia="Times New Roman" w:hAnsi="Times New Roman"/>
          <w:sz w:val="20"/>
          <w:szCs w:val="20"/>
          <w:color w:val="auto"/>
        </w:rPr>
        <w:t>. Any financial ratios required to be maintained pursuant to this Agreement shall be calculated by dividing the appropriate component by the other component, carrying the result to one place more than the number of places by which such ratio or percentage is expressed herein and rounding the result up or down to the nearest number (with a rounding-up if there is no nearest number).</w:t>
      </w:r>
    </w:p>
    <w:p>
      <w:pPr>
        <w:spacing w:after="0" w:line="173" w:lineRule="exact"/>
        <w:rPr>
          <w:sz w:val="20"/>
          <w:szCs w:val="20"/>
          <w:color w:val="auto"/>
        </w:rPr>
      </w:pPr>
    </w:p>
    <w:p>
      <w:pPr>
        <w:jc w:val="both"/>
        <w:ind w:left="680" w:right="40" w:firstLine="642"/>
        <w:spacing w:after="0" w:line="249" w:lineRule="auto"/>
        <w:rPr>
          <w:sz w:val="20"/>
          <w:szCs w:val="20"/>
          <w:color w:val="auto"/>
        </w:rPr>
      </w:pPr>
      <w:r>
        <w:rPr>
          <w:rFonts w:ascii="Times New Roman" w:cs="Times New Roman" w:eastAsia="Times New Roman" w:hAnsi="Times New Roman"/>
          <w:sz w:val="20"/>
          <w:szCs w:val="20"/>
          <w:color w:val="auto"/>
        </w:rPr>
        <w:t xml:space="preserve">SECTION 1.6 </w:t>
      </w:r>
      <w:r>
        <w:rPr>
          <w:rFonts w:ascii="Times New Roman" w:cs="Times New Roman" w:eastAsia="Times New Roman" w:hAnsi="Times New Roman"/>
          <w:sz w:val="20"/>
          <w:szCs w:val="20"/>
          <w:u w:val="single" w:color="auto"/>
          <w:color w:val="auto"/>
        </w:rPr>
        <w:t>References to Agreement and Laws</w:t>
      </w:r>
      <w:r>
        <w:rPr>
          <w:rFonts w:ascii="Times New Roman" w:cs="Times New Roman" w:eastAsia="Times New Roman" w:hAnsi="Times New Roman"/>
          <w:sz w:val="20"/>
          <w:szCs w:val="20"/>
          <w:color w:val="auto"/>
        </w:rPr>
        <w:t>. Unless otherwise expressly provided herein, (a) any definition or reference to formation documents, governing documents, agreements (including the Loan Documents) and other contractual documents or instruments shall be deemed to include all subsequent amendments, restatements, extensions, supplements and other modifications thereto, but only to the extent that such amendments, restatements, extensions, supplements and other modifications are not prohibited by any Loan Document; and (b) any definition or reference to any Applicable Law, including, without limitation, the Code, the Commodity Exchange Act, ERISA, the Exchange Act, the PATRIOT Act, the Securities Act, the UCC, the PPSA, the Investment Company Act, the Interstate Commerce Act, the Trading with the Enemy Act of the United States or any of the foreign assets control regulations of the United States Treasury Department, shall include all statutory and regulatory provisions consolidating, amending, replacing, supplementing or interpreting such Applicable Law.</w:t>
      </w:r>
    </w:p>
    <w:p>
      <w:pPr>
        <w:spacing w:after="0" w:line="180" w:lineRule="exact"/>
        <w:rPr>
          <w:sz w:val="20"/>
          <w:szCs w:val="20"/>
          <w:color w:val="auto"/>
        </w:rPr>
      </w:pPr>
    </w:p>
    <w:p>
      <w:pPr>
        <w:jc w:val="both"/>
        <w:ind w:left="680" w:right="60" w:firstLine="642"/>
        <w:spacing w:after="0" w:line="263" w:lineRule="auto"/>
        <w:rPr>
          <w:sz w:val="20"/>
          <w:szCs w:val="20"/>
          <w:color w:val="auto"/>
        </w:rPr>
      </w:pPr>
      <w:r>
        <w:rPr>
          <w:rFonts w:ascii="Times New Roman" w:cs="Times New Roman" w:eastAsia="Times New Roman" w:hAnsi="Times New Roman"/>
          <w:sz w:val="20"/>
          <w:szCs w:val="20"/>
          <w:color w:val="auto"/>
        </w:rPr>
        <w:t xml:space="preserve">SECTION 1.7 </w:t>
      </w:r>
      <w:r>
        <w:rPr>
          <w:rFonts w:ascii="Times New Roman" w:cs="Times New Roman" w:eastAsia="Times New Roman" w:hAnsi="Times New Roman"/>
          <w:sz w:val="20"/>
          <w:szCs w:val="20"/>
          <w:u w:val="single" w:color="auto"/>
          <w:color w:val="auto"/>
        </w:rPr>
        <w:t>Times of Day</w:t>
      </w:r>
      <w:r>
        <w:rPr>
          <w:rFonts w:ascii="Times New Roman" w:cs="Times New Roman" w:eastAsia="Times New Roman" w:hAnsi="Times New Roman"/>
          <w:sz w:val="20"/>
          <w:szCs w:val="20"/>
          <w:color w:val="auto"/>
        </w:rPr>
        <w:t>. Unless otherwise specified, all references herein to times of day shall be references to Eastern time (daylight or standard, as applicable).</w:t>
      </w:r>
    </w:p>
    <w:p>
      <w:pPr>
        <w:spacing w:after="0" w:line="178" w:lineRule="exact"/>
        <w:rPr>
          <w:sz w:val="20"/>
          <w:szCs w:val="20"/>
          <w:color w:val="auto"/>
        </w:rPr>
      </w:pPr>
    </w:p>
    <w:p>
      <w:pPr>
        <w:ind w:left="1320"/>
        <w:spacing w:after="0"/>
        <w:tabs>
          <w:tab w:leader="none" w:pos="2620" w:val="left"/>
        </w:tabs>
        <w:rPr>
          <w:sz w:val="20"/>
          <w:szCs w:val="20"/>
          <w:color w:val="auto"/>
        </w:rPr>
      </w:pPr>
      <w:r>
        <w:rPr>
          <w:rFonts w:ascii="Times New Roman" w:cs="Times New Roman" w:eastAsia="Times New Roman" w:hAnsi="Times New Roman"/>
          <w:sz w:val="20"/>
          <w:szCs w:val="20"/>
          <w:color w:val="auto"/>
        </w:rPr>
        <w:t>SECTION 1.8</w:t>
      </w:r>
      <w:r>
        <w:rPr>
          <w:sz w:val="20"/>
          <w:szCs w:val="20"/>
          <w:color w:val="auto"/>
        </w:rPr>
        <w:tab/>
      </w:r>
      <w:r>
        <w:rPr>
          <w:rFonts w:ascii="Times New Roman" w:cs="Times New Roman" w:eastAsia="Times New Roman" w:hAnsi="Times New Roman"/>
          <w:sz w:val="19"/>
          <w:szCs w:val="19"/>
          <w:u w:val="single" w:color="auto"/>
          <w:color w:val="auto"/>
        </w:rPr>
        <w:t>Letter of Credit Amounts</w:t>
      </w:r>
      <w:r>
        <w:rPr>
          <w:rFonts w:ascii="Times New Roman" w:cs="Times New Roman" w:eastAsia="Times New Roman" w:hAnsi="Times New Roman"/>
          <w:sz w:val="19"/>
          <w:szCs w:val="19"/>
          <w:color w:val="auto"/>
        </w:rPr>
        <w:t>.</w:t>
      </w:r>
    </w:p>
    <w:p>
      <w:pPr>
        <w:spacing w:after="0" w:line="211" w:lineRule="exact"/>
        <w:rPr>
          <w:sz w:val="20"/>
          <w:szCs w:val="20"/>
          <w:color w:val="auto"/>
        </w:rPr>
      </w:pPr>
    </w:p>
    <w:p>
      <w:pPr>
        <w:jc w:val="both"/>
        <w:ind w:left="680" w:right="60" w:firstLine="646"/>
        <w:spacing w:after="0" w:line="254" w:lineRule="auto"/>
        <w:tabs>
          <w:tab w:leader="none" w:pos="1927"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specified, all references herein to the amount of a Letter of Credit at any time shall be deemed to mean the maximum face amount of such Letter of Credit after giving effect to all increases thereof contemplated by such Letter of Credit or the Letter of Credit Application therefor (at the time specified therefor in such applicable Letter of Credit or Letter of Credit Application and as such amount may be reduced by (i) any permanent reduction of such Letter of Credit or (ii) any amount which is drawn, reimbursed and no longer available under such Letter of Credit).</w:t>
      </w:r>
    </w:p>
    <w:p>
      <w:pPr>
        <w:spacing w:after="0" w:line="173" w:lineRule="exact"/>
        <w:rPr>
          <w:rFonts w:ascii="Times New Roman" w:cs="Times New Roman" w:eastAsia="Times New Roman" w:hAnsi="Times New Roman"/>
          <w:sz w:val="20"/>
          <w:szCs w:val="20"/>
          <w:color w:val="auto"/>
        </w:rPr>
      </w:pPr>
    </w:p>
    <w:p>
      <w:pPr>
        <w:jc w:val="both"/>
        <w:ind w:left="680" w:right="60" w:firstLine="646"/>
        <w:spacing w:after="0" w:line="250" w:lineRule="auto"/>
        <w:tabs>
          <w:tab w:leader="none" w:pos="1925"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FF0000"/>
          <w:strike w:val="1"/>
        </w:rPr>
        <w:t xml:space="preserve">For purposes of </w:t>
      </w:r>
      <w:r>
        <w:rPr>
          <w:rFonts w:ascii="Times New Roman" w:cs="Times New Roman" w:eastAsia="Times New Roman" w:hAnsi="Times New Roman"/>
          <w:sz w:val="20"/>
          <w:szCs w:val="20"/>
          <w:u w:val="single" w:color="auto"/>
          <w:color w:val="FF0000"/>
          <w:strike w:val="1"/>
        </w:rPr>
        <w:t>Articles II</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FF0000"/>
          <w:strike w:val="1"/>
        </w:rPr>
        <w:t>III</w:t>
      </w:r>
      <w:r>
        <w:rPr>
          <w:rFonts w:ascii="Times New Roman" w:cs="Times New Roman" w:eastAsia="Times New Roman" w:hAnsi="Times New Roman"/>
          <w:sz w:val="20"/>
          <w:szCs w:val="20"/>
          <w:color w:val="FF0000"/>
          <w:strike w:val="1"/>
        </w:rPr>
        <w:t xml:space="preserve"> and </w:t>
      </w:r>
      <w:r>
        <w:rPr>
          <w:rFonts w:ascii="Times New Roman" w:cs="Times New Roman" w:eastAsia="Times New Roman" w:hAnsi="Times New Roman"/>
          <w:sz w:val="20"/>
          <w:szCs w:val="20"/>
          <w:u w:val="single" w:color="auto"/>
          <w:color w:val="FF0000"/>
          <w:strike w:val="1"/>
        </w:rPr>
        <w:t>V</w:t>
      </w:r>
      <w:r>
        <w:rPr>
          <w:rFonts w:ascii="Times New Roman" w:cs="Times New Roman" w:eastAsia="Times New Roman" w:hAnsi="Times New Roman"/>
          <w:sz w:val="20"/>
          <w:szCs w:val="20"/>
          <w:color w:val="FF0000"/>
          <w:strike w:val="1"/>
        </w:rPr>
        <w:t xml:space="preserve">, the applicable outstanding amount of all Canadian Letters of Credit and Canadian L/C Obligations shall be deemed to refer to </w:t>
      </w:r>
      <w:r>
        <w:rPr>
          <w:rFonts w:ascii="Times New Roman" w:cs="Times New Roman" w:eastAsia="Times New Roman" w:hAnsi="Times New Roman"/>
          <w:sz w:val="20"/>
          <w:szCs w:val="20"/>
          <w:u w:val="single" w:color="auto"/>
          <w:color w:val="007F00"/>
          <w:strike w:val="1"/>
        </w:rPr>
        <w:t>Notwithstanding the</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0000FF"/>
          <w:strike w:val="1"/>
        </w:rPr>
        <w:t>provisions of Section 1.10 or any other provision of this</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0000FF"/>
          <w:strike w:val="1"/>
        </w:rPr>
        <w:t>Agreement, each Issuing Lender may compute</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000000"/>
          <w:strike w:val="1"/>
        </w:rPr>
        <w:t>the Dollar Amount</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FF0000"/>
          <w:strike w:val="1"/>
        </w:rPr>
        <w:t>thereof</w:t>
      </w:r>
      <w:r>
        <w:rPr>
          <w:rFonts w:ascii="Times New Roman" w:cs="Times New Roman" w:eastAsia="Times New Roman" w:hAnsi="Times New Roman"/>
          <w:sz w:val="20"/>
          <w:szCs w:val="20"/>
          <w:u w:val="single" w:color="auto"/>
          <w:color w:val="0000FF"/>
          <w:strike w:val="1"/>
        </w:rPr>
        <w:t>of the maximum amount of each applicable Letter of</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u w:val="single" w:color="auto"/>
          <w:color w:val="0000FF"/>
          <w:strike w:val="1"/>
        </w:rPr>
        <w:t xml:space="preserve">Credit issued by such Issuing Lender </w:t>
      </w:r>
      <w:r>
        <w:rPr>
          <w:rFonts w:ascii="Times New Roman" w:cs="Times New Roman" w:eastAsia="Times New Roman" w:hAnsi="Times New Roman"/>
          <w:sz w:val="20"/>
          <w:szCs w:val="20"/>
          <w:u w:val="single" w:color="auto"/>
          <w:color w:val="007F00"/>
          <w:strike w:val="1"/>
        </w:rPr>
        <w:t>by reference to</w:t>
      </w:r>
      <w:r>
        <w:rPr>
          <w:rFonts w:ascii="Times New Roman" w:cs="Times New Roman" w:eastAsia="Times New Roman" w:hAnsi="Times New Roman"/>
          <w:sz w:val="20"/>
          <w:szCs w:val="20"/>
          <w:u w:val="single" w:color="auto"/>
          <w:color w:val="0000FF"/>
          <w:strike w:val="1"/>
        </w:rPr>
        <w:t xml:space="preserve"> exchange rates determined using any reasonable method customarily employed by such Issuing Lender for such purpose</w:t>
      </w:r>
      <w:r>
        <w:rPr>
          <w:rFonts w:ascii="Times New Roman" w:cs="Times New Roman" w:eastAsia="Times New Roman" w:hAnsi="Times New Roman"/>
          <w:sz w:val="20"/>
          <w:szCs w:val="20"/>
          <w:color w:val="000000"/>
          <w:strike w:val="1"/>
        </w:rPr>
        <w:t>.</w:t>
      </w:r>
    </w:p>
    <w:p>
      <w:pPr>
        <w:spacing w:after="0" w:line="193" w:lineRule="exact"/>
        <w:rPr>
          <w:sz w:val="20"/>
          <w:szCs w:val="20"/>
          <w:color w:val="auto"/>
        </w:rPr>
      </w:pPr>
    </w:p>
    <w:p>
      <w:pPr>
        <w:jc w:val="both"/>
        <w:ind w:left="680" w:firstLine="642"/>
        <w:spacing w:after="0" w:line="250" w:lineRule="auto"/>
        <w:rPr>
          <w:sz w:val="20"/>
          <w:szCs w:val="20"/>
          <w:color w:val="auto"/>
        </w:rPr>
      </w:pPr>
      <w:r>
        <w:rPr>
          <w:rFonts w:ascii="Times New Roman" w:cs="Times New Roman" w:eastAsia="Times New Roman" w:hAnsi="Times New Roman"/>
          <w:sz w:val="20"/>
          <w:szCs w:val="20"/>
          <w:color w:val="auto"/>
        </w:rPr>
        <w:t xml:space="preserve">SECTION 1.9 </w:t>
      </w:r>
      <w:r>
        <w:rPr>
          <w:rFonts w:ascii="Times New Roman" w:cs="Times New Roman" w:eastAsia="Times New Roman" w:hAnsi="Times New Roman"/>
          <w:sz w:val="20"/>
          <w:szCs w:val="20"/>
          <w:u w:val="single" w:color="auto"/>
          <w:color w:val="auto"/>
        </w:rPr>
        <w:t>Guarantees/Earn-Outs</w:t>
      </w:r>
      <w:r>
        <w:rPr>
          <w:rFonts w:ascii="Times New Roman" w:cs="Times New Roman" w:eastAsia="Times New Roman" w:hAnsi="Times New Roman"/>
          <w:sz w:val="20"/>
          <w:szCs w:val="20"/>
          <w:color w:val="auto"/>
        </w:rPr>
        <w:t>. Unless otherwise specified, (a) the amount of any Guarantee shall be the lesser of the amount of the obligations guaranteed and still outstanding and the maximum amount for which the guaranteeing Person may be liable pursuant to the terms of the instrument embodying such Guarantee and (b) the amount of any earn-out or similar obligation shall be the amount of such obligation as reflected on the balance sheet of such Person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440" w:val="left"/>
        </w:tabs>
        <w:rPr>
          <w:sz w:val="20"/>
          <w:szCs w:val="20"/>
          <w:color w:val="auto"/>
        </w:rPr>
      </w:pPr>
      <w:r>
        <w:rPr>
          <w:sz w:val="1"/>
          <w:szCs w:val="1"/>
          <w:color w:val="auto"/>
        </w:rPr>
        <w:drawing>
          <wp:inline distT="0" distB="0" distL="0" distR="0">
            <wp:extent cx="8255" cy="101600"/>
            <wp:effectExtent l="0" t="0" r="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96">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89</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ectPr>
          <w:pgSz w:w="11900" w:h="16838" w:orient="portrait"/>
          <w:cols w:equalWidth="0" w:num="1">
            <w:col w:w="11120"/>
          </w:cols>
          <w:pgMar w:left="320" w:top="1440" w:right="459" w:bottom="1440" w:gutter="0" w:footer="0" w:header="0"/>
        </w:sectPr>
      </w:pPr>
    </w:p>
    <w:bookmarkStart w:id="238" w:name="page239"/>
    <w:bookmarkEnd w:id="238"/>
    <w:p>
      <w:pPr>
        <w:spacing w:after="0" w:line="202" w:lineRule="exact"/>
        <w:rPr>
          <w:sz w:val="20"/>
          <w:szCs w:val="20"/>
          <w:color w:val="auto"/>
        </w:rPr>
      </w:pPr>
    </w:p>
    <w:p>
      <w:pPr>
        <w:ind w:left="1260"/>
        <w:spacing w:after="0"/>
        <w:tabs>
          <w:tab w:leader="none" w:pos="2660" w:val="left"/>
        </w:tabs>
        <w:rPr>
          <w:sz w:val="20"/>
          <w:szCs w:val="20"/>
          <w:color w:val="auto"/>
        </w:rPr>
      </w:pPr>
      <w:r>
        <w:rPr>
          <w:rFonts w:ascii="Times New Roman" w:cs="Times New Roman" w:eastAsia="Times New Roman" w:hAnsi="Times New Roman"/>
          <w:sz w:val="20"/>
          <w:szCs w:val="20"/>
          <w:color w:val="auto"/>
        </w:rPr>
        <w:t>SECTION 1.10</w:t>
      </w:r>
      <w:r>
        <w:rPr>
          <w:sz w:val="20"/>
          <w:szCs w:val="20"/>
          <w:color w:val="auto"/>
        </w:rPr>
        <w:tab/>
      </w:r>
      <w:r>
        <w:rPr>
          <w:rFonts w:ascii="Times New Roman" w:cs="Times New Roman" w:eastAsia="Times New Roman" w:hAnsi="Times New Roman"/>
          <w:sz w:val="19"/>
          <w:szCs w:val="19"/>
          <w:u w:val="single" w:color="auto"/>
          <w:color w:val="auto"/>
        </w:rPr>
        <w:t>Alternative Currency Matters</w:t>
      </w:r>
      <w:r>
        <w:rPr>
          <w:rFonts w:ascii="Times New Roman" w:cs="Times New Roman" w:eastAsia="Times New Roman" w:hAnsi="Times New Roman"/>
          <w:sz w:val="19"/>
          <w:szCs w:val="19"/>
          <w:color w:val="auto"/>
        </w:rPr>
        <w:t>.</w:t>
      </w:r>
    </w:p>
    <w:p>
      <w:pPr>
        <w:spacing w:after="0" w:line="211" w:lineRule="exact"/>
        <w:rPr>
          <w:sz w:val="20"/>
          <w:szCs w:val="20"/>
          <w:color w:val="auto"/>
        </w:rPr>
      </w:pPr>
    </w:p>
    <w:p>
      <w:pPr>
        <w:jc w:val="both"/>
        <w:ind w:left="620" w:right="20" w:firstLine="646"/>
        <w:spacing w:after="0" w:line="249" w:lineRule="auto"/>
        <w:tabs>
          <w:tab w:leader="none" w:pos="1867"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Covenant Compliance Generally</w:t>
      </w:r>
      <w:r>
        <w:rPr>
          <w:rFonts w:ascii="Times New Roman" w:cs="Times New Roman" w:eastAsia="Times New Roman" w:hAnsi="Times New Roman"/>
          <w:sz w:val="20"/>
          <w:szCs w:val="20"/>
          <w:color w:val="auto"/>
        </w:rPr>
        <w:t xml:space="preserve">. For purposes of determining compliance under </w:t>
      </w:r>
      <w:r>
        <w:rPr>
          <w:rFonts w:ascii="Times New Roman" w:cs="Times New Roman" w:eastAsia="Times New Roman" w:hAnsi="Times New Roman"/>
          <w:sz w:val="20"/>
          <w:szCs w:val="20"/>
          <w:u w:val="single" w:color="auto"/>
          <w:color w:val="auto"/>
        </w:rPr>
        <w:t>Sections 9.1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9.6</w:t>
      </w:r>
      <w:r>
        <w:rPr>
          <w:rFonts w:ascii="Times New Roman" w:cs="Times New Roman" w:eastAsia="Times New Roman" w:hAnsi="Times New Roman"/>
          <w:sz w:val="20"/>
          <w:szCs w:val="20"/>
          <w:color w:val="auto"/>
        </w:rPr>
        <w:t xml:space="preserve">, any amount in a currency other than Dollars will be converted to Dollars in a manner consistent with that used in calculating Consolidated Net Income in the most recent annual financial statements of the Consolidated Companies delivered pursuant to </w:t>
      </w:r>
      <w:r>
        <w:rPr>
          <w:rFonts w:ascii="Times New Roman" w:cs="Times New Roman" w:eastAsia="Times New Roman" w:hAnsi="Times New Roman"/>
          <w:sz w:val="20"/>
          <w:szCs w:val="20"/>
          <w:u w:val="single" w:color="auto"/>
          <w:color w:val="auto"/>
        </w:rPr>
        <w:t>Section 8.1(a)</w:t>
      </w:r>
      <w:r>
        <w:rPr>
          <w:rFonts w:ascii="Times New Roman" w:cs="Times New Roman" w:eastAsia="Times New Roman" w:hAnsi="Times New Roman"/>
          <w:sz w:val="20"/>
          <w:szCs w:val="20"/>
          <w:color w:val="auto"/>
        </w:rPr>
        <w:t xml:space="preserve">. Notwithstanding the foregoing, for purposes of determining compliance with </w:t>
      </w:r>
      <w:r>
        <w:rPr>
          <w:rFonts w:ascii="Times New Roman" w:cs="Times New Roman" w:eastAsia="Times New Roman" w:hAnsi="Times New Roman"/>
          <w:sz w:val="20"/>
          <w:szCs w:val="20"/>
          <w:u w:val="single" w:color="auto"/>
          <w:color w:val="auto"/>
        </w:rPr>
        <w:t>Sections 9.1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9.3</w:t>
      </w:r>
      <w:r>
        <w:rPr>
          <w:rFonts w:ascii="Times New Roman" w:cs="Times New Roman" w:eastAsia="Times New Roman" w:hAnsi="Times New Roman"/>
          <w:sz w:val="20"/>
          <w:szCs w:val="20"/>
          <w:color w:val="auto"/>
        </w:rPr>
        <w:t xml:space="preserve">, with respect to any amount of Indebtedness or Investment in a currency other than Dollars, no breach of any basket contained in such sections shall be deemed to have occurred solely as a result of changes in rates of exchange occurring after the time such Indebtedness or Investment is incurred;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avoidance of doubt, the foregoing provisions of this </w:t>
      </w:r>
      <w:r>
        <w:rPr>
          <w:rFonts w:ascii="Times New Roman" w:cs="Times New Roman" w:eastAsia="Times New Roman" w:hAnsi="Times New Roman"/>
          <w:sz w:val="20"/>
          <w:szCs w:val="20"/>
          <w:u w:val="single" w:color="auto"/>
          <w:color w:val="auto"/>
        </w:rPr>
        <w:t>Section 1.10</w:t>
      </w:r>
      <w:r>
        <w:rPr>
          <w:rFonts w:ascii="Times New Roman" w:cs="Times New Roman" w:eastAsia="Times New Roman" w:hAnsi="Times New Roman"/>
          <w:sz w:val="20"/>
          <w:szCs w:val="20"/>
          <w:color w:val="auto"/>
        </w:rPr>
        <w:t xml:space="preserve"> shall otherwise apply to such Sections, including with respect to determining whether any Indebtedness or Investment may be incurred at any time under such Sections.</w:t>
      </w:r>
    </w:p>
    <w:p>
      <w:pPr>
        <w:spacing w:after="0" w:line="179" w:lineRule="exact"/>
        <w:rPr>
          <w:rFonts w:ascii="Times New Roman" w:cs="Times New Roman" w:eastAsia="Times New Roman" w:hAnsi="Times New Roman"/>
          <w:sz w:val="20"/>
          <w:szCs w:val="20"/>
          <w:color w:val="auto"/>
        </w:rPr>
      </w:pPr>
    </w:p>
    <w:p>
      <w:pPr>
        <w:jc w:val="both"/>
        <w:ind w:left="620" w:right="20" w:firstLine="646"/>
        <w:spacing w:after="0" w:line="272" w:lineRule="auto"/>
        <w:tabs>
          <w:tab w:leader="none" w:pos="1865"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Amount of Obligations</w:t>
      </w:r>
      <w:r>
        <w:rPr>
          <w:rFonts w:ascii="Times New Roman" w:cs="Times New Roman" w:eastAsia="Times New Roman" w:hAnsi="Times New Roman"/>
          <w:sz w:val="19"/>
          <w:szCs w:val="19"/>
          <w:color w:val="auto"/>
        </w:rPr>
        <w:t>. Unless otherwise specified, for purposes of this Agreement, any determination of the amount of any outstanding Canadian Revolving Credit Loans, Canadian Swingline Loans, Incremental Term Loans denominated in Canadian Dollars or Canadian Obligations shall be based upon the Dollar Amount of such Canadian Revolving Credit Loans, Canadian Swingline Loans, Incremental Term Loans denominated in Canadian Dollars or Canadian Obligations, as the case may be.</w:t>
      </w:r>
    </w:p>
    <w:p>
      <w:pPr>
        <w:spacing w:after="0" w:line="159" w:lineRule="exact"/>
        <w:rPr>
          <w:rFonts w:ascii="Times New Roman" w:cs="Times New Roman" w:eastAsia="Times New Roman" w:hAnsi="Times New Roman"/>
          <w:sz w:val="19"/>
          <w:szCs w:val="19"/>
          <w:color w:val="auto"/>
        </w:rPr>
      </w:pPr>
    </w:p>
    <w:p>
      <w:pPr>
        <w:jc w:val="both"/>
        <w:ind w:left="620" w:right="20" w:firstLine="646"/>
        <w:spacing w:after="0" w:line="255" w:lineRule="auto"/>
        <w:tabs>
          <w:tab w:leader="none" w:pos="1867"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Exchange Rates</w:t>
      </w:r>
      <w:r>
        <w:rPr>
          <w:rFonts w:ascii="Times New Roman" w:cs="Times New Roman" w:eastAsia="Times New Roman" w:hAnsi="Times New Roman"/>
          <w:sz w:val="20"/>
          <w:szCs w:val="20"/>
          <w:color w:val="auto"/>
        </w:rPr>
        <w:t>. The Administrative Agent shall determine the Spot Rates as of each Revaluation Date to be used for calculating Dollar Amount of any Extensions of Credit and Revolving Credit Outstandings denominated in Canadian Dollars. Such Spot Rates shall become effective as of such Revaluation Date and shall be the Spot Rates employed in converting any amounts between the applicable currencies until the next Revaluation Date to occur.</w:t>
      </w:r>
    </w:p>
    <w:p>
      <w:pPr>
        <w:spacing w:after="0" w:line="173" w:lineRule="exact"/>
        <w:rPr>
          <w:sz w:val="20"/>
          <w:szCs w:val="20"/>
          <w:color w:val="auto"/>
        </w:rPr>
      </w:pPr>
    </w:p>
    <w:p>
      <w:pPr>
        <w:jc w:val="both"/>
        <w:ind w:left="620" w:firstLine="642"/>
        <w:spacing w:after="0" w:line="260" w:lineRule="auto"/>
        <w:rPr>
          <w:sz w:val="20"/>
          <w:szCs w:val="20"/>
          <w:color w:val="auto"/>
        </w:rPr>
      </w:pPr>
      <w:r>
        <w:rPr>
          <w:rFonts w:ascii="Times New Roman" w:cs="Times New Roman" w:eastAsia="Times New Roman" w:hAnsi="Times New Roman"/>
          <w:sz w:val="19"/>
          <w:szCs w:val="19"/>
          <w:color w:val="auto"/>
        </w:rPr>
        <w:t xml:space="preserve">SECTION 1.11 </w:t>
      </w:r>
      <w:r>
        <w:rPr>
          <w:rFonts w:ascii="Times New Roman" w:cs="Times New Roman" w:eastAsia="Times New Roman" w:hAnsi="Times New Roman"/>
          <w:sz w:val="19"/>
          <w:szCs w:val="19"/>
          <w:u w:val="single" w:color="auto"/>
          <w:color w:val="auto"/>
        </w:rPr>
        <w:t>Rates</w:t>
      </w:r>
      <w:r>
        <w:rPr>
          <w:rFonts w:ascii="Times New Roman" w:cs="Times New Roman" w:eastAsia="Times New Roman" w:hAnsi="Times New Roman"/>
          <w:sz w:val="19"/>
          <w:szCs w:val="19"/>
          <w:color w:val="auto"/>
        </w:rPr>
        <w:t xml:space="preserve">. The Administrative Agent does not warrant or accept any responsibility for, and shall not have any liability with respect to, (a) the continuation of, administration of, submission of, calculation of or any other matter related to the Term SOFR Reference Rate, Adjusted Term SOFR </w:t>
      </w:r>
      <w:r>
        <w:rPr>
          <w:rFonts w:ascii="Times New Roman" w:cs="Times New Roman" w:eastAsia="Times New Roman" w:hAnsi="Times New Roman"/>
          <w:sz w:val="19"/>
          <w:szCs w:val="19"/>
          <w:color w:val="FF0000"/>
        </w:rPr>
        <w:t>or</w:t>
      </w:r>
      <w:r>
        <w:rPr>
          <w:rFonts w:ascii="Times New Roman" w:cs="Times New Roman" w:eastAsia="Times New Roman" w:hAnsi="Times New Roman"/>
          <w:sz w:val="19"/>
          <w:szCs w:val="19"/>
          <w:color w:val="0000FF"/>
        </w:rPr>
        <w:t>,</w:t>
      </w:r>
      <w:r>
        <w:rPr>
          <w:rFonts w:ascii="Times New Roman" w:cs="Times New Roman" w:eastAsia="Times New Roman" w:hAnsi="Times New Roman"/>
          <w:sz w:val="19"/>
          <w:szCs w:val="19"/>
          <w:color w:val="auto"/>
        </w:rPr>
        <w:t xml:space="preserve"> Term SOFR, </w:t>
      </w:r>
      <w:r>
        <w:rPr>
          <w:rFonts w:ascii="Times New Roman" w:cs="Times New Roman" w:eastAsia="Times New Roman" w:hAnsi="Times New Roman"/>
          <w:sz w:val="19"/>
          <w:szCs w:val="19"/>
          <w:u w:val="single" w:color="auto"/>
          <w:color w:val="0000FF"/>
        </w:rPr>
        <w:t>the Term CORRA Reference Rate, Adjusted Term CORRA,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Term CORRA</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or any component definition thereof or rates referred to in the definition thereof, or with respect to any alternative,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successor or replacement rate thereto (including any Benchmark Replacement), including whether the composition or characteristics of any such alternative, successor or replacement rate (including any Benchmark Replacement), as it may or may not be adjusted pursuant to </w:t>
      </w:r>
      <w:r>
        <w:rPr>
          <w:rFonts w:ascii="Times New Roman" w:cs="Times New Roman" w:eastAsia="Times New Roman" w:hAnsi="Times New Roman"/>
          <w:sz w:val="19"/>
          <w:szCs w:val="19"/>
          <w:u w:val="single" w:color="auto"/>
          <w:color w:val="000000"/>
        </w:rPr>
        <w:t>Section 5.8(c)</w:t>
      </w:r>
      <w:r>
        <w:rPr>
          <w:rFonts w:ascii="Times New Roman" w:cs="Times New Roman" w:eastAsia="Times New Roman" w:hAnsi="Times New Roman"/>
          <w:sz w:val="19"/>
          <w:szCs w:val="19"/>
          <w:color w:val="000000"/>
        </w:rPr>
        <w:t>, will be similar to, or produce the same value or economic equivalence of, or have the same volume or liquidity as, the Term SOFR Reference Rate, Adjusted Term SOFR, Term SOFR</w:t>
      </w:r>
      <w:r>
        <w:rPr>
          <w:rFonts w:ascii="Times New Roman" w:cs="Times New Roman" w:eastAsia="Times New Roman" w:hAnsi="Times New Roman"/>
          <w:sz w:val="19"/>
          <w:szCs w:val="19"/>
          <w:u w:val="single" w:color="auto"/>
          <w:color w:val="0000FF"/>
        </w:rPr>
        <w:t>, the Term CORRA Reference Rate, Adjusted Term</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u w:val="single" w:color="auto"/>
          <w:color w:val="0000FF"/>
        </w:rPr>
        <w:t>CORRA, Term CORRA</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or any other Benchmark prior to its discontinuance or unavailability, or (b) the effect, implementation or</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composition of any Benchmark Replacement Conforming Changes. The Administrative Agent and its Affiliates or other related entities may engage in transactions that affect the calculation of the Term SOFR Reference Rate, Adjusted Term SOFR, Term SOFR, </w:t>
      </w:r>
      <w:r>
        <w:rPr>
          <w:rFonts w:ascii="Times New Roman" w:cs="Times New Roman" w:eastAsia="Times New Roman" w:hAnsi="Times New Roman"/>
          <w:sz w:val="19"/>
          <w:szCs w:val="19"/>
          <w:u w:val="single" w:color="auto"/>
          <w:color w:val="0000FF"/>
        </w:rPr>
        <w:t>the Term CORRA Reference Rate, Adjusted Term CORRA, Term CORRA,</w:t>
      </w:r>
      <w:r>
        <w:rPr>
          <w:rFonts w:ascii="Times New Roman" w:cs="Times New Roman" w:eastAsia="Times New Roman" w:hAnsi="Times New Roman"/>
          <w:sz w:val="19"/>
          <w:szCs w:val="19"/>
          <w:color w:val="000000"/>
        </w:rPr>
        <w:t xml:space="preserve"> any alternative, successor or replacement rate (including any Benchmark Replacement) or any relevant adjustments thereto and such transactions may be adverse to the Borrowers. The Administrative Agent may select information sources or services in its reasonable discretion to ascertain the Term SOFR Reference Rate, Adjusted Term SOFR or Term SOFR, </w:t>
      </w:r>
      <w:r>
        <w:rPr>
          <w:rFonts w:ascii="Times New Roman" w:cs="Times New Roman" w:eastAsia="Times New Roman" w:hAnsi="Times New Roman"/>
          <w:sz w:val="19"/>
          <w:szCs w:val="19"/>
          <w:u w:val="single" w:color="auto"/>
          <w:color w:val="0000FF"/>
        </w:rPr>
        <w:t>the Term CORRA Reference Rate, Adjusted Term CORRA, Term</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u w:val="single" w:color="auto"/>
          <w:color w:val="0000FF"/>
        </w:rPr>
        <w:t>CORRA</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or any other Benchmark, any component definition thereof or rates referred to in the definition thereof, in each case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pursuant to the terms of this Agreement, and shall have no liability to the Borrowers, any Lender or any other person or entity for damages of any kind, including direct or indirect, special, punitive, incidental or consequential damages, costs, losses or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3008630</wp:posOffset>
            </wp:positionH>
            <wp:positionV relativeFrom="paragraph">
              <wp:posOffset>-2324735</wp:posOffset>
            </wp:positionV>
            <wp:extent cx="14287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97">
                      <a:extLst>
                        <a:ext uri="{28A0092B-C50C-407E-A947-70E740481C1C}"/>
                      </a:extLst>
                    </a:blip>
                    <a:srcRect/>
                    <a:stretch>
                      <a:fillRect/>
                    </a:stretch>
                  </pic:blipFill>
                  <pic:spPr bwMode="auto">
                    <a:xfrm>
                      <a:off x="0" y="0"/>
                      <a:ext cx="142875"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90</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-34290</wp:posOffset>
            </wp:positionV>
            <wp:extent cx="8255" cy="1016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98">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1040"/>
          </w:cols>
          <w:pgMar w:left="380" w:top="1440" w:right="479" w:bottom="1440" w:gutter="0" w:footer="0" w:header="0"/>
        </w:sectPr>
      </w:pPr>
    </w:p>
    <w:bookmarkStart w:id="239" w:name="page240"/>
    <w:bookmarkEnd w:id="239"/>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440" w:val="left"/>
        </w:tabs>
        <w:rPr>
          <w:sz w:val="20"/>
          <w:szCs w:val="20"/>
          <w:color w:val="auto"/>
        </w:rPr>
      </w:pPr>
      <w:r>
        <w:rPr>
          <w:sz w:val="1"/>
          <w:szCs w:val="1"/>
          <w:color w:val="auto"/>
        </w:rPr>
        <w:drawing>
          <wp:inline distT="0" distB="0" distL="0" distR="0">
            <wp:extent cx="8255" cy="101600"/>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99">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91</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ectPr>
          <w:pgSz w:w="11900" w:h="16838" w:orient="portrait"/>
          <w:cols w:equalWidth="0" w:num="1">
            <w:col w:w="10139"/>
          </w:cols>
          <w:pgMar w:left="320" w:top="1440" w:right="1440" w:bottom="1440" w:gutter="0" w:footer="0" w:header="0"/>
        </w:sectPr>
      </w:pPr>
    </w:p>
    <w:bookmarkStart w:id="240" w:name="page241"/>
    <w:bookmarkEnd w:id="240"/>
    <w:p>
      <w:pPr>
        <w:spacing w:after="0" w:line="202" w:lineRule="exact"/>
        <w:rPr>
          <w:sz w:val="20"/>
          <w:szCs w:val="20"/>
          <w:color w:val="auto"/>
        </w:rPr>
      </w:pPr>
    </w:p>
    <w:p>
      <w:pPr>
        <w:ind w:left="620" w:right="160"/>
        <w:spacing w:after="0" w:line="263" w:lineRule="auto"/>
        <w:rPr>
          <w:sz w:val="20"/>
          <w:szCs w:val="20"/>
          <w:color w:val="auto"/>
        </w:rPr>
      </w:pPr>
      <w:r>
        <w:rPr>
          <w:rFonts w:ascii="Times New Roman" w:cs="Times New Roman" w:eastAsia="Times New Roman" w:hAnsi="Times New Roman"/>
          <w:sz w:val="20"/>
          <w:szCs w:val="20"/>
          <w:color w:val="auto"/>
        </w:rPr>
        <w:t>(whether in tort, contract or otherwise and whether at law or in equity), for any error or calculation of any such rate (or component thereof) provided by any such information source or service.</w:t>
      </w:r>
    </w:p>
    <w:p>
      <w:pPr>
        <w:spacing w:after="0" w:line="178" w:lineRule="exact"/>
        <w:rPr>
          <w:sz w:val="20"/>
          <w:szCs w:val="20"/>
          <w:color w:val="auto"/>
        </w:rPr>
      </w:pPr>
    </w:p>
    <w:p>
      <w:pPr>
        <w:jc w:val="both"/>
        <w:ind w:left="620" w:right="20" w:firstLine="642"/>
        <w:spacing w:after="0" w:line="250" w:lineRule="auto"/>
        <w:rPr>
          <w:sz w:val="20"/>
          <w:szCs w:val="20"/>
          <w:color w:val="auto"/>
        </w:rPr>
      </w:pPr>
      <w:r>
        <w:rPr>
          <w:rFonts w:ascii="Times New Roman" w:cs="Times New Roman" w:eastAsia="Times New Roman" w:hAnsi="Times New Roman"/>
          <w:sz w:val="20"/>
          <w:szCs w:val="20"/>
          <w:color w:val="auto"/>
        </w:rPr>
        <w:t xml:space="preserve">SECTION 1.12 </w:t>
      </w:r>
      <w:r>
        <w:rPr>
          <w:rFonts w:ascii="Times New Roman" w:cs="Times New Roman" w:eastAsia="Times New Roman" w:hAnsi="Times New Roman"/>
          <w:sz w:val="20"/>
          <w:szCs w:val="20"/>
          <w:u w:val="single" w:color="auto"/>
          <w:color w:val="auto"/>
        </w:rPr>
        <w:t>Limited Condition Acquisitions</w:t>
      </w:r>
      <w:r>
        <w:rPr>
          <w:rFonts w:ascii="Times New Roman" w:cs="Times New Roman" w:eastAsia="Times New Roman" w:hAnsi="Times New Roman"/>
          <w:sz w:val="20"/>
          <w:szCs w:val="20"/>
          <w:color w:val="auto"/>
        </w:rPr>
        <w:t xml:space="preserve">. In the event that Centuri notifies the Administrative Agent in writing that any proposed Acquisition is a Limited Condition Acquisition and that Centuri wishes to test the conditions to such Acquisition and any Incremental Term Loan or Incremental Equivalent Indebtedness that is to be used to finance such Acquisition in accordance with this </w:t>
      </w: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 then, so long as agreed to by the Administrative Agent and the lenders providing such Incremental Term Loan or such Incremental Equivalent Indebtedness, the following provisions shall apply:</w:t>
      </w:r>
    </w:p>
    <w:p>
      <w:pPr>
        <w:spacing w:after="0" w:line="180" w:lineRule="exact"/>
        <w:rPr>
          <w:sz w:val="20"/>
          <w:szCs w:val="20"/>
          <w:color w:val="auto"/>
        </w:rPr>
      </w:pPr>
    </w:p>
    <w:p>
      <w:pPr>
        <w:jc w:val="both"/>
        <w:ind w:left="620" w:firstLine="646"/>
        <w:spacing w:after="0" w:line="264" w:lineRule="auto"/>
        <w:tabs>
          <w:tab w:leader="none" w:pos="1867" w:val="left"/>
        </w:tabs>
        <w:numPr>
          <w:ilvl w:val="1"/>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condition to such Limited Condition Acquisition, such Incremental Term Loan or such Incremental Equivalent Indebtedness that requires that no Default or Event of Default shall have occurred and be continuing at the time of such Limited Condition Acquisition or the incurrence of such Incremental Term Loan or Incremental Equivalent Indebtedness, shall be satisfied if</w:t>
      </w:r>
    </w:p>
    <w:p>
      <w:pPr>
        <w:spacing w:after="0" w:line="1" w:lineRule="exact"/>
        <w:rPr>
          <w:rFonts w:ascii="Times New Roman" w:cs="Times New Roman" w:eastAsia="Times New Roman" w:hAnsi="Times New Roman"/>
          <w:sz w:val="19"/>
          <w:szCs w:val="19"/>
          <w:color w:val="auto"/>
        </w:rPr>
      </w:pPr>
    </w:p>
    <w:p>
      <w:pPr>
        <w:jc w:val="both"/>
        <w:ind w:left="620" w:firstLine="4"/>
        <w:spacing w:after="0" w:line="247" w:lineRule="auto"/>
        <w:tabs>
          <w:tab w:leader="none" w:pos="877"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shall have occurred and be continuing at the time of the execution of the definitive purchase agreement, merger agreement or other acquisition agreement governing such Limited Condition Acquisition (the “</w:t>
      </w:r>
      <w:r>
        <w:rPr>
          <w:rFonts w:ascii="Times New Roman" w:cs="Times New Roman" w:eastAsia="Times New Roman" w:hAnsi="Times New Roman"/>
          <w:sz w:val="20"/>
          <w:szCs w:val="20"/>
          <w:u w:val="single" w:color="auto"/>
          <w:color w:val="auto"/>
        </w:rPr>
        <w:t>LCA Test Date</w:t>
      </w:r>
      <w:r>
        <w:rPr>
          <w:rFonts w:ascii="Times New Roman" w:cs="Times New Roman" w:eastAsia="Times New Roman" w:hAnsi="Times New Roman"/>
          <w:sz w:val="20"/>
          <w:szCs w:val="20"/>
          <w:color w:val="auto"/>
        </w:rPr>
        <w:t xml:space="preserve">”) and (ii) no Event of Default under any of </w:t>
      </w:r>
      <w:r>
        <w:rPr>
          <w:rFonts w:ascii="Times New Roman" w:cs="Times New Roman" w:eastAsia="Times New Roman" w:hAnsi="Times New Roman"/>
          <w:sz w:val="20"/>
          <w:szCs w:val="20"/>
          <w:u w:val="single" w:color="auto"/>
          <w:color w:val="auto"/>
        </w:rPr>
        <w:t>Section 10.1(a)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10.1(b)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10.1(i)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10.1(j)</w:t>
      </w:r>
      <w:r>
        <w:rPr>
          <w:rFonts w:ascii="Times New Roman" w:cs="Times New Roman" w:eastAsia="Times New Roman" w:hAnsi="Times New Roman"/>
          <w:sz w:val="20"/>
          <w:szCs w:val="20"/>
          <w:color w:val="auto"/>
        </w:rPr>
        <w:t xml:space="preserve"> shall have occurred and be continuing both immediately before and immediately after giving effect to such Limited Condition Acquisition and any Indebtedness incurred in connection therewith (including any such additional Incremental Term Loan or Incremental Equivalent Indebtedness);</w:t>
      </w:r>
    </w:p>
    <w:p>
      <w:pPr>
        <w:spacing w:after="0" w:line="180" w:lineRule="exact"/>
        <w:rPr>
          <w:rFonts w:ascii="Times New Roman" w:cs="Times New Roman" w:eastAsia="Times New Roman" w:hAnsi="Times New Roman"/>
          <w:sz w:val="20"/>
          <w:szCs w:val="20"/>
          <w:color w:val="auto"/>
        </w:rPr>
      </w:pPr>
    </w:p>
    <w:p>
      <w:pPr>
        <w:jc w:val="both"/>
        <w:ind w:left="620" w:firstLine="646"/>
        <w:spacing w:after="0" w:line="261" w:lineRule="auto"/>
        <w:tabs>
          <w:tab w:leader="none" w:pos="1865" w:val="left"/>
        </w:tabs>
        <w:numPr>
          <w:ilvl w:val="1"/>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condition to such Limited Condition Acquisition, such Incremental Term Loan or such Incremental Equivalent Indebtedness that the representations and warranties in this Agreement and the other Loan Documents shall be true and correct at the time of consummation of such Limited Condition Acquisition or the incurrence of such Incremental Term Loan or Incremental Equivalent Indebtedness shall be deemed satisfied if (i) all representations and warranties in this Agreement and the other Loan Documents are true and correct in all material respects (except for any representation and warranty that is qualified by materiality or reference to Material Adverse Effect, which such representation and warranty shall be true and correct in all respects) as of the LCA Test Date, or if such representation speaks as of an earlier date, as of such earlier date and (ii) as of the date of consummation of such Limited Condition Acquisition, (A) the representations and warranties under the relevant definitive agreement governing such Limited Condition Acquisition as are material to the lenders providing such Incremental Term Loan or Incremental Equivalent Indebtedness shall be true and correct, but only to the extent that Centuri or its applicable Subsidiary has the right to terminate its obligations under such agreement or otherwise decline to close such Limited Condition Acquisition as a result of a breach of such representations and warranties or the failure of those representations and warranties to be true and correct and (B) certain of the representations and warranties in this Agreement and the other Loan Documents which are customary for similar “funds certain” financings and required by the lenders providing such Incremental Term Loan or Incremental Equivalent Indebtedness shall be true and correct in all material respects (except for any representation and warranty that is qualified by materiality or reference to Material Adverse Effect, which such representation and warranty shall be true and correct in all respects);</w:t>
      </w:r>
    </w:p>
    <w:p>
      <w:pPr>
        <w:spacing w:after="0" w:line="157" w:lineRule="exact"/>
        <w:rPr>
          <w:rFonts w:ascii="Times New Roman" w:cs="Times New Roman" w:eastAsia="Times New Roman" w:hAnsi="Times New Roman"/>
          <w:sz w:val="19"/>
          <w:szCs w:val="19"/>
          <w:color w:val="auto"/>
        </w:rPr>
      </w:pPr>
    </w:p>
    <w:p>
      <w:pPr>
        <w:jc w:val="both"/>
        <w:ind w:left="620" w:right="20" w:firstLine="646"/>
        <w:spacing w:after="0" w:line="255" w:lineRule="auto"/>
        <w:tabs>
          <w:tab w:leader="none" w:pos="1867" w:val="left"/>
        </w:tabs>
        <w:numPr>
          <w:ilvl w:val="1"/>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financial ratio test or condition to be tested in connection with such Limited Condition Acquisition and the availability of such Incremental Term Loan or Incremental Equivalent Indebtedness will be tested as of the LCA Test Date, in each case, after giving effect to the relevant Limited Condition Acquisition and related incurrence of Incremental Term Loan or Incremental</w:t>
      </w:r>
    </w:p>
    <w:p>
      <w:pPr>
        <w:spacing w:after="0" w:line="200" w:lineRule="exact"/>
        <w:rPr>
          <w:sz w:val="20"/>
          <w:szCs w:val="20"/>
          <w:color w:val="auto"/>
        </w:rPr>
      </w:pPr>
    </w:p>
    <w:p>
      <w:pPr>
        <w:spacing w:after="0" w:line="39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92</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-42545</wp:posOffset>
            </wp:positionV>
            <wp:extent cx="8255" cy="1016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400">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1020"/>
          </w:cols>
          <w:pgMar w:left="380" w:top="1440" w:right="499" w:bottom="1440" w:gutter="0" w:footer="0" w:header="0"/>
        </w:sectPr>
      </w:pPr>
    </w:p>
    <w:bookmarkStart w:id="241" w:name="page242"/>
    <w:bookmarkEnd w:id="241"/>
    <w:p>
      <w:pPr>
        <w:spacing w:after="0" w:line="82" w:lineRule="exact"/>
        <w:rPr>
          <w:sz w:val="20"/>
          <w:szCs w:val="20"/>
          <w:color w:val="auto"/>
        </w:rPr>
      </w:pPr>
    </w:p>
    <w:p>
      <w:pPr>
        <w:ind w:left="620"/>
        <w:spacing w:after="0" w:line="263" w:lineRule="auto"/>
        <w:rPr>
          <w:sz w:val="20"/>
          <w:szCs w:val="20"/>
          <w:color w:val="auto"/>
        </w:rPr>
      </w:pPr>
      <w:r>
        <w:rPr>
          <w:rFonts w:ascii="Times New Roman" w:cs="Times New Roman" w:eastAsia="Times New Roman" w:hAnsi="Times New Roman"/>
          <w:sz w:val="20"/>
          <w:szCs w:val="20"/>
          <w:color w:val="auto"/>
        </w:rPr>
        <w:t>Equivalent Indebtedness, on a Pro Forma Basis where applicable, and, for the avoidance of doubt, (i) such ratios and baskets shall not be tested at the time of consummation of such Limited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93</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-43180</wp:posOffset>
            </wp:positionV>
            <wp:extent cx="8255" cy="1016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401">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1000"/>
          </w:cols>
          <w:pgMar w:left="380" w:top="1440" w:right="519" w:bottom="1440" w:gutter="0" w:footer="0" w:header="0"/>
        </w:sectPr>
      </w:pPr>
    </w:p>
    <w:bookmarkStart w:id="242" w:name="page243"/>
    <w:bookmarkEnd w:id="242"/>
    <w:p>
      <w:pPr>
        <w:spacing w:after="0" w:line="202" w:lineRule="exact"/>
        <w:rPr>
          <w:sz w:val="20"/>
          <w:szCs w:val="20"/>
          <w:color w:val="auto"/>
        </w:rPr>
      </w:pPr>
    </w:p>
    <w:p>
      <w:pPr>
        <w:jc w:val="both"/>
        <w:ind w:left="680" w:right="40"/>
        <w:spacing w:after="0" w:line="250" w:lineRule="auto"/>
        <w:rPr>
          <w:sz w:val="20"/>
          <w:szCs w:val="20"/>
          <w:color w:val="auto"/>
        </w:rPr>
      </w:pPr>
      <w:r>
        <w:rPr>
          <w:rFonts w:ascii="Times New Roman" w:cs="Times New Roman" w:eastAsia="Times New Roman" w:hAnsi="Times New Roman"/>
          <w:sz w:val="20"/>
          <w:szCs w:val="20"/>
          <w:color w:val="auto"/>
        </w:rPr>
        <w:t>Acquisition and (ii) if any of such ratios are exceeded or conditions are not met following the LCA Test Date, but prior to the closing of such Limited Condition Acquisition, as a result of fluctuations in such ratio or amount (including due to fluctuations in Consolidated EBITDA of Centuri or the Person subject to such Limited Condition Acquisition), at or prior to the consummation of the relevant transaction or action, such ratios will not be deemed to have been exceeded and such conditions will not be deemed unmet as a result of such fluctuations solely for purposes of determining whether the relevant transaction or action is permitted to be consummated or taken;</w:t>
      </w:r>
    </w:p>
    <w:p>
      <w:pPr>
        <w:spacing w:after="0" w:line="181" w:lineRule="exact"/>
        <w:rPr>
          <w:sz w:val="20"/>
          <w:szCs w:val="20"/>
          <w:color w:val="auto"/>
        </w:rPr>
      </w:pPr>
    </w:p>
    <w:p>
      <w:pPr>
        <w:jc w:val="both"/>
        <w:ind w:left="680" w:firstLine="646"/>
        <w:spacing w:after="0" w:line="246" w:lineRule="auto"/>
        <w:tabs>
          <w:tab w:leader="none" w:pos="1925"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provided in the next sentence, in connection with any subsequent calculation of any ratio or basket on or following the relevant LCA Test Date and prior to the earlier of the date on which such Limited Condition Acquisition is consummated and the date that the definitive agreement for such Limited Condition Acquisition is terminated or expires without consummation of such Limited Condition Acquisition, any such ratio or basket shall be calculated on a Pro Forma Basis assuming such Limited Condition Acquisition and other transactions in connection therewith (including the incurrence or assumption of the applicable Incremental Term Loan, Incremental Equivalent Indebtedness or any other applicable Indebtedness) have been consummated;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calculation of any such ratio or basket under </w:t>
      </w:r>
      <w:r>
        <w:rPr>
          <w:rFonts w:ascii="Times New Roman" w:cs="Times New Roman" w:eastAsia="Times New Roman" w:hAnsi="Times New Roman"/>
          <w:sz w:val="20"/>
          <w:szCs w:val="20"/>
          <w:u w:val="single" w:color="auto"/>
          <w:color w:val="auto"/>
        </w:rPr>
        <w:t>Section 9.6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9.9</w:t>
      </w:r>
      <w:r>
        <w:rPr>
          <w:rFonts w:ascii="Times New Roman" w:cs="Times New Roman" w:eastAsia="Times New Roman" w:hAnsi="Times New Roman"/>
          <w:sz w:val="20"/>
          <w:szCs w:val="20"/>
          <w:color w:val="auto"/>
        </w:rPr>
        <w:t xml:space="preserve"> shall be calculated (i) on a Pro Forma Basis assuming such Limited Condition Acquisition and other transactions in connection therewith (including the incurrence or assumption of the applicable Incremental Term Loan, Incremental Equivalent Indebtedness or any other applicable Indebtedness) have been consummated and (ii) assuming such Limited Condition Acquisition and other transactions in connection therewith (including the incurrence or assumption of the applicable Incremental Term Loan, Incremental Equivalent Indebtedness or any other applicable Indebtedness) have not been consummated. Notwithstanding the foregoing, any calculation of a ratio in connection with determining the Applicable Margin and determining whether or not the Borrower is in compliance with the financial covenants set forth in </w:t>
      </w:r>
      <w:r>
        <w:rPr>
          <w:rFonts w:ascii="Times New Roman" w:cs="Times New Roman" w:eastAsia="Times New Roman" w:hAnsi="Times New Roman"/>
          <w:sz w:val="20"/>
          <w:szCs w:val="20"/>
          <w:u w:val="single" w:color="auto"/>
          <w:color w:val="auto"/>
        </w:rPr>
        <w:t>Section 9.13</w:t>
      </w:r>
      <w:r>
        <w:rPr>
          <w:rFonts w:ascii="Times New Roman" w:cs="Times New Roman" w:eastAsia="Times New Roman" w:hAnsi="Times New Roman"/>
          <w:sz w:val="20"/>
          <w:szCs w:val="20"/>
          <w:color w:val="auto"/>
        </w:rPr>
        <w:t xml:space="preserve"> shall, in each case be calculated assuming such Limited Condition Acquisition and other transactions in connection therewith (including the incurrence or assumption of the applicable Incremental Term Loan, Incremental Equivalent Indebtedness or any other applicable Indebtedness to be incurred or assumed in connection with such Acquisition) have not been consummated.</w:t>
      </w:r>
    </w:p>
    <w:p>
      <w:pPr>
        <w:spacing w:after="0" w:line="179" w:lineRule="exact"/>
        <w:rPr>
          <w:sz w:val="20"/>
          <w:szCs w:val="20"/>
          <w:color w:val="auto"/>
        </w:rPr>
      </w:pPr>
    </w:p>
    <w:p>
      <w:pPr>
        <w:jc w:val="both"/>
        <w:ind w:left="680" w:right="40" w:firstLine="642"/>
        <w:spacing w:after="0" w:line="277" w:lineRule="auto"/>
        <w:rPr>
          <w:sz w:val="20"/>
          <w:szCs w:val="20"/>
          <w:color w:val="auto"/>
        </w:rPr>
      </w:pPr>
      <w:r>
        <w:rPr>
          <w:rFonts w:ascii="Times New Roman" w:cs="Times New Roman" w:eastAsia="Times New Roman" w:hAnsi="Times New Roman"/>
          <w:sz w:val="20"/>
          <w:szCs w:val="20"/>
          <w:color w:val="auto"/>
        </w:rPr>
        <w:t>The foregoing provisions shall apply with similar effect during the pendency of multiple Limited Condition Acquisitions such that each of the possible scenarios is separately tested.</w:t>
      </w:r>
    </w:p>
    <w:p>
      <w:pPr>
        <w:spacing w:after="0" w:line="151" w:lineRule="exact"/>
        <w:rPr>
          <w:sz w:val="20"/>
          <w:szCs w:val="20"/>
          <w:color w:val="auto"/>
        </w:rPr>
      </w:pPr>
    </w:p>
    <w:p>
      <w:pPr>
        <w:jc w:val="both"/>
        <w:ind w:left="680" w:right="20" w:firstLine="642"/>
        <w:spacing w:after="0" w:line="254" w:lineRule="auto"/>
        <w:rPr>
          <w:sz w:val="20"/>
          <w:szCs w:val="20"/>
          <w:color w:val="auto"/>
        </w:rPr>
      </w:pPr>
      <w:r>
        <w:rPr>
          <w:rFonts w:ascii="Times New Roman" w:cs="Times New Roman" w:eastAsia="Times New Roman" w:hAnsi="Times New Roman"/>
          <w:sz w:val="20"/>
          <w:szCs w:val="20"/>
          <w:color w:val="auto"/>
        </w:rPr>
        <w:t xml:space="preserve">SECTION 1.13 </w:t>
      </w:r>
      <w:r>
        <w:rPr>
          <w:rFonts w:ascii="Times New Roman" w:cs="Times New Roman" w:eastAsia="Times New Roman" w:hAnsi="Times New Roman"/>
          <w:sz w:val="20"/>
          <w:szCs w:val="20"/>
          <w:u w:val="single" w:color="auto"/>
          <w:color w:val="auto"/>
        </w:rPr>
        <w:t>Divisions</w:t>
      </w:r>
      <w:r>
        <w:rPr>
          <w:rFonts w:ascii="Times New Roman" w:cs="Times New Roman" w:eastAsia="Times New Roman" w:hAnsi="Times New Roman"/>
          <w:sz w:val="20"/>
          <w:szCs w:val="20"/>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281" w:lineRule="exact"/>
        <w:rPr>
          <w:sz w:val="20"/>
          <w:szCs w:val="20"/>
          <w:color w:val="auto"/>
        </w:rPr>
      </w:pPr>
    </w:p>
    <w:p>
      <w:pPr>
        <w:jc w:val="center"/>
        <w:ind w:left="1300"/>
        <w:spacing w:after="0"/>
        <w:rPr>
          <w:sz w:val="20"/>
          <w:szCs w:val="20"/>
          <w:color w:val="auto"/>
        </w:rPr>
      </w:pPr>
      <w:r>
        <w:rPr>
          <w:rFonts w:ascii="Times New Roman" w:cs="Times New Roman" w:eastAsia="Times New Roman" w:hAnsi="Times New Roman"/>
          <w:sz w:val="20"/>
          <w:szCs w:val="20"/>
          <w:color w:val="auto"/>
        </w:rPr>
        <w:t>ARTICLE II REVOLVING CREDIT FACILITY</w:t>
      </w:r>
    </w:p>
    <w:p>
      <w:pPr>
        <w:spacing w:after="0" w:line="118" w:lineRule="exact"/>
        <w:rPr>
          <w:sz w:val="20"/>
          <w:szCs w:val="20"/>
          <w:color w:val="auto"/>
        </w:rPr>
      </w:pPr>
    </w:p>
    <w:p>
      <w:pPr>
        <w:jc w:val="both"/>
        <w:ind w:left="680" w:right="20" w:firstLine="642"/>
        <w:spacing w:after="0" w:line="250" w:lineRule="auto"/>
        <w:rPr>
          <w:sz w:val="20"/>
          <w:szCs w:val="20"/>
          <w:color w:val="auto"/>
        </w:rPr>
      </w:pPr>
      <w:r>
        <w:rPr>
          <w:rFonts w:ascii="Times New Roman" w:cs="Times New Roman" w:eastAsia="Times New Roman" w:hAnsi="Times New Roman"/>
          <w:sz w:val="20"/>
          <w:szCs w:val="20"/>
          <w:color w:val="auto"/>
        </w:rPr>
        <w:t xml:space="preserve">SECTION 2.1 </w:t>
      </w:r>
      <w:r>
        <w:rPr>
          <w:rFonts w:ascii="Times New Roman" w:cs="Times New Roman" w:eastAsia="Times New Roman" w:hAnsi="Times New Roman"/>
          <w:sz w:val="20"/>
          <w:szCs w:val="20"/>
          <w:u w:val="single" w:color="auto"/>
          <w:color w:val="auto"/>
        </w:rPr>
        <w:t>Revolving Credit Loans</w:t>
      </w:r>
      <w:r>
        <w:rPr>
          <w:rFonts w:ascii="Times New Roman" w:cs="Times New Roman" w:eastAsia="Times New Roman" w:hAnsi="Times New Roman"/>
          <w:sz w:val="20"/>
          <w:szCs w:val="20"/>
          <w:color w:val="auto"/>
        </w:rPr>
        <w:t>. Subject to the terms and conditions of this Agreement and the other Loan Documents, and in reliance upon the representations and warranties set forth in this Agreement and the other Loan Documents, each Revolving Credit Lender severally agrees to make (a) US Revolving Credit Loans to the US Borrowers and (b) Canadian Revolving Credit Loans to the Canadian Borrowers, in each case, from time to time from the Closing Date through, but not including, the Revolving Credit Maturity Date as requested by a US Borrower or a Canadian Borrower,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440" w:val="left"/>
        </w:tabs>
        <w:rPr>
          <w:sz w:val="20"/>
          <w:szCs w:val="20"/>
          <w:color w:val="auto"/>
        </w:rPr>
      </w:pPr>
      <w:r>
        <w:rPr>
          <w:sz w:val="1"/>
          <w:szCs w:val="1"/>
          <w:color w:val="auto"/>
        </w:rPr>
        <w:drawing>
          <wp:inline distT="0" distB="0" distL="0" distR="0">
            <wp:extent cx="8255" cy="101600"/>
            <wp:effectExtent l="0" t="0" r="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402">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94</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ectPr>
          <w:pgSz w:w="11900" w:h="16838" w:orient="portrait"/>
          <w:cols w:equalWidth="0" w:num="1">
            <w:col w:w="11100"/>
          </w:cols>
          <w:pgMar w:left="320" w:top="1440" w:right="479" w:bottom="1440" w:gutter="0" w:footer="0" w:header="0"/>
        </w:sectPr>
      </w:pPr>
    </w:p>
    <w:bookmarkStart w:id="243" w:name="page244"/>
    <w:bookmarkEnd w:id="243"/>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95</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-42545</wp:posOffset>
            </wp:positionV>
            <wp:extent cx="8255" cy="1016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403">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0079"/>
          </w:cols>
          <w:pgMar w:left="380" w:top="1440" w:right="1440" w:bottom="1440" w:gutter="0" w:footer="0" w:header="0"/>
        </w:sectPr>
      </w:pPr>
    </w:p>
    <w:bookmarkStart w:id="244" w:name="page245"/>
    <w:bookmarkEnd w:id="244"/>
    <w:p>
      <w:pPr>
        <w:spacing w:after="0" w:line="202" w:lineRule="exact"/>
        <w:rPr>
          <w:sz w:val="20"/>
          <w:szCs w:val="20"/>
          <w:color w:val="auto"/>
        </w:rPr>
      </w:pPr>
    </w:p>
    <w:p>
      <w:pPr>
        <w:jc w:val="both"/>
        <w:ind w:left="620" w:right="20"/>
        <w:spacing w:after="0" w:line="248" w:lineRule="auto"/>
        <w:rPr>
          <w:sz w:val="20"/>
          <w:szCs w:val="20"/>
          <w:color w:val="auto"/>
        </w:rPr>
      </w:pPr>
      <w:r>
        <w:rPr>
          <w:rFonts w:ascii="Times New Roman" w:cs="Times New Roman" w:eastAsia="Times New Roman" w:hAnsi="Times New Roman"/>
          <w:sz w:val="20"/>
          <w:szCs w:val="20"/>
          <w:color w:val="auto"/>
        </w:rPr>
        <w:t xml:space="preserve">as applicable, in accordance with the terms of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 on the Closing Date, the aggregate Revolving Credit Outstandings, excluding the aggregate undrawn and unexpired amount of the Existing Letters of Credit, shall not exceed $125,000,000, (ii) after the Closing Date, (A) the Revolving Credit Outstandings shall not exceed the Revolving Credit Commitment and (B) the Revolving Credit Exposure of any Revolving Credit Lender shall not at any time exceed such Revolving Credit Lender’s Revolving Credit Commitment. Each Revolving Credit Loan by a Revolving Credit Lender shall be in a principal amount equal to such Revolving Credit Lender’s Revolving Credit Commitment Percentage of the aggregate principal amount of Revolving Credit Loans requested on such occasion. Subject to the terms and conditions hereof, the Borrowers may borrow, repay and reborrow Revolving Credit Loans hereunder until the Revolving Credit Maturity Date.</w:t>
      </w:r>
    </w:p>
    <w:p>
      <w:pPr>
        <w:spacing w:after="0" w:line="185" w:lineRule="exact"/>
        <w:rPr>
          <w:sz w:val="20"/>
          <w:szCs w:val="20"/>
          <w:color w:val="auto"/>
        </w:rPr>
      </w:pPr>
    </w:p>
    <w:p>
      <w:pPr>
        <w:ind w:left="1260"/>
        <w:spacing w:after="0"/>
        <w:tabs>
          <w:tab w:leader="none" w:pos="2560" w:val="left"/>
        </w:tabs>
        <w:rPr>
          <w:sz w:val="20"/>
          <w:szCs w:val="20"/>
          <w:color w:val="auto"/>
        </w:rPr>
      </w:pPr>
      <w:r>
        <w:rPr>
          <w:rFonts w:ascii="Times New Roman" w:cs="Times New Roman" w:eastAsia="Times New Roman" w:hAnsi="Times New Roman"/>
          <w:sz w:val="20"/>
          <w:szCs w:val="20"/>
          <w:color w:val="auto"/>
        </w:rPr>
        <w:t>SECTION 2.2</w:t>
      </w:r>
      <w:r>
        <w:rPr>
          <w:sz w:val="20"/>
          <w:szCs w:val="20"/>
          <w:color w:val="auto"/>
        </w:rPr>
        <w:tab/>
      </w:r>
      <w:r>
        <w:rPr>
          <w:rFonts w:ascii="Times New Roman" w:cs="Times New Roman" w:eastAsia="Times New Roman" w:hAnsi="Times New Roman"/>
          <w:sz w:val="19"/>
          <w:szCs w:val="19"/>
          <w:u w:val="single" w:color="auto"/>
          <w:color w:val="auto"/>
        </w:rPr>
        <w:t>Swingline Loans</w:t>
      </w:r>
      <w:r>
        <w:rPr>
          <w:rFonts w:ascii="Times New Roman" w:cs="Times New Roman" w:eastAsia="Times New Roman" w:hAnsi="Times New Roman"/>
          <w:sz w:val="19"/>
          <w:szCs w:val="19"/>
          <w:color w:val="auto"/>
        </w:rPr>
        <w:t>.</w:t>
      </w:r>
    </w:p>
    <w:p>
      <w:pPr>
        <w:spacing w:after="0" w:line="211" w:lineRule="exact"/>
        <w:rPr>
          <w:sz w:val="20"/>
          <w:szCs w:val="20"/>
          <w:color w:val="auto"/>
        </w:rPr>
      </w:pPr>
    </w:p>
    <w:p>
      <w:pPr>
        <w:jc w:val="both"/>
        <w:ind w:left="620" w:firstLine="646"/>
        <w:spacing w:after="0" w:line="250" w:lineRule="auto"/>
        <w:tabs>
          <w:tab w:leader="none" w:pos="1867"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Availability</w:t>
      </w:r>
      <w:r>
        <w:rPr>
          <w:rFonts w:ascii="Times New Roman" w:cs="Times New Roman" w:eastAsia="Times New Roman" w:hAnsi="Times New Roman"/>
          <w:sz w:val="20"/>
          <w:szCs w:val="20"/>
          <w:color w:val="auto"/>
        </w:rPr>
        <w:t xml:space="preserve">. Subject to the terms and conditions of this Agreement and the other Loan Documents, and in reliance upon the representations and warranties set forth in this Agreement and the other Loan Documents, (a) the Swingline Lender shall make US Swingline Loans to the US Borrowers and (b) the Swingline Lender shall make Canadian Swingline Loans to the Canadian Borrowers, in each case, from time to time from the Closing Date through, but not including, the Revolving Credit Maturity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 after giving effect to any amount requested, the Revolving Credit Outstandings shall not exceed the Revolving Credit Commitment and (ii) the aggregate principal amount of all outstanding Swingline Loans (after giving effect to any amount requested), shall not exceed the Swingline Commitment.</w:t>
      </w:r>
    </w:p>
    <w:p>
      <w:pPr>
        <w:spacing w:after="0" w:line="182" w:lineRule="exact"/>
        <w:rPr>
          <w:rFonts w:ascii="Times New Roman" w:cs="Times New Roman" w:eastAsia="Times New Roman" w:hAnsi="Times New Roman"/>
          <w:sz w:val="20"/>
          <w:szCs w:val="20"/>
          <w:color w:val="auto"/>
        </w:rPr>
      </w:pPr>
    </w:p>
    <w:p>
      <w:pPr>
        <w:ind w:left="1900" w:hanging="633"/>
        <w:spacing w:after="0"/>
        <w:tabs>
          <w:tab w:leader="none" w:pos="190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Refunding</w:t>
      </w:r>
      <w:r>
        <w:rPr>
          <w:rFonts w:ascii="Times New Roman" w:cs="Times New Roman" w:eastAsia="Times New Roman" w:hAnsi="Times New Roman"/>
          <w:sz w:val="20"/>
          <w:szCs w:val="20"/>
          <w:color w:val="auto"/>
        </w:rPr>
        <w:t>.</w:t>
      </w:r>
    </w:p>
    <w:p>
      <w:pPr>
        <w:spacing w:after="0" w:line="211" w:lineRule="exact"/>
        <w:rPr>
          <w:rFonts w:ascii="Times New Roman" w:cs="Times New Roman" w:eastAsia="Times New Roman" w:hAnsi="Times New Roman"/>
          <w:sz w:val="20"/>
          <w:szCs w:val="20"/>
          <w:color w:val="auto"/>
        </w:rPr>
      </w:pPr>
    </w:p>
    <w:p>
      <w:pPr>
        <w:jc w:val="both"/>
        <w:ind w:left="1260" w:right="20" w:firstLine="648"/>
        <w:spacing w:after="0" w:line="248" w:lineRule="auto"/>
        <w:tabs>
          <w:tab w:leader="none" w:pos="2501"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Swingline Loans shall be refunded by the Revolving Credit Lenders on demand by the applicable Swingline Lender. Such refundings shall be made by the Revolving Credit Lenders in accordance with their respective Revolving Credit Commitment Percentages, in the applicable currency of the underlying Swingline Loan, and shall thereafter be reflected as Revolving Credit Loans of the Revolving Credit Lenders on the books and records of the Administrative Agent. Each Revolving Credit Lender shall fund its respective Revolving Credit Commitment Percentage of such Revolving Credit Loans as required to repay Swingline Loans outstanding to the applicable Swingline Lender upon demand by such Swingline Lender but in no event later than 1:00 p.m. on the next succeeding Business Day after such demand is made. No Revolving Credit Lender’s obligation to fund its respective Revolving Credit Commitment Percentage of a Swingline Loan shall be affected by any other Revolving Credit Lender’s failure to fund its Revolving Credit Commitment Percentage of a Swingline Loan, nor shall any Revolving Credit Lender’s Revolving Credit Commitment Percentage be increased as a result of any such failure of any other Revolving Credit Lender to fund its Revolving Credit Commitment Percentage of a Swingline Loan.</w:t>
      </w:r>
    </w:p>
    <w:p>
      <w:pPr>
        <w:spacing w:after="0" w:line="170" w:lineRule="exact"/>
        <w:rPr>
          <w:rFonts w:ascii="Times New Roman" w:cs="Times New Roman" w:eastAsia="Times New Roman" w:hAnsi="Times New Roman"/>
          <w:sz w:val="20"/>
          <w:szCs w:val="20"/>
          <w:color w:val="auto"/>
        </w:rPr>
      </w:pPr>
    </w:p>
    <w:p>
      <w:pPr>
        <w:jc w:val="both"/>
        <w:ind w:left="1260" w:firstLine="648"/>
        <w:spacing w:after="0" w:line="250" w:lineRule="auto"/>
        <w:tabs>
          <w:tab w:leader="none" w:pos="2502"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applicable Borrower shall pay to the applicable Swingline Lender on demand and, in any event on the Revolving Credit Maturity Date, the amount of such Swingline Loans made to such Borrower to the extent amounts received from the Revolving Credit Lenders are not sufficient to repay in full the outstanding Swingline Loans requested or required to be refunded. If not demanded by such Swingline Lender, each Canadian Swingline Loan shall be repaid by the applicable Canadian Borrower on the date that is five (5) Business Days after such Canadian Swingline Loan is made. In addition, each Borrower hereby authorizes the Administrative Agent to charge any account maintained by such Borrower with the applicable Swingline Lender (up to</w:t>
      </w:r>
    </w:p>
    <w:p>
      <w:pPr>
        <w:spacing w:after="0" w:line="200" w:lineRule="exact"/>
        <w:rPr>
          <w:sz w:val="20"/>
          <w:szCs w:val="20"/>
          <w:color w:val="auto"/>
        </w:rPr>
      </w:pPr>
    </w:p>
    <w:p>
      <w:pPr>
        <w:spacing w:after="0" w:line="39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96</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-34290</wp:posOffset>
            </wp:positionV>
            <wp:extent cx="8255" cy="1016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404">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1020"/>
          </w:cols>
          <w:pgMar w:left="380" w:top="1440" w:right="499" w:bottom="1440" w:gutter="0" w:footer="0" w:header="0"/>
        </w:sectPr>
      </w:pPr>
    </w:p>
    <w:bookmarkStart w:id="245" w:name="page246"/>
    <w:bookmarkEnd w:id="245"/>
    <w:p>
      <w:pPr>
        <w:spacing w:after="0" w:line="82" w:lineRule="exact"/>
        <w:rPr>
          <w:sz w:val="20"/>
          <w:szCs w:val="20"/>
          <w:color w:val="auto"/>
        </w:rPr>
      </w:pPr>
    </w:p>
    <w:p>
      <w:pPr>
        <w:ind w:left="1260"/>
        <w:spacing w:after="0" w:line="277" w:lineRule="auto"/>
        <w:rPr>
          <w:sz w:val="20"/>
          <w:szCs w:val="20"/>
          <w:color w:val="auto"/>
        </w:rPr>
      </w:pPr>
      <w:r>
        <w:rPr>
          <w:rFonts w:ascii="Times New Roman" w:cs="Times New Roman" w:eastAsia="Times New Roman" w:hAnsi="Times New Roman"/>
          <w:sz w:val="20"/>
          <w:szCs w:val="20"/>
          <w:color w:val="auto"/>
        </w:rPr>
        <w:t>the amount available therein) in order to immediately pay the applicable Swingline Lender the amount of such Swingline Loans made to such Borrower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97</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-34290</wp:posOffset>
            </wp:positionV>
            <wp:extent cx="8255" cy="1016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405">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1020"/>
          </w:cols>
          <w:pgMar w:left="380" w:top="1440" w:right="499" w:bottom="1440" w:gutter="0" w:footer="0" w:header="0"/>
        </w:sectPr>
      </w:pPr>
    </w:p>
    <w:bookmarkStart w:id="246" w:name="page247"/>
    <w:bookmarkEnd w:id="246"/>
    <w:p>
      <w:pPr>
        <w:spacing w:after="0" w:line="202" w:lineRule="exact"/>
        <w:rPr>
          <w:sz w:val="20"/>
          <w:szCs w:val="20"/>
          <w:color w:val="auto"/>
        </w:rPr>
      </w:pPr>
    </w:p>
    <w:p>
      <w:pPr>
        <w:jc w:val="both"/>
        <w:ind w:left="1260" w:right="40"/>
        <w:spacing w:after="0" w:line="248" w:lineRule="auto"/>
        <w:rPr>
          <w:sz w:val="20"/>
          <w:szCs w:val="20"/>
          <w:color w:val="auto"/>
        </w:rPr>
      </w:pPr>
      <w:r>
        <w:rPr>
          <w:rFonts w:ascii="Times New Roman" w:cs="Times New Roman" w:eastAsia="Times New Roman" w:hAnsi="Times New Roman"/>
          <w:sz w:val="20"/>
          <w:szCs w:val="20"/>
          <w:color w:val="auto"/>
        </w:rPr>
        <w:t xml:space="preserve">amounts received from the Revolving Credit Lenders are not sufficient to repay in full the outstanding Swingline Loans requested or required to be refunded. If any portion of any such amount paid to the applicable Swingline Lender shall be recovered by or on behalf of any Borrower from the applicable Swingline Lender in bankruptcy or otherwise, the loss of the amount so recovered shall be ratably shared among all the Revolving Credit Lenders in accordance with their respective Revolving Credit Commitment Percentages (unless the amounts so recovered by or on behalf of such Borrower pertain to a Swingline Loan extended after the occurrence and during the continuance of an Event of Default of which the Administrative Agent has received notice in the manner required pursuant to </w:t>
      </w:r>
      <w:r>
        <w:rPr>
          <w:rFonts w:ascii="Times New Roman" w:cs="Times New Roman" w:eastAsia="Times New Roman" w:hAnsi="Times New Roman"/>
          <w:sz w:val="20"/>
          <w:szCs w:val="20"/>
          <w:u w:val="single" w:color="auto"/>
          <w:color w:val="auto"/>
        </w:rPr>
        <w:t>Section 11.3</w:t>
      </w:r>
      <w:r>
        <w:rPr>
          <w:rFonts w:ascii="Times New Roman" w:cs="Times New Roman" w:eastAsia="Times New Roman" w:hAnsi="Times New Roman"/>
          <w:sz w:val="20"/>
          <w:szCs w:val="20"/>
          <w:color w:val="auto"/>
        </w:rPr>
        <w:t xml:space="preserve"> and which such Event of Default has not been waived by the Required Lenders or the Lenders, as applicable).</w:t>
      </w:r>
    </w:p>
    <w:p>
      <w:pPr>
        <w:spacing w:after="0" w:line="185" w:lineRule="exact"/>
        <w:rPr>
          <w:sz w:val="20"/>
          <w:szCs w:val="20"/>
          <w:color w:val="auto"/>
        </w:rPr>
      </w:pPr>
    </w:p>
    <w:p>
      <w:pPr>
        <w:jc w:val="both"/>
        <w:ind w:left="1260" w:firstLine="648"/>
        <w:spacing w:after="0" w:line="260" w:lineRule="auto"/>
        <w:tabs>
          <w:tab w:leader="none" w:pos="2503" w:val="left"/>
        </w:tabs>
        <w:numPr>
          <w:ilvl w:val="1"/>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Revolving Credit Lender acknowledges and agrees that its obligation to refund Swingline Loans in accordance with the terms of this Section is absolute and unconditional and shall not be affected by any circumstance whatsoever, including, without limitation, non-satisfaction of the conditions set forth in </w:t>
      </w:r>
      <w:r>
        <w:rPr>
          <w:rFonts w:ascii="Times New Roman" w:cs="Times New Roman" w:eastAsia="Times New Roman" w:hAnsi="Times New Roman"/>
          <w:sz w:val="19"/>
          <w:szCs w:val="19"/>
          <w:u w:val="single" w:color="auto"/>
          <w:color w:val="auto"/>
        </w:rPr>
        <w:t>Article VI</w:t>
      </w:r>
      <w:r>
        <w:rPr>
          <w:rFonts w:ascii="Times New Roman" w:cs="Times New Roman" w:eastAsia="Times New Roman" w:hAnsi="Times New Roman"/>
          <w:sz w:val="19"/>
          <w:szCs w:val="19"/>
          <w:color w:val="auto"/>
        </w:rPr>
        <w:t xml:space="preserve">. Further, each Revolving Credit Lender agrees and acknowledges that if prior to the refunding of any outstanding Swingline Loans pursuant to this Section, one of the events described in </w:t>
      </w:r>
      <w:r>
        <w:rPr>
          <w:rFonts w:ascii="Times New Roman" w:cs="Times New Roman" w:eastAsia="Times New Roman" w:hAnsi="Times New Roman"/>
          <w:sz w:val="19"/>
          <w:szCs w:val="19"/>
          <w:u w:val="single" w:color="auto"/>
          <w:color w:val="auto"/>
        </w:rPr>
        <w:t>Section 10.1(i)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(j)</w:t>
      </w:r>
      <w:r>
        <w:rPr>
          <w:rFonts w:ascii="Times New Roman" w:cs="Times New Roman" w:eastAsia="Times New Roman" w:hAnsi="Times New Roman"/>
          <w:sz w:val="19"/>
          <w:szCs w:val="19"/>
          <w:color w:val="auto"/>
        </w:rPr>
        <w:t xml:space="preserve"> shall have occurred, each Revolving Credit Lender will, on the date the applicable Revolving Credit Loan would have been made, purchase an undivided participating interest in the Swingline Loan to be refunded in an amount equal to its Revolving Credit Commitment Percentage of the aggregate amount of such Swingline Loan. Each Revolving Credit Lender will immediately transfer to the applicable Swingline Lender, in immediately available funds, the amount of its participation and upon receipt thereof such Swingline Lender will deliver to such Revolving Credit Lender a certificate evidencing such participation dated the date of receipt of such funds and for such amount. Whenever, at any time after the applicable Swingline Lender has received from any Revolving Credit Lender such Revolving Credit Lender’s participating interest in a Swingline Loan, the applicable Swingline Lender receives any payment on account thereof, the applicable Swingline Lender will distribute to such Revolving Credit Lender its participating interest in such amount (appropriately adjusted, in the case of interest payments, to reflect the period of time during which such Revolving Credit Lender’s participating interest was outstanding and funded).</w:t>
      </w:r>
    </w:p>
    <w:p>
      <w:pPr>
        <w:spacing w:after="0" w:line="167" w:lineRule="exact"/>
        <w:rPr>
          <w:rFonts w:ascii="Times New Roman" w:cs="Times New Roman" w:eastAsia="Times New Roman" w:hAnsi="Times New Roman"/>
          <w:sz w:val="19"/>
          <w:szCs w:val="19"/>
          <w:color w:val="auto"/>
        </w:rPr>
      </w:pPr>
    </w:p>
    <w:p>
      <w:pPr>
        <w:ind w:left="620" w:right="20" w:firstLine="646"/>
        <w:spacing w:after="0" w:line="277" w:lineRule="auto"/>
        <w:tabs>
          <w:tab w:leader="none" w:pos="1867"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Lenders</w:t>
      </w:r>
      <w:r>
        <w:rPr>
          <w:rFonts w:ascii="Times New Roman" w:cs="Times New Roman" w:eastAsia="Times New Roman" w:hAnsi="Times New Roman"/>
          <w:sz w:val="20"/>
          <w:szCs w:val="20"/>
          <w:color w:val="auto"/>
        </w:rPr>
        <w:t xml:space="preserve">. Notwithstanding anything to the contrary contained in this Agreement, this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shall be subject to the terms and conditions of </w:t>
      </w:r>
      <w:r>
        <w:rPr>
          <w:rFonts w:ascii="Times New Roman" w:cs="Times New Roman" w:eastAsia="Times New Roman" w:hAnsi="Times New Roman"/>
          <w:sz w:val="20"/>
          <w:szCs w:val="20"/>
          <w:u w:val="single" w:color="auto"/>
          <w:color w:val="auto"/>
        </w:rPr>
        <w:t>Section 5.14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5.15</w:t>
      </w:r>
      <w:r>
        <w:rPr>
          <w:rFonts w:ascii="Times New Roman" w:cs="Times New Roman" w:eastAsia="Times New Roman" w:hAnsi="Times New Roman"/>
          <w:sz w:val="20"/>
          <w:szCs w:val="20"/>
          <w:color w:val="auto"/>
        </w:rPr>
        <w:t>.</w:t>
      </w:r>
    </w:p>
    <w:p>
      <w:pPr>
        <w:spacing w:after="0" w:line="151" w:lineRule="exact"/>
        <w:rPr>
          <w:rFonts w:ascii="Times New Roman" w:cs="Times New Roman" w:eastAsia="Times New Roman" w:hAnsi="Times New Roman"/>
          <w:sz w:val="20"/>
          <w:szCs w:val="20"/>
          <w:color w:val="auto"/>
        </w:rPr>
      </w:pPr>
    </w:p>
    <w:p>
      <w:pPr>
        <w:jc w:val="both"/>
        <w:ind w:left="620" w:right="40" w:firstLine="646"/>
        <w:spacing w:after="0" w:line="250" w:lineRule="auto"/>
        <w:tabs>
          <w:tab w:leader="none" w:pos="1865"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Resignation of Swingline Lender</w:t>
      </w:r>
      <w:r>
        <w:rPr>
          <w:rFonts w:ascii="Times New Roman" w:cs="Times New Roman" w:eastAsia="Times New Roman" w:hAnsi="Times New Roman"/>
          <w:sz w:val="20"/>
          <w:szCs w:val="20"/>
          <w:color w:val="auto"/>
        </w:rPr>
        <w:t>. In connection with (i) any Refinancing Revolving Credit Commitments or (ii) any Extension of Revolving Credit Commitments, that has not been consented to by the applicable Swingline Lender, such Swingline Lender may, in connection with such Refinancing Revolving Credit Commitments or Extension resign as a Swingline Lender hereunder upon not less than five (5) Business Days’ prior notice to Centuri and the Administrative Agent (or such shorter period of time as may be acceptable to Centuri and the Administrative Agent). Following such notice of resignation, such Swingline Lender shall have no further obligations to make Swingline Loans pursuant to this Agreement.</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 xml:space="preserve">SECTION 2.3 </w:t>
      </w:r>
      <w:r>
        <w:rPr>
          <w:rFonts w:ascii="Times New Roman" w:cs="Times New Roman" w:eastAsia="Times New Roman" w:hAnsi="Times New Roman"/>
          <w:sz w:val="20"/>
          <w:szCs w:val="20"/>
          <w:u w:val="single" w:color="auto"/>
          <w:color w:val="auto"/>
        </w:rPr>
        <w:t>Procedure for Advances of Revolving Credit Loans and Swingline Loans</w:t>
      </w:r>
      <w:r>
        <w:rPr>
          <w:rFonts w:ascii="Times New Roman" w:cs="Times New Roman" w:eastAsia="Times New Roman" w:hAnsi="Times New Roman"/>
          <w:sz w:val="20"/>
          <w:szCs w:val="20"/>
          <w:color w:val="auto"/>
        </w:rPr>
        <w:t>.</w:t>
      </w:r>
    </w:p>
    <w:p>
      <w:pPr>
        <w:spacing w:after="0" w:line="225" w:lineRule="exact"/>
        <w:rPr>
          <w:sz w:val="20"/>
          <w:szCs w:val="20"/>
          <w:color w:val="auto"/>
        </w:rPr>
      </w:pPr>
    </w:p>
    <w:p>
      <w:pPr>
        <w:jc w:val="both"/>
        <w:ind w:left="620" w:right="20" w:firstLine="646"/>
        <w:spacing w:after="0" w:line="257" w:lineRule="auto"/>
        <w:tabs>
          <w:tab w:leader="none" w:pos="1867"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Requests for Borrowing</w:t>
      </w:r>
      <w:r>
        <w:rPr>
          <w:rFonts w:ascii="Times New Roman" w:cs="Times New Roman" w:eastAsia="Times New Roman" w:hAnsi="Times New Roman"/>
          <w:sz w:val="20"/>
          <w:szCs w:val="20"/>
          <w:color w:val="auto"/>
        </w:rPr>
        <w:t xml:space="preserve">. The applicable Borrower shall give the Administrative Agent irrevocable prior written notice substantially in the form of </w:t>
      </w:r>
      <w:r>
        <w:rPr>
          <w:rFonts w:ascii="Times New Roman" w:cs="Times New Roman" w:eastAsia="Times New Roman" w:hAnsi="Times New Roman"/>
          <w:sz w:val="20"/>
          <w:szCs w:val="20"/>
          <w:b w:val="1"/>
          <w:bCs w:val="1"/>
          <w:i w:val="1"/>
          <w:iCs w:val="1"/>
          <w:color w:val="auto"/>
        </w:rPr>
        <w:t>Exhibit B</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u w:val="single" w:color="auto"/>
          <w:color w:val="auto"/>
        </w:rPr>
        <w:t>Notice of Borrowing</w:t>
      </w:r>
      <w:r>
        <w:rPr>
          <w:rFonts w:ascii="Times New Roman" w:cs="Times New Roman" w:eastAsia="Times New Roman" w:hAnsi="Times New Roman"/>
          <w:sz w:val="20"/>
          <w:szCs w:val="20"/>
          <w:color w:val="auto"/>
        </w:rPr>
        <w:t>”) not later than 11:00 a.m. (i) on the same Business Day as each Base Rate Loan, each US Swingline Loan and each</w:t>
      </w:r>
    </w:p>
    <w:p>
      <w:pPr>
        <w:spacing w:after="0" w:line="200" w:lineRule="exact"/>
        <w:rPr>
          <w:sz w:val="20"/>
          <w:szCs w:val="20"/>
          <w:color w:val="auto"/>
        </w:rPr>
      </w:pPr>
    </w:p>
    <w:p>
      <w:pPr>
        <w:spacing w:after="0" w:line="39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98</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-42545</wp:posOffset>
            </wp:positionV>
            <wp:extent cx="8255" cy="1016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406">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1060"/>
          </w:cols>
          <w:pgMar w:left="380" w:top="1440" w:right="459" w:bottom="1440" w:gutter="0" w:footer="0" w:header="0"/>
        </w:sectPr>
      </w:pPr>
    </w:p>
    <w:bookmarkStart w:id="247" w:name="page248"/>
    <w:bookmarkEnd w:id="247"/>
    <w:p>
      <w:pPr>
        <w:spacing w:after="0" w:line="95" w:lineRule="exact"/>
        <w:rPr>
          <w:sz w:val="20"/>
          <w:szCs w:val="20"/>
          <w:color w:val="auto"/>
        </w:rPr>
      </w:pPr>
    </w:p>
    <w:p>
      <w:pPr>
        <w:ind w:left="620"/>
        <w:spacing w:after="0" w:line="277" w:lineRule="auto"/>
        <w:rPr>
          <w:sz w:val="20"/>
          <w:szCs w:val="20"/>
          <w:color w:val="auto"/>
        </w:rPr>
      </w:pPr>
      <w:r>
        <w:rPr>
          <w:rFonts w:ascii="Times New Roman" w:cs="Times New Roman" w:eastAsia="Times New Roman" w:hAnsi="Times New Roman"/>
          <w:sz w:val="20"/>
          <w:szCs w:val="20"/>
          <w:color w:val="auto"/>
        </w:rPr>
        <w:t>Canadian Swingline Loan, (ii) at least one (1) Business Day before each Canadian Base Rate Loan (other than Canadian Swingline Loans), (iii) at least three (3) US Government Securities Business Days before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99</w:t>
      </w:r>
      <w:r>
        <w:rPr>
          <w:sz w:val="20"/>
          <w:szCs w:val="20"/>
          <w:color w:val="auto"/>
        </w:rPr>
        <w:tab/>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strike w:val="1"/>
        </w:rPr>
        <w:t>187749669_2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-34290</wp:posOffset>
            </wp:positionV>
            <wp:extent cx="8255" cy="1016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407">
                      <a:extLst>
                        <a:ext uri="{28A0092B-C50C-407E-A947-70E740481C1C}"/>
                      </a:extLst>
                    </a:blip>
                    <a:srcRect/>
                    <a:stretch>
                      <a:fillRect/>
                    </a:stretch>
                  </pic:blipFill>
                  <pic:spPr bwMode="auto">
                    <a:xfrm>
                      <a:off x="0" y="0"/>
                      <a:ext cx="8255" cy="101600"/>
                    </a:xfrm>
                    <a:prstGeom prst="rect">
                      <a:avLst/>
                    </a:prstGeom>
                    <a:noFill/>
                  </pic:spPr>
                </pic:pic>
              </a:graphicData>
            </a:graphic>
          </wp:anchor>
        </w:drawing>
      </w:r>
    </w:p>
    <w:p>
      <w:pPr>
        <w:sectPr>
          <w:pgSz w:w="11900" w:h="16838" w:orient="portrait"/>
          <w:cols w:equalWidth="0" w:num="1">
            <w:col w:w="11040"/>
          </w:cols>
          <w:pgMar w:left="380" w:top="1440" w:right="479" w:bottom="1440" w:gutter="0" w:footer="0" w:header="0"/>
        </w:sectPr>
      </w:pPr>
    </w:p>
    <w:bookmarkStart w:id="248" w:name="page249"/>
    <w:bookmarkEnd w:id="248"/>
    <w:p>
      <w:pPr>
        <w:spacing w:after="0" w:line="202" w:lineRule="exact"/>
        <w:rPr>
          <w:sz w:val="20"/>
          <w:szCs w:val="20"/>
          <w:color w:val="auto"/>
        </w:rPr>
      </w:pPr>
    </w:p>
    <w:p>
      <w:pPr>
        <w:ind w:left="680" w:right="60"/>
        <w:spacing w:after="0" w:line="251" w:lineRule="auto"/>
        <w:rPr>
          <w:sz w:val="20"/>
          <w:szCs w:val="20"/>
          <w:color w:val="auto"/>
        </w:rPr>
      </w:pPr>
      <w:r>
        <w:rPr>
          <w:rFonts w:ascii="Times New Roman" w:cs="Times New Roman" w:eastAsia="Times New Roman" w:hAnsi="Times New Roman"/>
          <w:sz w:val="20"/>
          <w:szCs w:val="20"/>
          <w:color w:val="auto"/>
        </w:rPr>
        <w:t xml:space="preserve">each SOFR Loan and (iv) at least </w:t>
      </w:r>
      <w:r>
        <w:rPr>
          <w:rFonts w:ascii="Times New Roman" w:cs="Times New Roman" w:eastAsia="Times New Roman" w:hAnsi="Times New Roman"/>
          <w:sz w:val="20"/>
          <w:szCs w:val="20"/>
          <w:color w:val="FF0000"/>
          <w:strike w:val="1"/>
        </w:rPr>
        <w:t>four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4</w:t>
      </w:r>
      <w:r>
        <w:rPr>
          <w:rFonts w:ascii="Times New Roman" w:cs="Times New Roman" w:eastAsia="Times New Roman" w:hAnsi="Times New Roman"/>
          <w:sz w:val="20"/>
          <w:szCs w:val="20"/>
          <w:u w:val="single" w:color="auto"/>
          <w:color w:val="0000FF"/>
        </w:rPr>
        <w:t>3</w:t>
      </w:r>
      <w:r>
        <w:rPr>
          <w:rFonts w:ascii="Times New Roman" w:cs="Times New Roman" w:eastAsia="Times New Roman" w:hAnsi="Times New Roman"/>
          <w:sz w:val="20"/>
          <w:szCs w:val="20"/>
          <w:color w:val="auto"/>
        </w:rPr>
        <w:t xml:space="preserve">) Business Days before each </w:t>
      </w:r>
      <w:r>
        <w:rPr>
          <w:rFonts w:ascii="Times New Roman" w:cs="Times New Roman" w:eastAsia="Times New Roman" w:hAnsi="Times New Roman"/>
          <w:sz w:val="20"/>
          <w:szCs w:val="20"/>
          <w:color w:val="FF0000"/>
          <w:strike w:val="1"/>
        </w:rPr>
        <w:t>CDOR Rate</w:t>
      </w:r>
      <w:r>
        <w:rPr>
          <w:rFonts w:ascii="Times New Roman" w:cs="Times New Roman" w:eastAsia="Times New Roman" w:hAnsi="Times New Roman"/>
          <w:sz w:val="20"/>
          <w:szCs w:val="20"/>
          <w:u w:val="single" w:color="auto"/>
          <w:color w:val="0000FF"/>
        </w:rPr>
        <w:t>Term CORRA</w:t>
      </w:r>
      <w:r>
        <w:rPr>
          <w:rFonts w:ascii="Times New Roman" w:cs="Times New Roman" w:eastAsia="Times New Roman" w:hAnsi="Times New Roman"/>
          <w:sz w:val="20"/>
          <w:szCs w:val="20"/>
          <w:color w:val="auto"/>
        </w:rPr>
        <w:t xml:space="preserve"> Loan, of its intention to borrow, specifying (A) the date of such borrowing, which shall be a Business Day,</w:t>
      </w:r>
    </w:p>
    <w:p>
      <w:pPr>
        <w:spacing w:after="0" w:line="1" w:lineRule="exact"/>
        <w:rPr>
          <w:sz w:val="20"/>
          <w:szCs w:val="20"/>
          <w:color w:val="auto"/>
        </w:rPr>
      </w:pPr>
    </w:p>
    <w:p>
      <w:pPr>
        <w:jc w:val="both"/>
        <w:ind w:left="680" w:right="60" w:firstLine="4"/>
        <w:spacing w:after="0" w:line="246" w:lineRule="auto"/>
        <w:tabs>
          <w:tab w:leader="none" w:pos="996"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such borrowing, which shall be, (x) with respect to Base Rate Loans (other than Swingline Loans) and Canadian Revolving Credit Loans in an aggregate principal amount of $2,000,000 (or C$2,000,000) or a whole multiple of $500,000 (or C$500,000) in excess thereof, (y) with respect to SOFR Loans, in an aggregate principal amount of $2,000,000 or a whole multiple of $500,000 in excess thereof</w:t>
      </w:r>
      <w:r>
        <w:rPr>
          <w:rFonts w:ascii="Times New Roman" w:cs="Times New Roman" w:eastAsia="Times New Roman" w:hAnsi="Times New Roman"/>
          <w:sz w:val="20"/>
          <w:szCs w:val="20"/>
          <w:color w:val="0000FF"/>
        </w:rPr>
        <w:t>,</w:t>
      </w:r>
      <w:r>
        <w:rPr>
          <w:rFonts w:ascii="Times New Roman" w:cs="Times New Roman" w:eastAsia="Times New Roman" w:hAnsi="Times New Roman"/>
          <w:sz w:val="20"/>
          <w:szCs w:val="20"/>
          <w:color w:val="auto"/>
        </w:rPr>
        <w:t xml:space="preserve"> and (z) with respect to Swingline Loans in an aggregate principal amount of $500,000 (or C$500,000) or a whole multiple of $100,000 (or C$100,000) in excess thereof, (C) whether such Loan is to be a US Revolving Credit Loan, Canadian Revolving Credit Loan, US Swingline Loan or Canadian Swingline Loan, (D) in the case of a US Revolving Credit Loan, whether the Loans are to be SOFR Loans or Base Rate Loans, (E) in the case of a Canadian Revolving Credit Loan, whether the Loans are to be </w:t>
      </w:r>
      <w:r>
        <w:rPr>
          <w:rFonts w:ascii="Times New Roman" w:cs="Times New Roman" w:eastAsia="Times New Roman" w:hAnsi="Times New Roman"/>
          <w:sz w:val="20"/>
          <w:szCs w:val="20"/>
          <w:color w:val="FF0000"/>
          <w:strike w:val="1"/>
        </w:rPr>
        <w:t>CDOR Rate</w:t>
      </w:r>
      <w:r>
        <w:rPr>
          <w:rFonts w:ascii="Times New Roman" w:cs="Times New Roman" w:eastAsia="Times New Roman" w:hAnsi="Times New Roman"/>
          <w:sz w:val="20"/>
          <w:szCs w:val="20"/>
          <w:u w:val="single" w:color="auto"/>
          <w:color w:val="0000FF"/>
        </w:rPr>
        <w:t>Term CORRA</w:t>
      </w:r>
      <w:r>
        <w:rPr>
          <w:rFonts w:ascii="Times New Roman" w:cs="Times New Roman" w:eastAsia="Times New Roman" w:hAnsi="Times New Roman"/>
          <w:sz w:val="20"/>
          <w:szCs w:val="20"/>
          <w:color w:val="auto"/>
        </w:rPr>
        <w:t xml:space="preserve"> Loans or Canadian Base Rate Loans, and (F) in the case of a SOFR Loan or a </w:t>
      </w:r>
      <w:r>
        <w:rPr>
          <w:rFonts w:ascii="Times New Roman" w:cs="Times New Roman" w:eastAsia="Times New Roman" w:hAnsi="Times New Roman"/>
          <w:sz w:val="20"/>
          <w:szCs w:val="20"/>
          <w:color w:val="FF0000"/>
          <w:strike w:val="1"/>
        </w:rPr>
        <w:t>CDOR Rate</w:t>
      </w:r>
      <w:r>
        <w:rPr>
          <w:rFonts w:ascii="Times New Roman" w:cs="Times New Roman" w:eastAsia="Times New Roman" w:hAnsi="Times New Roman"/>
          <w:sz w:val="20"/>
          <w:szCs w:val="20"/>
          <w:u w:val="single" w:color="auto"/>
          <w:color w:val="0000FF"/>
        </w:rPr>
        <w:t>Term CORRA</w:t>
      </w:r>
      <w:r>
        <w:rPr>
          <w:rFonts w:ascii="Times New Roman" w:cs="Times New Roman" w:eastAsia="Times New Roman" w:hAnsi="Times New Roman"/>
          <w:sz w:val="20"/>
          <w:szCs w:val="20"/>
          <w:color w:val="auto"/>
        </w:rPr>
        <w:t xml:space="preserve"> Loan, the duration of the Interest Period applicable thereto. A Notice of Borrowing received after 11:00 a.m. shall be deemed received on the next Business Day or US Government Securities Business Day, as applicable. The Administrative Agent shall promptly notify the Revolving Credit Lenders of each Notice of Borrowing.</w:t>
      </w:r>
    </w:p>
    <w:p>
      <w:pPr>
        <w:spacing w:after="0" w:line="174" w:lineRule="exact"/>
        <w:rPr>
          <w:rFonts w:ascii="Times New Roman" w:cs="Times New Roman" w:eastAsia="Times New Roman" w:hAnsi="Times New Roman"/>
          <w:sz w:val="20"/>
          <w:szCs w:val="20"/>
          <w:color w:val="auto"/>
        </w:rPr>
      </w:pPr>
    </w:p>
    <w:p>
      <w:pPr>
        <w:jc w:val="both"/>
        <w:ind w:left="680" w:right="20" w:firstLine="646"/>
        <w:spacing w:after="0" w:line="247" w:lineRule="auto"/>
        <w:tabs>
          <w:tab w:leader="none" w:pos="1925"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Disbursement of Revolving Credit and Swingline Loans</w:t>
      </w:r>
      <w:r>
        <w:rPr>
          <w:rFonts w:ascii="Times New Roman" w:cs="Times New Roman" w:eastAsia="Times New Roman" w:hAnsi="Times New Roman"/>
          <w:sz w:val="20"/>
          <w:szCs w:val="20"/>
          <w:color w:val="auto"/>
        </w:rPr>
        <w:t xml:space="preserve">. Not later than (i) 1:00 p.m. on the proposed borrowing date, each Revolving Credit Lender will make available to the Administrative Agent, for the account of the US Borrowers, at the office of the Administrative Agent in funds immediately available to the Administrative Agent (in Dollars), such Revolving Credit Lender’s Revolving Credit Commitment Percentage of the US Revolving Credit Loans to be made on such borrowing date, (ii) 11:00 a.m. on the proposed borrowing date, each Revolving Credit Lender will make available to the Administrative Agent, for the account of the Canadian Borrowers, at the office of the Administrative Agent in funds immediately available to the Administrative Agent (in Canadian Dollars), such Revolving Credit Lender’s Revolving Credit Commitment Percentage of the Canadian Revolving Credit Loans to be made on such borrowing date and (iii) 1:00 p.m. on the proposed borrowing date, the applicable Swingline Lender will make available to the Administrative Agent, for the account of the applicable Borrower, at the office of the Administrative Agent in funds immediately available to the Administrative Agent (in the applicable currency), the Swingline Loans to be made on such borrowing date. Each Borrower hereby irrevocably authorizes the Administrative Agent to disburse the proceeds of each borrowing requested pursuant to this Section in immediately available funds by crediting or wiring such proceeds to the deposit account of such Borrower identified in the most recent notice substantially in the form attached as </w:t>
      </w:r>
      <w:r>
        <w:rPr>
          <w:rFonts w:ascii="Times New Roman" w:cs="Times New Roman" w:eastAsia="Times New Roman" w:hAnsi="Times New Roman"/>
          <w:sz w:val="20"/>
          <w:szCs w:val="20"/>
          <w:b w:val="1"/>
          <w:bCs w:val="1"/>
          <w:i w:val="1"/>
          <w:iCs w:val="1"/>
          <w:color w:val="auto"/>
        </w:rPr>
        <w:t>Exhibit C</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u w:val="single" w:color="auto"/>
          <w:color w:val="auto"/>
        </w:rPr>
        <w:t>Notice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Account Designation</w:t>
      </w:r>
      <w:r>
        <w:rPr>
          <w:rFonts w:ascii="Times New Roman" w:cs="Times New Roman" w:eastAsia="Times New Roman" w:hAnsi="Times New Roman"/>
          <w:sz w:val="20"/>
          <w:szCs w:val="20"/>
          <w:color w:val="auto"/>
        </w:rPr>
        <w:t xml:space="preserve">”) delivered by such Borrower to the Administrative Agent or as may be otherwise agreed upon by such Borrower and the Administrative Agent from time to time. Subject to </w:t>
      </w:r>
      <w:r>
        <w:rPr>
          <w:rFonts w:ascii="Times New Roman" w:cs="Times New Roman" w:eastAsia="Times New Roman" w:hAnsi="Times New Roman"/>
          <w:sz w:val="20"/>
          <w:szCs w:val="20"/>
          <w:u w:val="single" w:color="auto"/>
          <w:color w:val="auto"/>
        </w:rPr>
        <w:t>Section 5.7</w:t>
      </w:r>
      <w:r>
        <w:rPr>
          <w:rFonts w:ascii="Times New Roman" w:cs="Times New Roman" w:eastAsia="Times New Roman" w:hAnsi="Times New Roman"/>
          <w:sz w:val="20"/>
          <w:szCs w:val="20"/>
          <w:color w:val="auto"/>
        </w:rPr>
        <w:t xml:space="preserve"> hereof, the Administrative Agent shall not be obligated to disburse the portion of the proceeds of any Revolving Credit Loan requested pursuant to this Section to the extent that any Revolving Credit Lender has not made available to the Administrative Agent its Revolving Credit Commitment Percentage of such Loan. Revolving Credit Loans to be made for the purpose of refunding Swingline Loans shall be made by the Revolving Credit Lenders as provided in </w:t>
      </w:r>
      <w:r>
        <w:rPr>
          <w:rFonts w:ascii="Times New Roman" w:cs="Times New Roman" w:eastAsia="Times New Roman" w:hAnsi="Times New Roman"/>
          <w:sz w:val="20"/>
          <w:szCs w:val="20"/>
          <w:u w:val="single" w:color="auto"/>
          <w:color w:val="auto"/>
        </w:rPr>
        <w:t>Section 2.2(b)</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ind w:left="1320"/>
        <w:spacing w:after="0"/>
        <w:tabs>
          <w:tab w:leader="none" w:pos="2620" w:val="left"/>
        </w:tabs>
        <w:rPr>
          <w:sz w:val="20"/>
          <w:szCs w:val="20"/>
          <w:color w:val="auto"/>
        </w:rPr>
      </w:pPr>
      <w:r>
        <w:rPr>
          <w:rFonts w:ascii="Times New Roman" w:cs="Times New Roman" w:eastAsia="Times New Roman" w:hAnsi="Times New Roman"/>
          <w:sz w:val="20"/>
          <w:szCs w:val="20"/>
          <w:color w:val="auto"/>
        </w:rPr>
        <w:t>SECTION 2.4</w:t>
      </w:r>
      <w:r>
        <w:rPr>
          <w:sz w:val="20"/>
          <w:szCs w:val="20"/>
          <w:color w:val="auto"/>
        </w:rPr>
        <w:tab/>
      </w:r>
      <w:r>
        <w:rPr>
          <w:rFonts w:ascii="Times New Roman" w:cs="Times New Roman" w:eastAsia="Times New Roman" w:hAnsi="Times New Roman"/>
          <w:sz w:val="19"/>
          <w:szCs w:val="19"/>
          <w:u w:val="single" w:color="auto"/>
          <w:color w:val="auto"/>
        </w:rPr>
        <w:t>Repayment and Prepayment of Revolving Credit and Swingline Loans</w:t>
      </w:r>
      <w:r>
        <w:rPr>
          <w:rFonts w:ascii="Times New Roman" w:cs="Times New Roman" w:eastAsia="Times New Roman" w:hAnsi="Times New Roman"/>
          <w:sz w:val="19"/>
          <w:szCs w:val="19"/>
          <w:color w:val="auto"/>
        </w:rPr>
        <w:t>.</w:t>
      </w:r>
    </w:p>
    <w:p>
      <w:pPr>
        <w:spacing w:after="0" w:line="225" w:lineRule="exact"/>
        <w:rPr>
          <w:sz w:val="20"/>
          <w:szCs w:val="20"/>
          <w:color w:val="auto"/>
        </w:rPr>
      </w:pPr>
    </w:p>
    <w:p>
      <w:pPr>
        <w:jc w:val="both"/>
        <w:ind w:left="680" w:firstLine="646"/>
        <w:spacing w:after="0" w:line="250" w:lineRule="auto"/>
        <w:tabs>
          <w:tab w:leader="none" w:pos="1927"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Repayment on Termination Date</w:t>
      </w:r>
      <w:r>
        <w:rPr>
          <w:rFonts w:ascii="Times New Roman" w:cs="Times New Roman" w:eastAsia="Times New Roman" w:hAnsi="Times New Roman"/>
          <w:sz w:val="20"/>
          <w:szCs w:val="20"/>
          <w:color w:val="auto"/>
        </w:rPr>
        <w:t xml:space="preserve">. Each Borrower hereby agrees to repay the outstanding principal amount of (i) all Revolving Credit Loans made to such Borrower in full on the Revolving Credit Maturity Date, and (ii) all Swingline Loans made to such Borrower in accordance with </w:t>
      </w:r>
      <w:r>
        <w:rPr>
          <w:rFonts w:ascii="Times New Roman" w:cs="Times New Roman" w:eastAsia="Times New Roman" w:hAnsi="Times New Roman"/>
          <w:sz w:val="20"/>
          <w:szCs w:val="20"/>
          <w:u w:val="single" w:color="auto"/>
          <w:color w:val="auto"/>
        </w:rPr>
        <w:t>Section 2.2(b)</w:t>
      </w:r>
      <w:r>
        <w:rPr>
          <w:rFonts w:ascii="Times New Roman" w:cs="Times New Roman" w:eastAsia="Times New Roman" w:hAnsi="Times New Roman"/>
          <w:sz w:val="20"/>
          <w:szCs w:val="20"/>
          <w:color w:val="auto"/>
        </w:rPr>
        <w:t xml:space="preserve"> (but, in any event, no later than the Revolving Credit Maturity Date), together, in each case, with all accrued but unpaid interest thereon.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408">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100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20"/>
          </w:cols>
          <w:pgMar w:left="320" w:top="1440" w:right="459" w:bottom="1440" w:gutter="0" w:footer="0" w:header="0"/>
        </w:sectPr>
      </w:pPr>
    </w:p>
    <w:bookmarkStart w:id="249" w:name="page250"/>
    <w:bookmarkEnd w:id="249"/>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409">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101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0139"/>
          </w:cols>
          <w:pgMar w:left="320" w:top="1440" w:right="1440" w:bottom="1440" w:gutter="0" w:footer="0" w:header="0"/>
        </w:sectPr>
      </w:pPr>
    </w:p>
    <w:bookmarkStart w:id="250" w:name="page251"/>
    <w:bookmarkEnd w:id="250"/>
    <w:p>
      <w:pPr>
        <w:spacing w:after="0" w:line="202" w:lineRule="exact"/>
        <w:rPr>
          <w:sz w:val="20"/>
          <w:szCs w:val="20"/>
          <w:color w:val="auto"/>
        </w:rPr>
      </w:pPr>
    </w:p>
    <w:p>
      <w:pPr>
        <w:ind w:left="1960" w:hanging="633"/>
        <w:spacing w:after="0"/>
        <w:tabs>
          <w:tab w:leader="none" w:pos="196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Mandatory Prepayments</w:t>
      </w:r>
      <w:r>
        <w:rPr>
          <w:rFonts w:ascii="Times New Roman" w:cs="Times New Roman" w:eastAsia="Times New Roman" w:hAnsi="Times New Roman"/>
          <w:sz w:val="20"/>
          <w:szCs w:val="20"/>
          <w:color w:val="auto"/>
        </w:rPr>
        <w:t>.</w:t>
      </w:r>
    </w:p>
    <w:p>
      <w:pPr>
        <w:spacing w:after="0" w:line="211" w:lineRule="exact"/>
        <w:rPr>
          <w:rFonts w:ascii="Times New Roman" w:cs="Times New Roman" w:eastAsia="Times New Roman" w:hAnsi="Times New Roman"/>
          <w:sz w:val="20"/>
          <w:szCs w:val="20"/>
          <w:color w:val="auto"/>
        </w:rPr>
      </w:pPr>
    </w:p>
    <w:p>
      <w:pPr>
        <w:jc w:val="both"/>
        <w:ind w:left="1320" w:firstLine="648"/>
        <w:spacing w:after="0" w:line="247" w:lineRule="auto"/>
        <w:tabs>
          <w:tab w:leader="none" w:pos="2561"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at any time the Revolving Credit Outstandings exceed the Revolving Credit Commitment (as a result of currency fluctuations or otherwise), each applicable Borrower agrees to repay immediately upon notice from the Administrative Agent, by payment to the Administrative Agent for the account of the Revolving Credit Lenders, Extensions of Credit in an amount equal to such excess with each such repayment applied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the principal amount of outstanding US Swingline Loans,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the principal amount of outstanding Canadian Swingline Loans,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to the principal amount of outstanding US Revolving Credit Loans,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to the principal amount of outstanding Canadian Revolving Credit Loans and </w:t>
      </w: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with respect to any Letters of Credit then outstanding, a payment of Cash Collateral into a Cash Collateral account opened by the Administrative Agent, for the benefit of the Revolving Credit Lenders, in an amount equal to such excess (such Cash Collateral to be applied, upon the occurrence and during the continuance of an Event of Default, in accordance with </w:t>
      </w:r>
      <w:r>
        <w:rPr>
          <w:rFonts w:ascii="Times New Roman" w:cs="Times New Roman" w:eastAsia="Times New Roman" w:hAnsi="Times New Roman"/>
          <w:sz w:val="20"/>
          <w:szCs w:val="20"/>
          <w:u w:val="single" w:color="auto"/>
          <w:color w:val="auto"/>
        </w:rPr>
        <w:t>Section 10.2(b)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US Borrower is required to make a payment of Cash Collateral pursuant to the terms of this </w:t>
      </w:r>
      <w:r>
        <w:rPr>
          <w:rFonts w:ascii="Times New Roman" w:cs="Times New Roman" w:eastAsia="Times New Roman" w:hAnsi="Times New Roman"/>
          <w:sz w:val="20"/>
          <w:szCs w:val="20"/>
          <w:u w:val="single" w:color="auto"/>
          <w:color w:val="auto"/>
        </w:rPr>
        <w:t>Section 2.4(b)(i)</w:t>
      </w:r>
      <w:r>
        <w:rPr>
          <w:rFonts w:ascii="Times New Roman" w:cs="Times New Roman" w:eastAsia="Times New Roman" w:hAnsi="Times New Roman"/>
          <w:sz w:val="20"/>
          <w:szCs w:val="20"/>
          <w:color w:val="auto"/>
        </w:rPr>
        <w:t xml:space="preserve"> as a result of any such excess, such amount (to the extent not applied in accordance with </w:t>
      </w:r>
      <w:r>
        <w:rPr>
          <w:rFonts w:ascii="Times New Roman" w:cs="Times New Roman" w:eastAsia="Times New Roman" w:hAnsi="Times New Roman"/>
          <w:sz w:val="20"/>
          <w:szCs w:val="20"/>
          <w:u w:val="single" w:color="auto"/>
          <w:color w:val="auto"/>
        </w:rPr>
        <w:t>Section 10.2(b)</w:t>
      </w:r>
      <w:r>
        <w:rPr>
          <w:rFonts w:ascii="Times New Roman" w:cs="Times New Roman" w:eastAsia="Times New Roman" w:hAnsi="Times New Roman"/>
          <w:sz w:val="20"/>
          <w:szCs w:val="20"/>
          <w:color w:val="auto"/>
        </w:rPr>
        <w:t>) shall be returned to such US Borrower within three Business Days after such excess ceases to exist.</w:t>
      </w:r>
    </w:p>
    <w:p>
      <w:pPr>
        <w:spacing w:after="0" w:line="186" w:lineRule="exact"/>
        <w:rPr>
          <w:rFonts w:ascii="Times New Roman" w:cs="Times New Roman" w:eastAsia="Times New Roman" w:hAnsi="Times New Roman"/>
          <w:sz w:val="20"/>
          <w:szCs w:val="20"/>
          <w:color w:val="auto"/>
        </w:rPr>
      </w:pPr>
    </w:p>
    <w:p>
      <w:pPr>
        <w:ind w:left="2600" w:hanging="631"/>
        <w:spacing w:after="0"/>
        <w:tabs>
          <w:tab w:leader="none" w:pos="2600"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[intentionally omitted].</w:t>
      </w:r>
    </w:p>
    <w:p>
      <w:pPr>
        <w:spacing w:after="0" w:line="211" w:lineRule="exact"/>
        <w:rPr>
          <w:rFonts w:ascii="Times New Roman" w:cs="Times New Roman" w:eastAsia="Times New Roman" w:hAnsi="Times New Roman"/>
          <w:sz w:val="20"/>
          <w:szCs w:val="20"/>
          <w:color w:val="auto"/>
        </w:rPr>
      </w:pPr>
    </w:p>
    <w:p>
      <w:pPr>
        <w:jc w:val="both"/>
        <w:ind w:left="1320" w:right="40" w:firstLine="648"/>
        <w:spacing w:after="0" w:line="254" w:lineRule="auto"/>
        <w:tabs>
          <w:tab w:leader="none" w:pos="2563"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at any time Swingline Loans outstanding at such time exceed the Swingline Commitment (as a result of currency fluctuations or otherwise), the applicable Borrower or Borrowers agree to repay within one (1) Business Day following receipt of notice from the Administrative Agent, by payment to the Administrative Agent for the account of the applicable Swingline Lender, Swingline Loans in an amount equal to such excess with each such repayment applied ratably to the outstanding Swingline Loans.</w:t>
      </w:r>
    </w:p>
    <w:p>
      <w:pPr>
        <w:spacing w:after="0" w:line="173" w:lineRule="exact"/>
        <w:rPr>
          <w:rFonts w:ascii="Times New Roman" w:cs="Times New Roman" w:eastAsia="Times New Roman" w:hAnsi="Times New Roman"/>
          <w:sz w:val="20"/>
          <w:szCs w:val="20"/>
          <w:color w:val="auto"/>
        </w:rPr>
      </w:pPr>
    </w:p>
    <w:p>
      <w:pPr>
        <w:jc w:val="both"/>
        <w:ind w:left="1320" w:right="20" w:firstLine="648"/>
        <w:spacing w:after="0" w:line="266" w:lineRule="auto"/>
        <w:tabs>
          <w:tab w:leader="none" w:pos="2566" w:val="left"/>
        </w:tabs>
        <w:numPr>
          <w:ilvl w:val="1"/>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at any time Letters of Credit outstanding at such time exceed the L/C Sublimit (as a result of currency fluctuations or otherwise), the applicable Borrower or Borrowers agree to Cash Collateralize the amount of such excess (such Cash Collateral to be applied, upon the occurrence and during the continuance of an Event of Default, in accordance with </w:t>
      </w:r>
      <w:r>
        <w:rPr>
          <w:rFonts w:ascii="Times New Roman" w:cs="Times New Roman" w:eastAsia="Times New Roman" w:hAnsi="Times New Roman"/>
          <w:sz w:val="19"/>
          <w:szCs w:val="19"/>
          <w:u w:val="single" w:color="auto"/>
          <w:color w:val="auto"/>
        </w:rPr>
        <w:t>Section 10.2(b)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any Borrower is required to make a payment of Cash Collateral pursuant to the terms of this </w:t>
      </w:r>
      <w:r>
        <w:rPr>
          <w:rFonts w:ascii="Times New Roman" w:cs="Times New Roman" w:eastAsia="Times New Roman" w:hAnsi="Times New Roman"/>
          <w:sz w:val="19"/>
          <w:szCs w:val="19"/>
          <w:u w:val="single" w:color="auto"/>
          <w:color w:val="auto"/>
        </w:rPr>
        <w:t>Section 2.4(b)(iv)</w:t>
      </w:r>
      <w:r>
        <w:rPr>
          <w:rFonts w:ascii="Times New Roman" w:cs="Times New Roman" w:eastAsia="Times New Roman" w:hAnsi="Times New Roman"/>
          <w:sz w:val="19"/>
          <w:szCs w:val="19"/>
          <w:color w:val="auto"/>
        </w:rPr>
        <w:t xml:space="preserve"> as a result of any such excess, such amount (to the extent not applied in accordance with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10.2(b)</w:t>
      </w:r>
      <w:r>
        <w:rPr>
          <w:rFonts w:ascii="Times New Roman" w:cs="Times New Roman" w:eastAsia="Times New Roman" w:hAnsi="Times New Roman"/>
          <w:sz w:val="19"/>
          <w:szCs w:val="19"/>
          <w:color w:val="auto"/>
        </w:rPr>
        <w:t>) shall be returned to such Borrower within three Business Days after such excess ceases to exist.</w:t>
      </w:r>
    </w:p>
    <w:p>
      <w:pPr>
        <w:spacing w:after="0" w:line="165" w:lineRule="exact"/>
        <w:rPr>
          <w:rFonts w:ascii="Times New Roman" w:cs="Times New Roman" w:eastAsia="Times New Roman" w:hAnsi="Times New Roman"/>
          <w:sz w:val="19"/>
          <w:szCs w:val="19"/>
          <w:color w:val="auto"/>
        </w:rPr>
      </w:pPr>
    </w:p>
    <w:p>
      <w:pPr>
        <w:jc w:val="both"/>
        <w:ind w:left="680" w:right="20" w:firstLine="646"/>
        <w:spacing w:after="0" w:line="247" w:lineRule="auto"/>
        <w:tabs>
          <w:tab w:leader="none" w:pos="1927"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Optional Prepayments</w:t>
      </w:r>
      <w:r>
        <w:rPr>
          <w:rFonts w:ascii="Times New Roman" w:cs="Times New Roman" w:eastAsia="Times New Roman" w:hAnsi="Times New Roman"/>
          <w:sz w:val="20"/>
          <w:szCs w:val="20"/>
          <w:color w:val="auto"/>
        </w:rPr>
        <w:t xml:space="preserve">. The Borrowers may at any time and from time to time prepay Revolving Credit Loans and Swingline Loans, in whole or in part, without premium or penalty, with irrevocable prior written notice to the Administrative Agent substantially in the form attached as </w:t>
      </w:r>
      <w:r>
        <w:rPr>
          <w:rFonts w:ascii="Times New Roman" w:cs="Times New Roman" w:eastAsia="Times New Roman" w:hAnsi="Times New Roman"/>
          <w:sz w:val="20"/>
          <w:szCs w:val="20"/>
          <w:b w:val="1"/>
          <w:bCs w:val="1"/>
          <w:i w:val="1"/>
          <w:iCs w:val="1"/>
          <w:color w:val="auto"/>
        </w:rPr>
        <w:t>Exhibit D</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u w:val="single" w:color="auto"/>
          <w:color w:val="auto"/>
        </w:rPr>
        <w:t>Notice of Prepayment</w:t>
      </w:r>
      <w:r>
        <w:rPr>
          <w:rFonts w:ascii="Times New Roman" w:cs="Times New Roman" w:eastAsia="Times New Roman" w:hAnsi="Times New Roman"/>
          <w:sz w:val="20"/>
          <w:szCs w:val="20"/>
          <w:color w:val="auto"/>
        </w:rPr>
        <w:t xml:space="preserve">”) given not later than 11:00 a.m. (i) on the same Business Day as each Base Rate Loan, each Canadian Swingline Loan and each US Swingline Loan, (ii) at least one (1) Business Day before each Canadian Base Rate Loan, (iii) at least three (3) US Government Securities Business Days before each SOFR Loan and (iv) at least </w:t>
      </w:r>
      <w:r>
        <w:rPr>
          <w:rFonts w:ascii="Times New Roman" w:cs="Times New Roman" w:eastAsia="Times New Roman" w:hAnsi="Times New Roman"/>
          <w:sz w:val="20"/>
          <w:szCs w:val="20"/>
          <w:color w:val="FF0000"/>
          <w:strike w:val="1"/>
        </w:rPr>
        <w:t>four</w:t>
      </w:r>
      <w:r>
        <w:rPr>
          <w:rFonts w:ascii="Times New Roman" w:cs="Times New Roman" w:eastAsia="Times New Roman" w:hAnsi="Times New Roman"/>
          <w:sz w:val="20"/>
          <w:szCs w:val="20"/>
          <w:u w:val="single" w:color="auto"/>
          <w:color w:val="0000FF"/>
        </w:rPr>
        <w:t>three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4</w:t>
      </w:r>
      <w:r>
        <w:rPr>
          <w:rFonts w:ascii="Times New Roman" w:cs="Times New Roman" w:eastAsia="Times New Roman" w:hAnsi="Times New Roman"/>
          <w:sz w:val="20"/>
          <w:szCs w:val="20"/>
          <w:u w:val="single" w:color="auto"/>
          <w:color w:val="0000FF"/>
        </w:rPr>
        <w:t>3</w:t>
      </w:r>
      <w:r>
        <w:rPr>
          <w:rFonts w:ascii="Times New Roman" w:cs="Times New Roman" w:eastAsia="Times New Roman" w:hAnsi="Times New Roman"/>
          <w:sz w:val="20"/>
          <w:szCs w:val="20"/>
          <w:color w:val="auto"/>
        </w:rPr>
        <w:t xml:space="preserve">) Business Days before each </w:t>
      </w:r>
      <w:r>
        <w:rPr>
          <w:rFonts w:ascii="Times New Roman" w:cs="Times New Roman" w:eastAsia="Times New Roman" w:hAnsi="Times New Roman"/>
          <w:sz w:val="20"/>
          <w:szCs w:val="20"/>
          <w:color w:val="FF0000"/>
          <w:strike w:val="1"/>
        </w:rPr>
        <w:t>CDOR Rate</w:t>
      </w:r>
      <w:r>
        <w:rPr>
          <w:rFonts w:ascii="Times New Roman" w:cs="Times New Roman" w:eastAsia="Times New Roman" w:hAnsi="Times New Roman"/>
          <w:sz w:val="20"/>
          <w:szCs w:val="20"/>
          <w:u w:val="single" w:color="auto"/>
          <w:color w:val="0000FF"/>
        </w:rPr>
        <w:t>Term CORRA</w:t>
      </w:r>
      <w:r>
        <w:rPr>
          <w:rFonts w:ascii="Times New Roman" w:cs="Times New Roman" w:eastAsia="Times New Roman" w:hAnsi="Times New Roman"/>
          <w:sz w:val="20"/>
          <w:szCs w:val="20"/>
          <w:color w:val="auto"/>
        </w:rPr>
        <w:t xml:space="preserve"> Loan, specifying the date and amount of prepayment and whether the prepayment is of SOFR Loans, Base Rate Loans, Canadian Base Rate Loans, </w:t>
      </w:r>
      <w:r>
        <w:rPr>
          <w:rFonts w:ascii="Times New Roman" w:cs="Times New Roman" w:eastAsia="Times New Roman" w:hAnsi="Times New Roman"/>
          <w:sz w:val="20"/>
          <w:szCs w:val="20"/>
          <w:color w:val="FF0000"/>
          <w:strike w:val="1"/>
        </w:rPr>
        <w:t>CDOR Rate</w:t>
      </w:r>
      <w:r>
        <w:rPr>
          <w:rFonts w:ascii="Times New Roman" w:cs="Times New Roman" w:eastAsia="Times New Roman" w:hAnsi="Times New Roman"/>
          <w:sz w:val="20"/>
          <w:szCs w:val="20"/>
          <w:u w:val="single" w:color="auto"/>
          <w:color w:val="0000FF"/>
        </w:rPr>
        <w:t>Term CORRA</w:t>
      </w:r>
      <w:r>
        <w:rPr>
          <w:rFonts w:ascii="Times New Roman" w:cs="Times New Roman" w:eastAsia="Times New Roman" w:hAnsi="Times New Roman"/>
          <w:sz w:val="20"/>
          <w:szCs w:val="20"/>
          <w:color w:val="auto"/>
        </w:rPr>
        <w:t xml:space="preserve"> Loans, US Swingline Loans, Canadian Swingline Loans or a combination thereof, and, if of a combination thereof, the amount allocable to each. Upon receipt of such notice, the Administrative Agent shall promptly notify each Revolving Credit Lender. If any such notice is given, the amount specified in such notice shall be due and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410">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102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20"/>
          </w:cols>
          <w:pgMar w:left="320" w:top="1440" w:right="459" w:bottom="1440" w:gutter="0" w:footer="0" w:header="0"/>
        </w:sectPr>
      </w:pPr>
    </w:p>
    <w:bookmarkStart w:id="251" w:name="page252"/>
    <w:bookmarkEnd w:id="251"/>
    <w:p>
      <w:pPr>
        <w:spacing w:after="0" w:line="95" w:lineRule="exact"/>
        <w:rPr>
          <w:sz w:val="20"/>
          <w:szCs w:val="20"/>
          <w:color w:val="auto"/>
        </w:rPr>
      </w:pPr>
    </w:p>
    <w:p>
      <w:pPr>
        <w:ind w:left="680"/>
        <w:spacing w:after="0" w:line="263" w:lineRule="auto"/>
        <w:rPr>
          <w:sz w:val="20"/>
          <w:szCs w:val="20"/>
          <w:color w:val="auto"/>
        </w:rPr>
      </w:pPr>
      <w:r>
        <w:rPr>
          <w:rFonts w:ascii="Times New Roman" w:cs="Times New Roman" w:eastAsia="Times New Roman" w:hAnsi="Times New Roman"/>
          <w:sz w:val="20"/>
          <w:szCs w:val="20"/>
          <w:color w:val="auto"/>
        </w:rPr>
        <w:t>payable on the date set forth in such notice. Partial prepayments shall be in an aggregate amount of $1,000,000 (or C$1,000,000) or a whole multiple of $500,000 (or C$500,000) in excess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411">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103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252" w:name="page253"/>
    <w:bookmarkEnd w:id="252"/>
    <w:p>
      <w:pPr>
        <w:spacing w:after="0" w:line="202" w:lineRule="exact"/>
        <w:rPr>
          <w:sz w:val="20"/>
          <w:szCs w:val="20"/>
          <w:color w:val="auto"/>
        </w:rPr>
      </w:pPr>
    </w:p>
    <w:p>
      <w:pPr>
        <w:ind w:left="680" w:right="60"/>
        <w:spacing w:after="0" w:line="251" w:lineRule="auto"/>
        <w:rPr>
          <w:sz w:val="20"/>
          <w:szCs w:val="20"/>
          <w:color w:val="auto"/>
        </w:rPr>
      </w:pPr>
      <w:r>
        <w:rPr>
          <w:rFonts w:ascii="Times New Roman" w:cs="Times New Roman" w:eastAsia="Times New Roman" w:hAnsi="Times New Roman"/>
          <w:sz w:val="20"/>
          <w:szCs w:val="20"/>
          <w:color w:val="auto"/>
        </w:rPr>
        <w:t>thereof with respect to Base Rate Loans (other than Swingline Loans) and Canadian Revolving Credit Loans, $2,000,000 or a whole multiple of $500,000 in excess thereof with respect to SOFR Loans and</w:t>
      </w:r>
    </w:p>
    <w:p>
      <w:pPr>
        <w:spacing w:after="0" w:line="1" w:lineRule="exact"/>
        <w:rPr>
          <w:sz w:val="20"/>
          <w:szCs w:val="20"/>
          <w:color w:val="auto"/>
        </w:rPr>
      </w:pPr>
    </w:p>
    <w:p>
      <w:pPr>
        <w:jc w:val="both"/>
        <w:ind w:left="680"/>
        <w:spacing w:after="0" w:line="246" w:lineRule="auto"/>
        <w:rPr>
          <w:sz w:val="20"/>
          <w:szCs w:val="20"/>
          <w:color w:val="auto"/>
        </w:rPr>
      </w:pPr>
      <w:r>
        <w:rPr>
          <w:rFonts w:ascii="Times New Roman" w:cs="Times New Roman" w:eastAsia="Times New Roman" w:hAnsi="Times New Roman"/>
          <w:sz w:val="20"/>
          <w:szCs w:val="20"/>
          <w:color w:val="auto"/>
        </w:rPr>
        <w:t xml:space="preserve">$100,000 (or C$100,000) or a whole multiple of $100,000 (or C$100,000) in excess thereof with respect to Swingline Loans. A Notice of Prepayment received after 11:00 a.m. shall be deemed received on the next Business Day or US Government Securities Business Day, as applicable. Each such repayment shall be accompanied by any amount required to be paid pursuant to </w:t>
      </w:r>
      <w:r>
        <w:rPr>
          <w:rFonts w:ascii="Times New Roman" w:cs="Times New Roman" w:eastAsia="Times New Roman" w:hAnsi="Times New Roman"/>
          <w:sz w:val="20"/>
          <w:szCs w:val="20"/>
          <w:u w:val="single" w:color="auto"/>
          <w:color w:val="auto"/>
        </w:rPr>
        <w:t>Section 5.9</w:t>
      </w:r>
      <w:r>
        <w:rPr>
          <w:rFonts w:ascii="Times New Roman" w:cs="Times New Roman" w:eastAsia="Times New Roman" w:hAnsi="Times New Roman"/>
          <w:sz w:val="20"/>
          <w:szCs w:val="20"/>
          <w:color w:val="auto"/>
        </w:rPr>
        <w:t xml:space="preserve"> hereof. Notwithstanding the foregoing, any Notice of Prepayment delivered in connection with any refinancing of all of the Credit Facility with the proceeds of such refinancing or of any incurrence of Indebtedness, may be, if expressly so stated to be, contingent upon the consummation of such refinancing or incurrence and may be revoked by the Borrowers in the event such refinancing is not consummated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of such contingency shall not relieve any Borrower from its obligations in respect thereof under </w:t>
      </w:r>
      <w:r>
        <w:rPr>
          <w:rFonts w:ascii="Times New Roman" w:cs="Times New Roman" w:eastAsia="Times New Roman" w:hAnsi="Times New Roman"/>
          <w:sz w:val="20"/>
          <w:szCs w:val="20"/>
          <w:u w:val="single" w:color="auto"/>
          <w:color w:val="auto"/>
        </w:rPr>
        <w:t>Section 5.9</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jc w:val="both"/>
        <w:ind w:left="680" w:right="60" w:firstLine="646"/>
        <w:spacing w:after="0" w:line="255" w:lineRule="auto"/>
        <w:tabs>
          <w:tab w:leader="none" w:pos="1925"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Prepayment of Excess Proceeds</w:t>
      </w:r>
      <w:r>
        <w:rPr>
          <w:rFonts w:ascii="Times New Roman" w:cs="Times New Roman" w:eastAsia="Times New Roman" w:hAnsi="Times New Roman"/>
          <w:sz w:val="20"/>
          <w:szCs w:val="20"/>
          <w:color w:val="auto"/>
        </w:rPr>
        <w:t xml:space="preserve">. In the event proceeds remain after the prepayments of Term Loan Facility pursuant to </w:t>
      </w:r>
      <w:r>
        <w:rPr>
          <w:rFonts w:ascii="Times New Roman" w:cs="Times New Roman" w:eastAsia="Times New Roman" w:hAnsi="Times New Roman"/>
          <w:sz w:val="20"/>
          <w:szCs w:val="20"/>
          <w:u w:val="single" w:color="auto"/>
          <w:color w:val="auto"/>
        </w:rPr>
        <w:t>Section 4.4(b)</w:t>
      </w:r>
      <w:r>
        <w:rPr>
          <w:rFonts w:ascii="Times New Roman" w:cs="Times New Roman" w:eastAsia="Times New Roman" w:hAnsi="Times New Roman"/>
          <w:sz w:val="20"/>
          <w:szCs w:val="20"/>
          <w:color w:val="auto"/>
        </w:rPr>
        <w:t xml:space="preserve">, the amount of such excess proceeds shall be used on the date of the required prepayment under </w:t>
      </w:r>
      <w:r>
        <w:rPr>
          <w:rFonts w:ascii="Times New Roman" w:cs="Times New Roman" w:eastAsia="Times New Roman" w:hAnsi="Times New Roman"/>
          <w:sz w:val="20"/>
          <w:szCs w:val="20"/>
          <w:u w:val="single" w:color="auto"/>
          <w:color w:val="auto"/>
        </w:rPr>
        <w:t>Section 4.4(b)</w:t>
      </w:r>
      <w:r>
        <w:rPr>
          <w:rFonts w:ascii="Times New Roman" w:cs="Times New Roman" w:eastAsia="Times New Roman" w:hAnsi="Times New Roman"/>
          <w:sz w:val="20"/>
          <w:szCs w:val="20"/>
          <w:color w:val="auto"/>
        </w:rPr>
        <w:t xml:space="preserve"> to prepay the outstanding principal amount of the Revolving Credit Loans, without a corresponding reduction of the Revolving Credit Commitment, with remaining proceeds, if any, refunded to the Borrowers.</w:t>
      </w:r>
    </w:p>
    <w:p>
      <w:pPr>
        <w:spacing w:after="0" w:line="172" w:lineRule="exact"/>
        <w:rPr>
          <w:rFonts w:ascii="Times New Roman" w:cs="Times New Roman" w:eastAsia="Times New Roman" w:hAnsi="Times New Roman"/>
          <w:sz w:val="20"/>
          <w:szCs w:val="20"/>
          <w:color w:val="auto"/>
        </w:rPr>
      </w:pPr>
    </w:p>
    <w:p>
      <w:pPr>
        <w:jc w:val="both"/>
        <w:ind w:left="680" w:right="60" w:firstLine="646"/>
        <w:spacing w:after="0" w:line="257" w:lineRule="auto"/>
        <w:tabs>
          <w:tab w:leader="none" w:pos="1927"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Limitation on Prepayment of SOFR Loans </w:t>
      </w:r>
      <w:r>
        <w:rPr>
          <w:rFonts w:ascii="Times New Roman" w:cs="Times New Roman" w:eastAsia="Times New Roman" w:hAnsi="Times New Roman"/>
          <w:sz w:val="20"/>
          <w:szCs w:val="20"/>
          <w:color w:val="0000FF"/>
        </w:rPr>
        <w:t>and Term CORRA Loans</w:t>
      </w:r>
      <w:r>
        <w:rPr>
          <w:rFonts w:ascii="Times New Roman" w:cs="Times New Roman" w:eastAsia="Times New Roman" w:hAnsi="Times New Roman"/>
          <w:sz w:val="20"/>
          <w:szCs w:val="20"/>
          <w:color w:val="auto"/>
        </w:rPr>
        <w:t xml:space="preserve">. The Borrowers may not prepay any SOFR Loan </w:t>
      </w:r>
      <w:r>
        <w:rPr>
          <w:rFonts w:ascii="Times New Roman" w:cs="Times New Roman" w:eastAsia="Times New Roman" w:hAnsi="Times New Roman"/>
          <w:sz w:val="20"/>
          <w:szCs w:val="20"/>
          <w:u w:val="single" w:color="auto"/>
          <w:color w:val="0000FF"/>
        </w:rPr>
        <w:t>or Term CORRA Loan</w:t>
      </w:r>
      <w:r>
        <w:rPr>
          <w:rFonts w:ascii="Times New Roman" w:cs="Times New Roman" w:eastAsia="Times New Roman" w:hAnsi="Times New Roman"/>
          <w:sz w:val="20"/>
          <w:szCs w:val="20"/>
          <w:color w:val="auto"/>
        </w:rPr>
        <w:t xml:space="preserve"> on any day other than on the last day of the Interest Period applicable thereto unless such prepayment is accompanied by any amount required to be paid pursuant to </w:t>
      </w:r>
      <w:r>
        <w:rPr>
          <w:rFonts w:ascii="Times New Roman" w:cs="Times New Roman" w:eastAsia="Times New Roman" w:hAnsi="Times New Roman"/>
          <w:sz w:val="20"/>
          <w:szCs w:val="20"/>
          <w:u w:val="single" w:color="auto"/>
          <w:color w:val="auto"/>
        </w:rPr>
        <w:t>Section 5.9</w:t>
      </w:r>
      <w:r>
        <w:rPr>
          <w:rFonts w:ascii="Times New Roman" w:cs="Times New Roman" w:eastAsia="Times New Roman" w:hAnsi="Times New Roman"/>
          <w:sz w:val="20"/>
          <w:szCs w:val="20"/>
          <w:color w:val="auto"/>
        </w:rPr>
        <w:t xml:space="preserve"> hereof.</w:t>
      </w:r>
    </w:p>
    <w:p>
      <w:pPr>
        <w:spacing w:after="0" w:line="170" w:lineRule="exact"/>
        <w:rPr>
          <w:rFonts w:ascii="Times New Roman" w:cs="Times New Roman" w:eastAsia="Times New Roman" w:hAnsi="Times New Roman"/>
          <w:sz w:val="20"/>
          <w:szCs w:val="20"/>
          <w:color w:val="auto"/>
        </w:rPr>
      </w:pPr>
    </w:p>
    <w:p>
      <w:pPr>
        <w:ind w:left="680" w:right="60" w:firstLine="646"/>
        <w:spacing w:after="0" w:line="277" w:lineRule="auto"/>
        <w:tabs>
          <w:tab w:leader="none" w:pos="1919"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Hedge Agreements</w:t>
      </w:r>
      <w:r>
        <w:rPr>
          <w:rFonts w:ascii="Times New Roman" w:cs="Times New Roman" w:eastAsia="Times New Roman" w:hAnsi="Times New Roman"/>
          <w:sz w:val="20"/>
          <w:szCs w:val="20"/>
          <w:color w:val="auto"/>
        </w:rPr>
        <w:t>. No repayment or prepayment of the Loans pursuant to this Section shall affect any of the Borrowers’ obligations under any Hedge Agreement entered into with respect to the Loans.</w:t>
      </w:r>
    </w:p>
    <w:p>
      <w:pPr>
        <w:spacing w:after="0" w:line="151" w:lineRule="exact"/>
        <w:rPr>
          <w:sz w:val="20"/>
          <w:szCs w:val="20"/>
          <w:color w:val="auto"/>
        </w:rPr>
      </w:pPr>
    </w:p>
    <w:p>
      <w:pPr>
        <w:jc w:val="center"/>
        <w:ind w:right="-119"/>
        <w:spacing w:after="0"/>
        <w:tabs>
          <w:tab w:leader="none" w:pos="180" w:val="left"/>
        </w:tabs>
        <w:rPr>
          <w:sz w:val="20"/>
          <w:szCs w:val="20"/>
          <w:color w:val="auto"/>
        </w:rPr>
      </w:pPr>
      <w:r>
        <w:rPr>
          <w:rFonts w:ascii="Times New Roman" w:cs="Times New Roman" w:eastAsia="Times New Roman" w:hAnsi="Times New Roman"/>
          <w:sz w:val="20"/>
          <w:szCs w:val="20"/>
          <w:color w:val="auto"/>
        </w:rPr>
        <w:t>SECTION 2.5</w:t>
      </w:r>
      <w:r>
        <w:rPr>
          <w:sz w:val="20"/>
          <w:szCs w:val="20"/>
          <w:color w:val="auto"/>
        </w:rPr>
        <w:tab/>
      </w:r>
      <w:r>
        <w:rPr>
          <w:rFonts w:ascii="Times New Roman" w:cs="Times New Roman" w:eastAsia="Times New Roman" w:hAnsi="Times New Roman"/>
          <w:sz w:val="19"/>
          <w:szCs w:val="19"/>
          <w:u w:val="single" w:color="auto"/>
          <w:color w:val="auto"/>
        </w:rPr>
        <w:t>Permanent Reduction of the Revolving Credit Commitment</w:t>
      </w:r>
      <w:r>
        <w:rPr>
          <w:rFonts w:ascii="Times New Roman" w:cs="Times New Roman" w:eastAsia="Times New Roman" w:hAnsi="Times New Roman"/>
          <w:sz w:val="19"/>
          <w:szCs w:val="19"/>
          <w:color w:val="auto"/>
        </w:rPr>
        <w:t>.</w:t>
      </w:r>
    </w:p>
    <w:p>
      <w:pPr>
        <w:spacing w:after="0" w:line="225" w:lineRule="exact"/>
        <w:rPr>
          <w:sz w:val="20"/>
          <w:szCs w:val="20"/>
          <w:color w:val="auto"/>
        </w:rPr>
      </w:pPr>
    </w:p>
    <w:p>
      <w:pPr>
        <w:jc w:val="both"/>
        <w:ind w:left="680" w:right="40" w:firstLine="646"/>
        <w:spacing w:after="0" w:line="247" w:lineRule="auto"/>
        <w:tabs>
          <w:tab w:leader="none" w:pos="1927"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Voluntary Reduction</w:t>
      </w:r>
      <w:r>
        <w:rPr>
          <w:rFonts w:ascii="Times New Roman" w:cs="Times New Roman" w:eastAsia="Times New Roman" w:hAnsi="Times New Roman"/>
          <w:sz w:val="20"/>
          <w:szCs w:val="20"/>
          <w:color w:val="auto"/>
        </w:rPr>
        <w:t>. The Borrowers shall have the right at any time and from time to time, upon at least five (5) Business Days prior irrevocable written notice to the Administrative Agent, to permanently reduce, without premium or penalty, (i) the entire Revolving Credit Commitment at any time or (ii) portions of the Revolving Credit Commitment, from time to time, in an aggregate principal amount not less than $3,000,000 or any whole multiple of $1,000,000 in excess thereof. Any reduction of the Revolving Credit Commitment shall be applied to the Revolving Credit Commitment of each Revolving Credit Lender according to its Revolving Credit Commitment Percentage. All Commitment Fees accrued until the effective date of any termination of the Revolving Credit Commitment shall be paid on the effective date of such termination. No such reduction in the Revolving Credit Commitments shall reduce the Swingline Commitment or the L/C Sublimit (except as set forth in each respective definition). Notwithstanding the foregoing, any notice to reduce the Revolving Credit Commitment to zero delivered in connection with any refinancing of all of the Credit Facility with the proceeds of such refinancing or of any incurrence of Indebtedness, may be, if expressly so stated to be, contingent upon the consummation of such refinancing or incurrence and may be revoked by any Borrower in the event such refinancing is not consummated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of such contingency shall not relieve any Borrower from its obligations in respect thereof under </w:t>
      </w:r>
      <w:r>
        <w:rPr>
          <w:rFonts w:ascii="Times New Roman" w:cs="Times New Roman" w:eastAsia="Times New Roman" w:hAnsi="Times New Roman"/>
          <w:sz w:val="20"/>
          <w:szCs w:val="20"/>
          <w:u w:val="single" w:color="auto"/>
          <w:color w:val="auto"/>
        </w:rPr>
        <w:t>Section 5.9</w:t>
      </w:r>
      <w:r>
        <w:rPr>
          <w:rFonts w:ascii="Times New Roman" w:cs="Times New Roman" w:eastAsia="Times New Roman" w:hAnsi="Times New Roman"/>
          <w:sz w:val="20"/>
          <w:szCs w:val="20"/>
          <w:color w:val="auto"/>
        </w:rPr>
        <w:t>).</w:t>
      </w:r>
    </w:p>
    <w:p>
      <w:pPr>
        <w:spacing w:after="0" w:line="186" w:lineRule="exact"/>
        <w:rPr>
          <w:rFonts w:ascii="Times New Roman" w:cs="Times New Roman" w:eastAsia="Times New Roman" w:hAnsi="Times New Roman"/>
          <w:sz w:val="20"/>
          <w:szCs w:val="20"/>
          <w:color w:val="auto"/>
        </w:rPr>
      </w:pPr>
    </w:p>
    <w:p>
      <w:pPr>
        <w:jc w:val="both"/>
        <w:ind w:left="680" w:right="40" w:firstLine="646"/>
        <w:spacing w:after="0" w:line="257" w:lineRule="auto"/>
        <w:tabs>
          <w:tab w:leader="none" w:pos="1925"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Corresponding Payment</w:t>
      </w:r>
      <w:r>
        <w:rPr>
          <w:rFonts w:ascii="Times New Roman" w:cs="Times New Roman" w:eastAsia="Times New Roman" w:hAnsi="Times New Roman"/>
          <w:sz w:val="20"/>
          <w:szCs w:val="20"/>
          <w:color w:val="auto"/>
        </w:rPr>
        <w:t>. Each permanent reduction permitted pursuant to this Section shall be accompanied by a payment of principal sufficient to reduce the aggregate outstanding Revolving Credit Loans, Swingline Loans and L/C Obligations, as applicable, after such reduction to the Revolving</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412">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104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20"/>
          </w:cols>
          <w:pgMar w:left="320" w:top="1440" w:right="459" w:bottom="1440" w:gutter="0" w:footer="0" w:header="0"/>
        </w:sectPr>
      </w:pPr>
    </w:p>
    <w:bookmarkStart w:id="253" w:name="page254"/>
    <w:bookmarkEnd w:id="253"/>
    <w:p>
      <w:pPr>
        <w:spacing w:after="0" w:line="81" w:lineRule="exact"/>
        <w:rPr>
          <w:sz w:val="20"/>
          <w:szCs w:val="20"/>
          <w:color w:val="auto"/>
        </w:rPr>
      </w:pPr>
    </w:p>
    <w:p>
      <w:pPr>
        <w:ind w:left="680"/>
        <w:spacing w:after="0" w:line="277" w:lineRule="auto"/>
        <w:rPr>
          <w:sz w:val="20"/>
          <w:szCs w:val="20"/>
          <w:color w:val="auto"/>
        </w:rPr>
      </w:pPr>
      <w:r>
        <w:rPr>
          <w:rFonts w:ascii="Times New Roman" w:cs="Times New Roman" w:eastAsia="Times New Roman" w:hAnsi="Times New Roman"/>
          <w:sz w:val="20"/>
          <w:szCs w:val="20"/>
          <w:color w:val="auto"/>
        </w:rPr>
        <w:t>Credit Commitment as so reduced, and if the aggregate amount of all outstanding Letters of Credit exceeds the Revolving Credit Commitment as so reduced, the applicable Borrower shall be required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413">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105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080"/>
          </w:cols>
          <w:pgMar w:left="320" w:top="1440" w:right="499" w:bottom="1440" w:gutter="0" w:footer="0" w:header="0"/>
        </w:sectPr>
      </w:pPr>
    </w:p>
    <w:bookmarkStart w:id="254" w:name="page255"/>
    <w:bookmarkEnd w:id="254"/>
    <w:p>
      <w:pPr>
        <w:spacing w:after="0" w:line="202" w:lineRule="exact"/>
        <w:rPr>
          <w:sz w:val="20"/>
          <w:szCs w:val="20"/>
          <w:color w:val="auto"/>
        </w:rPr>
      </w:pPr>
    </w:p>
    <w:p>
      <w:pPr>
        <w:jc w:val="both"/>
        <w:ind w:left="680"/>
        <w:spacing w:after="0" w:line="248" w:lineRule="auto"/>
        <w:rPr>
          <w:sz w:val="20"/>
          <w:szCs w:val="20"/>
          <w:color w:val="auto"/>
        </w:rPr>
      </w:pPr>
      <w:r>
        <w:rPr>
          <w:rFonts w:ascii="Times New Roman" w:cs="Times New Roman" w:eastAsia="Times New Roman" w:hAnsi="Times New Roman"/>
          <w:sz w:val="20"/>
          <w:szCs w:val="20"/>
          <w:color w:val="auto"/>
        </w:rPr>
        <w:t xml:space="preserve">deposit Cash Collateral in a Cash Collateral account opened by the Administrative Agent in an amount equal to such excess. Such Cash Collateral shall be applied in accordance with </w:t>
      </w:r>
      <w:r>
        <w:rPr>
          <w:rFonts w:ascii="Times New Roman" w:cs="Times New Roman" w:eastAsia="Times New Roman" w:hAnsi="Times New Roman"/>
          <w:sz w:val="20"/>
          <w:szCs w:val="20"/>
          <w:u w:val="single" w:color="auto"/>
          <w:color w:val="auto"/>
        </w:rPr>
        <w:t>Section 10.2(b)</w:t>
      </w:r>
      <w:r>
        <w:rPr>
          <w:rFonts w:ascii="Times New Roman" w:cs="Times New Roman" w:eastAsia="Times New Roman" w:hAnsi="Times New Roman"/>
          <w:sz w:val="20"/>
          <w:szCs w:val="20"/>
          <w:color w:val="auto"/>
        </w:rPr>
        <w:t xml:space="preserve">. Any reduction of the Revolving Credit Commitment to zero shall be accompanied by payment of all outstanding Revolving Credit Loans and Swingline Loans (and furnishing of Cash Collateral satisfactory to the Administrative Agent for all L/C Obligations) and shall result in the termination of the Revolving Credit Commitment and the Swingline Commitment and the Revolving Credit Facility. If the reduction of the Revolving Credit Commitment requires the repayment of any SOFR Loan, such repayment shall be accompanied by any amount required to be paid pursuant to </w:t>
      </w:r>
      <w:r>
        <w:rPr>
          <w:rFonts w:ascii="Times New Roman" w:cs="Times New Roman" w:eastAsia="Times New Roman" w:hAnsi="Times New Roman"/>
          <w:sz w:val="20"/>
          <w:szCs w:val="20"/>
          <w:u w:val="single" w:color="auto"/>
          <w:color w:val="auto"/>
        </w:rPr>
        <w:t>Section 5.9</w:t>
      </w:r>
      <w:r>
        <w:rPr>
          <w:rFonts w:ascii="Times New Roman" w:cs="Times New Roman" w:eastAsia="Times New Roman" w:hAnsi="Times New Roman"/>
          <w:sz w:val="20"/>
          <w:szCs w:val="20"/>
          <w:color w:val="auto"/>
        </w:rPr>
        <w:t xml:space="preserve"> hereof.</w:t>
      </w:r>
    </w:p>
    <w:p>
      <w:pPr>
        <w:spacing w:after="0" w:line="182" w:lineRule="exact"/>
        <w:rPr>
          <w:sz w:val="20"/>
          <w:szCs w:val="20"/>
          <w:color w:val="auto"/>
        </w:rPr>
      </w:pPr>
    </w:p>
    <w:p>
      <w:pPr>
        <w:ind w:left="680" w:right="40" w:firstLine="642"/>
        <w:spacing w:after="0" w:line="277" w:lineRule="auto"/>
        <w:rPr>
          <w:sz w:val="20"/>
          <w:szCs w:val="20"/>
          <w:color w:val="auto"/>
        </w:rPr>
      </w:pPr>
      <w:r>
        <w:rPr>
          <w:rFonts w:ascii="Times New Roman" w:cs="Times New Roman" w:eastAsia="Times New Roman" w:hAnsi="Times New Roman"/>
          <w:sz w:val="20"/>
          <w:szCs w:val="20"/>
          <w:color w:val="auto"/>
        </w:rPr>
        <w:t xml:space="preserve">SECTION 2.6 </w:t>
      </w:r>
      <w:r>
        <w:rPr>
          <w:rFonts w:ascii="Times New Roman" w:cs="Times New Roman" w:eastAsia="Times New Roman" w:hAnsi="Times New Roman"/>
          <w:sz w:val="20"/>
          <w:szCs w:val="20"/>
          <w:u w:val="single" w:color="auto"/>
          <w:color w:val="auto"/>
        </w:rPr>
        <w:t>Termination of Revolving Credit Facility</w:t>
      </w:r>
      <w:r>
        <w:rPr>
          <w:rFonts w:ascii="Times New Roman" w:cs="Times New Roman" w:eastAsia="Times New Roman" w:hAnsi="Times New Roman"/>
          <w:sz w:val="20"/>
          <w:szCs w:val="20"/>
          <w:color w:val="auto"/>
        </w:rPr>
        <w:t>. The Revolving Credit Facility and the Revolving Credit Commitments shall terminate on the Revolving Credit Maturity Date (after giving effect to any Extension).</w:t>
      </w:r>
    </w:p>
    <w:p>
      <w:pPr>
        <w:spacing w:after="0" w:line="15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ARTICLE III</w:t>
      </w:r>
    </w:p>
    <w:p>
      <w:pPr>
        <w:spacing w:after="0" w:line="23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LETTER OF CREDIT FACILITY</w:t>
      </w:r>
    </w:p>
    <w:p>
      <w:pPr>
        <w:spacing w:after="0" w:line="211" w:lineRule="exact"/>
        <w:rPr>
          <w:sz w:val="20"/>
          <w:szCs w:val="20"/>
          <w:color w:val="auto"/>
        </w:rPr>
      </w:pPr>
    </w:p>
    <w:p>
      <w:pPr>
        <w:ind w:left="1320"/>
        <w:spacing w:after="0"/>
        <w:tabs>
          <w:tab w:leader="none" w:pos="2620" w:val="left"/>
        </w:tabs>
        <w:rPr>
          <w:sz w:val="20"/>
          <w:szCs w:val="20"/>
          <w:color w:val="auto"/>
        </w:rPr>
      </w:pPr>
      <w:r>
        <w:rPr>
          <w:rFonts w:ascii="Times New Roman" w:cs="Times New Roman" w:eastAsia="Times New Roman" w:hAnsi="Times New Roman"/>
          <w:sz w:val="20"/>
          <w:szCs w:val="20"/>
          <w:color w:val="auto"/>
        </w:rPr>
        <w:t>SECTION 3.1</w:t>
      </w:r>
      <w:r>
        <w:rPr>
          <w:sz w:val="20"/>
          <w:szCs w:val="20"/>
          <w:color w:val="auto"/>
        </w:rPr>
        <w:tab/>
      </w:r>
      <w:r>
        <w:rPr>
          <w:rFonts w:ascii="Times New Roman" w:cs="Times New Roman" w:eastAsia="Times New Roman" w:hAnsi="Times New Roman"/>
          <w:sz w:val="19"/>
          <w:szCs w:val="19"/>
          <w:u w:val="single" w:color="auto"/>
          <w:color w:val="auto"/>
        </w:rPr>
        <w:t>L/C Facility</w:t>
      </w:r>
      <w:r>
        <w:rPr>
          <w:rFonts w:ascii="Times New Roman" w:cs="Times New Roman" w:eastAsia="Times New Roman" w:hAnsi="Times New Roman"/>
          <w:sz w:val="19"/>
          <w:szCs w:val="19"/>
          <w:color w:val="auto"/>
        </w:rPr>
        <w:t>.</w:t>
      </w:r>
    </w:p>
    <w:p>
      <w:pPr>
        <w:spacing w:after="0" w:line="225" w:lineRule="exact"/>
        <w:rPr>
          <w:sz w:val="20"/>
          <w:szCs w:val="20"/>
          <w:color w:val="auto"/>
        </w:rPr>
      </w:pPr>
    </w:p>
    <w:p>
      <w:pPr>
        <w:ind w:left="680" w:right="40" w:firstLine="646"/>
        <w:spacing w:after="0" w:line="251" w:lineRule="auto"/>
        <w:tabs>
          <w:tab w:leader="none" w:pos="1927"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Availability</w:t>
      </w:r>
      <w:r>
        <w:rPr>
          <w:rFonts w:ascii="Times New Roman" w:cs="Times New Roman" w:eastAsia="Times New Roman" w:hAnsi="Times New Roman"/>
          <w:sz w:val="20"/>
          <w:szCs w:val="20"/>
          <w:color w:val="auto"/>
        </w:rPr>
        <w:t xml:space="preserve">. Subject to the terms and conditions hereof, each applicable Issuing Lender, in reliance on the agreements of the Revolving Credit Lenders set forth in </w:t>
      </w:r>
      <w:r>
        <w:rPr>
          <w:rFonts w:ascii="Times New Roman" w:cs="Times New Roman" w:eastAsia="Times New Roman" w:hAnsi="Times New Roman"/>
          <w:sz w:val="20"/>
          <w:szCs w:val="20"/>
          <w:u w:val="single" w:color="auto"/>
          <w:color w:val="auto"/>
        </w:rPr>
        <w:t>Section 3.4(a)</w:t>
      </w:r>
      <w:r>
        <w:rPr>
          <w:rFonts w:ascii="Times New Roman" w:cs="Times New Roman" w:eastAsia="Times New Roman" w:hAnsi="Times New Roman"/>
          <w:sz w:val="20"/>
          <w:szCs w:val="20"/>
          <w:color w:val="auto"/>
        </w:rPr>
        <w:t>, agrees to issue</w:t>
      </w:r>
    </w:p>
    <w:p>
      <w:pPr>
        <w:spacing w:after="0" w:line="1" w:lineRule="exact"/>
        <w:rPr>
          <w:rFonts w:ascii="Times New Roman" w:cs="Times New Roman" w:eastAsia="Times New Roman" w:hAnsi="Times New Roman"/>
          <w:sz w:val="20"/>
          <w:szCs w:val="20"/>
          <w:color w:val="auto"/>
        </w:rPr>
      </w:pPr>
    </w:p>
    <w:p>
      <w:pPr>
        <w:jc w:val="both"/>
        <w:ind w:left="680" w:right="20" w:firstLine="4"/>
        <w:spacing w:after="0" w:line="245" w:lineRule="auto"/>
        <w:tabs>
          <w:tab w:leader="none" w:pos="916"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standby or commercial US Letters of Credit in an aggregate amount not to exceed its L/C Commitment for the account of the US Borrowers or, subject to </w:t>
      </w:r>
      <w:r>
        <w:rPr>
          <w:rFonts w:ascii="Times New Roman" w:cs="Times New Roman" w:eastAsia="Times New Roman" w:hAnsi="Times New Roman"/>
          <w:sz w:val="20"/>
          <w:szCs w:val="20"/>
          <w:u w:val="single" w:color="auto"/>
          <w:color w:val="auto"/>
        </w:rPr>
        <w:t>Section 3.10</w:t>
      </w:r>
      <w:r>
        <w:rPr>
          <w:rFonts w:ascii="Times New Roman" w:cs="Times New Roman" w:eastAsia="Times New Roman" w:hAnsi="Times New Roman"/>
          <w:sz w:val="20"/>
          <w:szCs w:val="20"/>
          <w:color w:val="auto"/>
        </w:rPr>
        <w:t xml:space="preserve">, any US Subsidiary or Affiliate thereof that is organized under the laws of the United States, any State thereof or the District of Columbia and (ii) standby or commercial Canadian Letters of Credit in an aggregate amount not to exceed its L/C Commitment for the account of the Canadian Borrowers or, subject to </w:t>
      </w:r>
      <w:r>
        <w:rPr>
          <w:rFonts w:ascii="Times New Roman" w:cs="Times New Roman" w:eastAsia="Times New Roman" w:hAnsi="Times New Roman"/>
          <w:sz w:val="20"/>
          <w:szCs w:val="20"/>
          <w:u w:val="single" w:color="auto"/>
          <w:color w:val="auto"/>
        </w:rPr>
        <w:t>Section 3.10</w:t>
      </w:r>
      <w:r>
        <w:rPr>
          <w:rFonts w:ascii="Times New Roman" w:cs="Times New Roman" w:eastAsia="Times New Roman" w:hAnsi="Times New Roman"/>
          <w:sz w:val="20"/>
          <w:szCs w:val="20"/>
          <w:color w:val="auto"/>
        </w:rPr>
        <w:t>, any Canadian Subsidiary or Affiliate thereof that is organized under the laws of Canada or any province or territory thereof, in each case, on any Business Day from the Closing Date through but not including the thirtieth (30</w:t>
      </w:r>
      <w:r>
        <w:rPr>
          <w:rFonts w:ascii="Times New Roman" w:cs="Times New Roman" w:eastAsia="Times New Roman" w:hAnsi="Times New Roman"/>
          <w:sz w:val="12"/>
          <w:szCs w:val="12"/>
          <w:color w:val="auto"/>
        </w:rPr>
        <w:t>th</w:t>
      </w:r>
      <w:r>
        <w:rPr>
          <w:rFonts w:ascii="Times New Roman" w:cs="Times New Roman" w:eastAsia="Times New Roman" w:hAnsi="Times New Roman"/>
          <w:sz w:val="20"/>
          <w:szCs w:val="20"/>
          <w:color w:val="auto"/>
        </w:rPr>
        <w:t xml:space="preserve">) Business Day prior to the Revolving Credit Maturity Date in such form as may be approved from time to time by the applicable Issuing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 Issuing Lender shall issue any Letter of Credit if, after giving effect to such issuance, (A) the L/C Obligations would exceed the L/C Sublimit, (B) the Revolving Credit Outstandings would exceed the Revolving Credit Commitment or</w:t>
      </w:r>
    </w:p>
    <w:p>
      <w:pPr>
        <w:spacing w:after="0" w:line="8" w:lineRule="exact"/>
        <w:rPr>
          <w:rFonts w:ascii="Times New Roman" w:cs="Times New Roman" w:eastAsia="Times New Roman" w:hAnsi="Times New Roman"/>
          <w:sz w:val="20"/>
          <w:szCs w:val="20"/>
          <w:color w:val="auto"/>
        </w:rPr>
      </w:pPr>
    </w:p>
    <w:p>
      <w:pPr>
        <w:jc w:val="both"/>
        <w:ind w:left="680" w:right="40"/>
        <w:spacing w:after="0" w:line="24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 the L/C Obligations with respect to Letters of Credit issued by such Issuing Lender would exceed such Issuing Lender’s L/C Commitment. Each Letter of Credit (1) (x) to be denominated in Dollars shall, in the case of a commercial US Letter of Credit, be in a minimum amount of $100,000 and, in the case of a standby US Letter of Credit, be in a minimum amount of $100,000 (or such lesser amounts as agreed to by the applicable Issuing Lender and the Administrative Agent), and (y) to be denominated in Canadian Dollars shall, in the case of a commercial Canadian Letter of Credit, be in a minimum amount of C$100,000 and, in the case of a standby Canadian Letter of Credit, be in a minimum amount of C$100,000 (or such lesser amounts as agreed to by the applicable Issuing Lender and the Administrative Agent), (2) except as agreed to by the Administrative Agent and the applicable Issuing Lender with respect to any Existing Letter of Credit, shall expire on a date no more than twelve (12) months after the date of issuance or last renewal of such Letter of Credit (subject to automatic renewal for additional one</w:t>
      </w:r>
    </w:p>
    <w:p>
      <w:pPr>
        <w:jc w:val="both"/>
        <w:ind w:left="680"/>
        <w:spacing w:after="0" w:line="24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 year periods pursuant to the terms of the Letter of Credit Application or other documentation acceptable to the applicable Issuing Lender), (3) shall expire no later than the fifth (5th) Business Day prior to the Revolving Credit Maturity Date (except that if agreed to by the applicable Issuing Lender and the Administrative Agent, any Existing Letter of Credit may expire after such date so long as such Existing Letter of Credit is Cash Collateralized pursuant to documentation and on terms and conditions acceptable to such Issuing Lender and the Administrative Agent no later than the date that is 91 days prior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414">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106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255" w:name="page256"/>
    <w:bookmarkEnd w:id="255"/>
    <w:p>
      <w:pPr>
        <w:ind w:left="680"/>
        <w:spacing w:after="0" w:line="277" w:lineRule="auto"/>
        <w:rPr>
          <w:sz w:val="20"/>
          <w:szCs w:val="20"/>
          <w:color w:val="auto"/>
        </w:rPr>
      </w:pPr>
      <w:r>
        <w:rPr>
          <w:rFonts w:ascii="Times New Roman" w:cs="Times New Roman" w:eastAsia="Times New Roman" w:hAnsi="Times New Roman"/>
          <w:sz w:val="20"/>
          <w:szCs w:val="20"/>
          <w:color w:val="auto"/>
        </w:rPr>
        <w:t>to the Revolving Credit Maturity Date), (4) with respect to each US Letter of Credit, shall be subject to the Uniform Customs, in the case of a commercial Letter of Credit, or ISP98, in the case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415">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107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080"/>
          </w:cols>
          <w:pgMar w:left="320" w:top="1320" w:right="499" w:bottom="1440" w:gutter="0" w:footer="0" w:header="0"/>
        </w:sectPr>
      </w:pPr>
    </w:p>
    <w:bookmarkStart w:id="256" w:name="page257"/>
    <w:bookmarkEnd w:id="256"/>
    <w:p>
      <w:pPr>
        <w:spacing w:after="0" w:line="202" w:lineRule="exact"/>
        <w:rPr>
          <w:sz w:val="20"/>
          <w:szCs w:val="20"/>
          <w:color w:val="auto"/>
        </w:rPr>
      </w:pPr>
    </w:p>
    <w:p>
      <w:pPr>
        <w:jc w:val="both"/>
        <w:ind w:left="680"/>
        <w:spacing w:after="0" w:line="247" w:lineRule="auto"/>
        <w:rPr>
          <w:sz w:val="20"/>
          <w:szCs w:val="20"/>
          <w:color w:val="auto"/>
        </w:rPr>
      </w:pPr>
      <w:r>
        <w:rPr>
          <w:rFonts w:ascii="Times New Roman" w:cs="Times New Roman" w:eastAsia="Times New Roman" w:hAnsi="Times New Roman"/>
          <w:sz w:val="20"/>
          <w:szCs w:val="20"/>
          <w:color w:val="auto"/>
        </w:rPr>
        <w:t xml:space="preserve">standby Letter of Credit, in each case, as set forth in the Letter of Credit Application or as determined by the applicable Issuing Lender and, to the extent not inconsistent therewith, the laws of the State of New York and (5) with respect to each Canadian Letter of Credit, shall be subject to the law set forth in the Letter of Credit Application or as agreed by the applicable Issuing Lender and the Canadian Borrowers. No Issuing Lender shall at any time be obligated to issue any Letter of Credit hereunder if (A) any order, judgment or decree of any Governmental Authority or arbitrator shall by its terms purport to enjoin or restrain such Issuing Lender from issuing such Letter of Credit, or any Applicable Law applicable to such Issuing Lender or any request or directive (whether or not having the force of law) from any Governmental Authority with jurisdiction over such Issuing Lender shall prohibit, or request that such Issuing Lender refrain from, the issuance of letters of credit generally or such Letter of Credit in particular or shall impose upon such Issuing Lender with respect to letters of credit generally or such Letter of Credit in particular any restriction or reserve or capital requirement (for which such Issuing Lender is not otherwise compensated) not in effect on the Closing Date, or any unreimbursed loss, cost or expense that was not applicable, in effect as of the Closing Date and that such Issuing Lender in good faith deems material to it, (B) the conditions set forth in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are not satisfied or (C) the beneficiary of such Letter of Credit is a Sanctioned Person. References herein to “issue” and derivations thereof with respect to Letters of Credit shall also include extensions or modifications of any outstanding Letters of Credit, unless the context otherwise requires. As of the Closing Date, each of the Existing Letters of Credit shall constitute, for all purposes of this Agreement and the other Loan Documents, a Letter of Credit issued and outstanding hereunder.</w:t>
      </w:r>
    </w:p>
    <w:p>
      <w:pPr>
        <w:spacing w:after="0" w:line="172" w:lineRule="exact"/>
        <w:rPr>
          <w:sz w:val="20"/>
          <w:szCs w:val="20"/>
          <w:color w:val="auto"/>
        </w:rPr>
      </w:pPr>
    </w:p>
    <w:p>
      <w:pPr>
        <w:ind w:left="680" w:right="60" w:firstLine="646"/>
        <w:spacing w:after="0" w:line="263" w:lineRule="auto"/>
        <w:tabs>
          <w:tab w:leader="none" w:pos="1925"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Lenders</w:t>
      </w:r>
      <w:r>
        <w:rPr>
          <w:rFonts w:ascii="Times New Roman" w:cs="Times New Roman" w:eastAsia="Times New Roman" w:hAnsi="Times New Roman"/>
          <w:sz w:val="20"/>
          <w:szCs w:val="20"/>
          <w:color w:val="auto"/>
        </w:rPr>
        <w:t xml:space="preserve">. Notwithstanding anything to the contrary contained in this Agreement,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shall be subject to the terms and conditions of </w:t>
      </w:r>
      <w:r>
        <w:rPr>
          <w:rFonts w:ascii="Times New Roman" w:cs="Times New Roman" w:eastAsia="Times New Roman" w:hAnsi="Times New Roman"/>
          <w:sz w:val="20"/>
          <w:szCs w:val="20"/>
          <w:u w:val="single" w:color="auto"/>
          <w:color w:val="auto"/>
        </w:rPr>
        <w:t>Section 5.14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5.15</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jc w:val="both"/>
        <w:ind w:left="680" w:firstLine="642"/>
        <w:spacing w:after="0" w:line="247" w:lineRule="auto"/>
        <w:rPr>
          <w:sz w:val="20"/>
          <w:szCs w:val="20"/>
          <w:color w:val="auto"/>
        </w:rPr>
      </w:pPr>
      <w:r>
        <w:rPr>
          <w:rFonts w:ascii="Times New Roman" w:cs="Times New Roman" w:eastAsia="Times New Roman" w:hAnsi="Times New Roman"/>
          <w:sz w:val="20"/>
          <w:szCs w:val="20"/>
          <w:color w:val="auto"/>
        </w:rPr>
        <w:t xml:space="preserve">SECTION 3.2 </w:t>
      </w:r>
      <w:r>
        <w:rPr>
          <w:rFonts w:ascii="Times New Roman" w:cs="Times New Roman" w:eastAsia="Times New Roman" w:hAnsi="Times New Roman"/>
          <w:sz w:val="20"/>
          <w:szCs w:val="20"/>
          <w:u w:val="single" w:color="auto"/>
          <w:color w:val="auto"/>
        </w:rPr>
        <w:t>Procedure for Issuance of Letters of Credit</w:t>
      </w:r>
      <w:r>
        <w:rPr>
          <w:rFonts w:ascii="Times New Roman" w:cs="Times New Roman" w:eastAsia="Times New Roman" w:hAnsi="Times New Roman"/>
          <w:sz w:val="20"/>
          <w:szCs w:val="20"/>
          <w:color w:val="auto"/>
        </w:rPr>
        <w:t xml:space="preserve">. The (a) US Borrowers may from time to time request that any Issuing Lender issue a US Letter of Credit and (b) Canadian Borrowers may from time to time request that any Issuing Lender issue a Canadian Letter of Credit, in each case, by delivering to such Issuing Lender at its applicable office (with a copy to the Administrative Agent at the Administrative Agent’s Office) a Letter of Credit Application therefor, completed to the satisfaction of such Issuing Lender, and such other certificates, documents and other papers and information as such Issuing Lender or the Administrative Agent may request. Upon receipt of any Letter of Credit Application, the applicable Issuing Lender shall process such Letter of Credit Application and the certificates, documents and other papers and information delivered to it in connection therewith in accordance with its customary procedures and shall, subject to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promptly issue the Letter of Credit requested thereby (but in no event shall such Issuing Lender be required to issue any Letter of Credit earlier than three (3) Business Days after its receipt of the Letter of Credit Application therefor and all such other certificates, documents and other papers and information relating thereto) by issuing the original of such Letter of Credit to the beneficiary thereof or as otherwise may be agreed by such Issuing Lender and the applicable Borrower. The applicable Issuing Lender shall promptly furnish to the applicable Borrowers and the Administrative Agent a copy of such Letter of Credit and the Administrative Agent shall promptly notify each Revolving Credit Lender of the issuance and upon request by any Lender, furnish to such Revolving Credit Lender a copy of such Letter of Credit and the amount of such Revolving Credit Lender’s participation therein.</w:t>
      </w:r>
    </w:p>
    <w:p>
      <w:pPr>
        <w:spacing w:after="0" w:line="181" w:lineRule="exact"/>
        <w:rPr>
          <w:sz w:val="20"/>
          <w:szCs w:val="20"/>
          <w:color w:val="auto"/>
        </w:rPr>
      </w:pPr>
    </w:p>
    <w:p>
      <w:pPr>
        <w:ind w:left="1320"/>
        <w:spacing w:after="0"/>
        <w:tabs>
          <w:tab w:leader="none" w:pos="2620" w:val="left"/>
        </w:tabs>
        <w:rPr>
          <w:sz w:val="20"/>
          <w:szCs w:val="20"/>
          <w:color w:val="auto"/>
        </w:rPr>
      </w:pPr>
      <w:r>
        <w:rPr>
          <w:rFonts w:ascii="Times New Roman" w:cs="Times New Roman" w:eastAsia="Times New Roman" w:hAnsi="Times New Roman"/>
          <w:sz w:val="20"/>
          <w:szCs w:val="20"/>
          <w:color w:val="auto"/>
        </w:rPr>
        <w:t>SECTION 3.3</w:t>
      </w:r>
      <w:r>
        <w:rPr>
          <w:sz w:val="20"/>
          <w:szCs w:val="20"/>
          <w:color w:val="auto"/>
        </w:rPr>
        <w:tab/>
      </w:r>
      <w:r>
        <w:rPr>
          <w:rFonts w:ascii="Times New Roman" w:cs="Times New Roman" w:eastAsia="Times New Roman" w:hAnsi="Times New Roman"/>
          <w:sz w:val="19"/>
          <w:szCs w:val="19"/>
          <w:u w:val="single" w:color="auto"/>
          <w:color w:val="auto"/>
        </w:rPr>
        <w:t>Commissions and Other Charges</w:t>
      </w:r>
      <w:r>
        <w:rPr>
          <w:rFonts w:ascii="Times New Roman" w:cs="Times New Roman" w:eastAsia="Times New Roman" w:hAnsi="Times New Roman"/>
          <w:sz w:val="19"/>
          <w:szCs w:val="19"/>
          <w:color w:val="auto"/>
        </w:rPr>
        <w:t>.</w:t>
      </w:r>
    </w:p>
    <w:p>
      <w:pPr>
        <w:spacing w:after="0" w:line="211" w:lineRule="exact"/>
        <w:rPr>
          <w:sz w:val="20"/>
          <w:szCs w:val="20"/>
          <w:color w:val="auto"/>
        </w:rPr>
      </w:pPr>
    </w:p>
    <w:p>
      <w:pPr>
        <w:jc w:val="both"/>
        <w:ind w:left="680" w:right="20" w:firstLine="646"/>
        <w:spacing w:after="0" w:line="257" w:lineRule="auto"/>
        <w:tabs>
          <w:tab w:leader="none" w:pos="1927"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Letter of Credit Commissions</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5.15(a)(iii)(B)</w:t>
      </w:r>
      <w:r>
        <w:rPr>
          <w:rFonts w:ascii="Times New Roman" w:cs="Times New Roman" w:eastAsia="Times New Roman" w:hAnsi="Times New Roman"/>
          <w:sz w:val="20"/>
          <w:szCs w:val="20"/>
          <w:color w:val="auto"/>
        </w:rPr>
        <w:t>, Centuri shall pay to the Administrative Agent, for the account of the applicable Issuing Lender and the L/C Participants, a letter of credit commission with respect to each Letter of Credit in the amount equal to the daily amount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416">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108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20"/>
          </w:cols>
          <w:pgMar w:left="320" w:top="1440" w:right="459" w:bottom="1440" w:gutter="0" w:footer="0" w:header="0"/>
        </w:sectPr>
      </w:pPr>
    </w:p>
    <w:bookmarkStart w:id="257" w:name="page258"/>
    <w:bookmarkEnd w:id="257"/>
    <w:p>
      <w:pPr>
        <w:spacing w:after="0" w:line="95" w:lineRule="exact"/>
        <w:rPr>
          <w:sz w:val="20"/>
          <w:szCs w:val="20"/>
          <w:color w:val="auto"/>
        </w:rPr>
      </w:pPr>
    </w:p>
    <w:p>
      <w:pPr>
        <w:ind w:left="680"/>
        <w:spacing w:after="0" w:line="277" w:lineRule="auto"/>
        <w:rPr>
          <w:sz w:val="20"/>
          <w:szCs w:val="20"/>
          <w:color w:val="auto"/>
        </w:rPr>
      </w:pPr>
      <w:r>
        <w:rPr>
          <w:rFonts w:ascii="Times New Roman" w:cs="Times New Roman" w:eastAsia="Times New Roman" w:hAnsi="Times New Roman"/>
          <w:sz w:val="20"/>
          <w:szCs w:val="20"/>
          <w:color w:val="auto"/>
        </w:rPr>
        <w:t>available to be drawn under such Letters of Credit times 50% of the Applicable Margin with respect to Revolving Credit Loans that are SOFR Loans (determined, in each case, on a per annum basis).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417">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109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258" w:name="page259"/>
    <w:bookmarkEnd w:id="258"/>
    <w:p>
      <w:pPr>
        <w:spacing w:after="0" w:line="202" w:lineRule="exact"/>
        <w:rPr>
          <w:sz w:val="20"/>
          <w:szCs w:val="20"/>
          <w:color w:val="auto"/>
        </w:rPr>
      </w:pPr>
    </w:p>
    <w:p>
      <w:pPr>
        <w:jc w:val="both"/>
        <w:ind w:left="680" w:right="40"/>
        <w:spacing w:after="0" w:line="250" w:lineRule="auto"/>
        <w:rPr>
          <w:sz w:val="20"/>
          <w:szCs w:val="20"/>
          <w:color w:val="auto"/>
        </w:rPr>
      </w:pPr>
      <w:r>
        <w:rPr>
          <w:rFonts w:ascii="Times New Roman" w:cs="Times New Roman" w:eastAsia="Times New Roman" w:hAnsi="Times New Roman"/>
          <w:sz w:val="20"/>
          <w:szCs w:val="20"/>
          <w:color w:val="auto"/>
        </w:rPr>
        <w:t xml:space="preserve">commission shall be payable quarterly in arrears on the last Business Day of each calendar quarter, on the Revolving Credit Maturity Date and thereafter on demand of the Administrative Agent. The Administrative Agent shall, promptly following its receipt thereof, distribute to the applicable Issuing Lender and the L/C Participants all commissions received pursuant to this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in accordance with their respective Revolving Credit Commitment Percentages.</w:t>
      </w:r>
    </w:p>
    <w:p>
      <w:pPr>
        <w:spacing w:after="0" w:line="192" w:lineRule="exact"/>
        <w:rPr>
          <w:sz w:val="20"/>
          <w:szCs w:val="20"/>
          <w:color w:val="auto"/>
        </w:rPr>
      </w:pPr>
    </w:p>
    <w:p>
      <w:pPr>
        <w:jc w:val="both"/>
        <w:ind w:left="680" w:right="40" w:firstLine="646"/>
        <w:spacing w:after="0" w:line="250" w:lineRule="auto"/>
        <w:tabs>
          <w:tab w:leader="none" w:pos="1925"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Issuance Fee</w:t>
      </w:r>
      <w:r>
        <w:rPr>
          <w:rFonts w:ascii="Times New Roman" w:cs="Times New Roman" w:eastAsia="Times New Roman" w:hAnsi="Times New Roman"/>
          <w:sz w:val="20"/>
          <w:szCs w:val="20"/>
          <w:color w:val="auto"/>
        </w:rPr>
        <w:t>. In addition to the foregoing commission, the applicable Borrower shall pay directly to the applicable Issuing Lender, for its own account, an issuance fee with respect to each Letter of Credit issued by such Issuing Lender as set forth in the applicable Fee Letter executed by such Issuing Lender. Such issuance fee shall be payable quarterly in arrears on the last Business Day of each calendar quarter commencing with the first such date to occur after the issuance of such Letter of Credit, on the Revolving Credit Maturity Date and thereafter on demand of the applicable Issuing Lender. For the avoidance of doubt, such issuance fee shall be applicable to and paid upon each of the Existing Letters of Credit.</w:t>
      </w:r>
    </w:p>
    <w:p>
      <w:pPr>
        <w:spacing w:after="0" w:line="180" w:lineRule="exact"/>
        <w:rPr>
          <w:rFonts w:ascii="Times New Roman" w:cs="Times New Roman" w:eastAsia="Times New Roman" w:hAnsi="Times New Roman"/>
          <w:sz w:val="20"/>
          <w:szCs w:val="20"/>
          <w:color w:val="auto"/>
        </w:rPr>
      </w:pPr>
    </w:p>
    <w:p>
      <w:pPr>
        <w:jc w:val="both"/>
        <w:ind w:left="680" w:right="40" w:firstLine="646"/>
        <w:spacing w:after="0" w:line="276" w:lineRule="auto"/>
        <w:tabs>
          <w:tab w:leader="none" w:pos="1927"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Other Fees, Costs, Charges and Expenses</w:t>
      </w:r>
      <w:r>
        <w:rPr>
          <w:rFonts w:ascii="Times New Roman" w:cs="Times New Roman" w:eastAsia="Times New Roman" w:hAnsi="Times New Roman"/>
          <w:sz w:val="19"/>
          <w:szCs w:val="19"/>
          <w:color w:val="auto"/>
        </w:rPr>
        <w:t>. In addition to the foregoing fees and commissions, the Borrowers shall pay or reimburse each Issuing Lender for such normal and customary fees, costs, charges and expenses as are incurred or charged by such Issuing Lender in issuing, effecting payment under, amending or otherwise administering any Letter of Credit issued by it.</w:t>
      </w:r>
    </w:p>
    <w:p>
      <w:pPr>
        <w:spacing w:after="0" w:line="156" w:lineRule="exact"/>
        <w:rPr>
          <w:sz w:val="20"/>
          <w:szCs w:val="20"/>
          <w:color w:val="auto"/>
        </w:rPr>
      </w:pPr>
    </w:p>
    <w:p>
      <w:pPr>
        <w:ind w:left="1320"/>
        <w:spacing w:after="0"/>
        <w:tabs>
          <w:tab w:leader="none" w:pos="2620" w:val="left"/>
        </w:tabs>
        <w:rPr>
          <w:sz w:val="20"/>
          <w:szCs w:val="20"/>
          <w:color w:val="auto"/>
        </w:rPr>
      </w:pPr>
      <w:r>
        <w:rPr>
          <w:rFonts w:ascii="Times New Roman" w:cs="Times New Roman" w:eastAsia="Times New Roman" w:hAnsi="Times New Roman"/>
          <w:sz w:val="20"/>
          <w:szCs w:val="20"/>
          <w:color w:val="auto"/>
        </w:rPr>
        <w:t>SECTION 3.4</w:t>
      </w:r>
      <w:r>
        <w:rPr>
          <w:sz w:val="20"/>
          <w:szCs w:val="20"/>
          <w:color w:val="auto"/>
        </w:rPr>
        <w:tab/>
      </w:r>
      <w:r>
        <w:rPr>
          <w:rFonts w:ascii="Times New Roman" w:cs="Times New Roman" w:eastAsia="Times New Roman" w:hAnsi="Times New Roman"/>
          <w:sz w:val="19"/>
          <w:szCs w:val="19"/>
          <w:u w:val="single" w:color="auto"/>
          <w:color w:val="auto"/>
        </w:rPr>
        <w:t>L/C Participations</w:t>
      </w:r>
      <w:r>
        <w:rPr>
          <w:rFonts w:ascii="Times New Roman" w:cs="Times New Roman" w:eastAsia="Times New Roman" w:hAnsi="Times New Roman"/>
          <w:sz w:val="19"/>
          <w:szCs w:val="19"/>
          <w:color w:val="auto"/>
        </w:rPr>
        <w:t>.</w:t>
      </w:r>
    </w:p>
    <w:p>
      <w:pPr>
        <w:spacing w:after="0" w:line="225" w:lineRule="exact"/>
        <w:rPr>
          <w:sz w:val="20"/>
          <w:szCs w:val="20"/>
          <w:color w:val="auto"/>
        </w:rPr>
      </w:pPr>
    </w:p>
    <w:p>
      <w:pPr>
        <w:jc w:val="both"/>
        <w:ind w:left="680" w:right="40" w:firstLine="646"/>
        <w:spacing w:after="0" w:line="248" w:lineRule="auto"/>
        <w:tabs>
          <w:tab w:leader="none" w:pos="1927"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Issuing Lender irrevocably agrees to grant and hereby grants to each L/C Participant, and, to induce each Issuing Lender to issue Letters of Credit hereunder, each L/C Participant irrevocably agrees to accept and purchase and hereby accepts and purchases from each Issuing Lender, on the terms and conditions hereinafter stated, for such L/C Participant’s own account and risk an undivided interest equal to such L/C Participant’s Revolving Credit Commitment Percentage in each Issuing Lender’s obligations and rights under and in respect of each Letter of Credit issued by it hereunder and the amount of each draft paid by such Issuing Lender thereunder. Each L/C Participant unconditionally and irrevocably agrees with each Issuing Lender that, if a draft is paid under any Letter of Credit issued by such Issuing Lender for which such Issuing Lender is not reimbursed in full by the Borrowers through a Revolving Credit Loan or otherwise in accordance with the terms of this Agreement, such L/C Participant shall pay to such Issuing Lender upon demand at such Issuing Lender’s address for notices specified herein an amount equal to such L/C Participant’s Revolving Credit Commitment Percentage of the amount of such draft, or any part thereof, which is not so reimbursed.</w:t>
      </w:r>
    </w:p>
    <w:p>
      <w:pPr>
        <w:spacing w:after="0" w:line="167" w:lineRule="exact"/>
        <w:rPr>
          <w:rFonts w:ascii="Times New Roman" w:cs="Times New Roman" w:eastAsia="Times New Roman" w:hAnsi="Times New Roman"/>
          <w:sz w:val="20"/>
          <w:szCs w:val="20"/>
          <w:color w:val="auto"/>
        </w:rPr>
      </w:pPr>
    </w:p>
    <w:p>
      <w:pPr>
        <w:jc w:val="both"/>
        <w:ind w:left="680" w:firstLine="646"/>
        <w:spacing w:after="0" w:line="248" w:lineRule="auto"/>
        <w:tabs>
          <w:tab w:leader="none" w:pos="1925"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becoming aware of any amount required to be paid by any L/C Participant to any Issuing Lender pursuant to </w:t>
      </w:r>
      <w:r>
        <w:rPr>
          <w:rFonts w:ascii="Times New Roman" w:cs="Times New Roman" w:eastAsia="Times New Roman" w:hAnsi="Times New Roman"/>
          <w:sz w:val="20"/>
          <w:szCs w:val="20"/>
          <w:u w:val="single" w:color="auto"/>
          <w:color w:val="auto"/>
        </w:rPr>
        <w:t>Section 3.4(a)</w:t>
      </w:r>
      <w:r>
        <w:rPr>
          <w:rFonts w:ascii="Times New Roman" w:cs="Times New Roman" w:eastAsia="Times New Roman" w:hAnsi="Times New Roman"/>
          <w:sz w:val="20"/>
          <w:szCs w:val="20"/>
          <w:color w:val="auto"/>
        </w:rPr>
        <w:t xml:space="preserve"> in respect of any unreimbursed portion of any payment made by such Issuing Lender under any Letter of Credit issued by it, such Issuing Lender shall notify the Administrative Agent of such unreimbursed amount and the Administrative Agent shall notify each L/C Participant (with a copy to the applicable Issuing Lender) of the amount and due date of such required payment and such L/C Participant shall pay to the Administrative Agent (which, in turn shall pay such Issuing Lender) the amount specified on the applicable due date. If any such amount is paid to such Issuing Lender after the date such payment is due, such L/C Participant shall pay to such Issuing Lender on demand, in addition to such amount, the product of (i) such amount,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(ii) the daily average Federal Funds Rate as determined by the Administrative Agent during the period from and including the date such payment is due to the date on which such payment is immediately available to such Issuing Lender,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(iii) a fraction the numerator of which is the number of days that elapse during such period and the denominator of which is 360. A certificate of such Issuing Lender with respect to any amounts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418">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110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20"/>
          </w:cols>
          <w:pgMar w:left="320" w:top="1440" w:right="459" w:bottom="1440" w:gutter="0" w:footer="0" w:header="0"/>
        </w:sectPr>
      </w:pPr>
    </w:p>
    <w:bookmarkStart w:id="259" w:name="page260"/>
    <w:bookmarkEnd w:id="259"/>
    <w:p>
      <w:pPr>
        <w:spacing w:after="0" w:line="81" w:lineRule="exact"/>
        <w:rPr>
          <w:sz w:val="20"/>
          <w:szCs w:val="20"/>
          <w:color w:val="auto"/>
        </w:rPr>
      </w:pPr>
    </w:p>
    <w:p>
      <w:pPr>
        <w:ind w:left="680"/>
        <w:spacing w:after="0" w:line="277" w:lineRule="auto"/>
        <w:rPr>
          <w:sz w:val="20"/>
          <w:szCs w:val="20"/>
          <w:color w:val="auto"/>
        </w:rPr>
      </w:pPr>
      <w:r>
        <w:rPr>
          <w:rFonts w:ascii="Times New Roman" w:cs="Times New Roman" w:eastAsia="Times New Roman" w:hAnsi="Times New Roman"/>
          <w:sz w:val="20"/>
          <w:szCs w:val="20"/>
          <w:color w:val="auto"/>
        </w:rPr>
        <w:t>owing under this Section shall be conclusive in the absence of manifest error. With respect to payment to such Issuing Lender of the unreimbursed amounts described in this Section, if the L/C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419">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111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20"/>
          </w:cols>
          <w:pgMar w:left="320" w:top="1440" w:right="459" w:bottom="1440" w:gutter="0" w:footer="0" w:header="0"/>
        </w:sectPr>
      </w:pPr>
    </w:p>
    <w:bookmarkStart w:id="260" w:name="page261"/>
    <w:bookmarkEnd w:id="260"/>
    <w:p>
      <w:pPr>
        <w:spacing w:after="0" w:line="202" w:lineRule="exact"/>
        <w:rPr>
          <w:sz w:val="20"/>
          <w:szCs w:val="20"/>
          <w:color w:val="auto"/>
        </w:rPr>
      </w:pPr>
    </w:p>
    <w:p>
      <w:pPr>
        <w:ind w:left="680" w:right="40"/>
        <w:spacing w:after="0" w:line="263" w:lineRule="auto"/>
        <w:rPr>
          <w:sz w:val="20"/>
          <w:szCs w:val="20"/>
          <w:color w:val="auto"/>
        </w:rPr>
      </w:pPr>
      <w:r>
        <w:rPr>
          <w:rFonts w:ascii="Times New Roman" w:cs="Times New Roman" w:eastAsia="Times New Roman" w:hAnsi="Times New Roman"/>
          <w:sz w:val="20"/>
          <w:szCs w:val="20"/>
          <w:color w:val="auto"/>
        </w:rPr>
        <w:t>receive notice that any such payment is due (A) prior to 1:00 p.m. on any Business Day, such payment shall be due that Business Day, and (B) after 1:00 p.m. on any Business Day, such payment shall be due on the following Business Day.</w:t>
      </w:r>
    </w:p>
    <w:p>
      <w:pPr>
        <w:spacing w:after="0" w:line="178" w:lineRule="exact"/>
        <w:rPr>
          <w:sz w:val="20"/>
          <w:szCs w:val="20"/>
          <w:color w:val="auto"/>
        </w:rPr>
      </w:pPr>
    </w:p>
    <w:p>
      <w:pPr>
        <w:jc w:val="both"/>
        <w:ind w:left="680" w:right="40" w:firstLine="646"/>
        <w:spacing w:after="0" w:line="248" w:lineRule="auto"/>
        <w:tabs>
          <w:tab w:leader="none" w:pos="1927"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Whenever, at any time after any Issuing Lender has made payment under any Letter of Credit issued by it and has received from any L/C Participant its Revolving Credit Commitment Percentage of such payment in accordance with this Section, such Issuing Lender receives any payment related to such Letter of Credit (whether directly from the US Borrowers or otherwise), or any payment of interest on account thereof, such Issuing Lender will distribute to such L/C Participant its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share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in the event that any such payment received by such Issuing Lender shall be required to be returned by such Issuing Lender, such L/C Participant shall return to such Issuing Lender the portion thereof previously distributed by such Issuing Lender to it.</w:t>
      </w:r>
    </w:p>
    <w:p>
      <w:pPr>
        <w:spacing w:after="0" w:line="182" w:lineRule="exact"/>
        <w:rPr>
          <w:sz w:val="20"/>
          <w:szCs w:val="20"/>
          <w:color w:val="auto"/>
        </w:rPr>
      </w:pPr>
    </w:p>
    <w:p>
      <w:pPr>
        <w:jc w:val="both"/>
        <w:ind w:left="680" w:right="40" w:firstLine="642"/>
        <w:spacing w:after="0" w:line="251" w:lineRule="auto"/>
        <w:rPr>
          <w:sz w:val="20"/>
          <w:szCs w:val="20"/>
          <w:color w:val="auto"/>
        </w:rPr>
      </w:pPr>
      <w:r>
        <w:rPr>
          <w:rFonts w:ascii="Times New Roman" w:cs="Times New Roman" w:eastAsia="Times New Roman" w:hAnsi="Times New Roman"/>
          <w:sz w:val="20"/>
          <w:szCs w:val="20"/>
          <w:color w:val="auto"/>
        </w:rPr>
        <w:t xml:space="preserve">SECTION 3.5 </w:t>
      </w:r>
      <w:r>
        <w:rPr>
          <w:rFonts w:ascii="Times New Roman" w:cs="Times New Roman" w:eastAsia="Times New Roman" w:hAnsi="Times New Roman"/>
          <w:sz w:val="20"/>
          <w:szCs w:val="20"/>
          <w:u w:val="single" w:color="auto"/>
          <w:color w:val="auto"/>
        </w:rPr>
        <w:t>Reimbursement Obligation of the Borrowers</w:t>
      </w:r>
      <w:r>
        <w:rPr>
          <w:rFonts w:ascii="Times New Roman" w:cs="Times New Roman" w:eastAsia="Times New Roman" w:hAnsi="Times New Roman"/>
          <w:sz w:val="20"/>
          <w:szCs w:val="20"/>
          <w:color w:val="auto"/>
        </w:rPr>
        <w:t>. In the event of any drawing under any Letter of Credit, the applicable Borrower agrees to reimburse (either with the proceeds of a Revolving Credit Loan as provided for in this Section or with funds from other sources), in same day funds, the applicable Issuing Lender on each date on which such Issuing Lender notifies the applicable Borrower of the date and amount of a draft paid by it under any Letter of Credit for the amount of</w:t>
      </w:r>
    </w:p>
    <w:p>
      <w:pPr>
        <w:spacing w:after="0" w:line="1" w:lineRule="exact"/>
        <w:rPr>
          <w:sz w:val="20"/>
          <w:szCs w:val="20"/>
          <w:color w:val="auto"/>
        </w:rPr>
      </w:pPr>
    </w:p>
    <w:p>
      <w:pPr>
        <w:jc w:val="both"/>
        <w:ind w:left="680" w:firstLine="4"/>
        <w:spacing w:after="0" w:line="246" w:lineRule="auto"/>
        <w:tabs>
          <w:tab w:leader="none" w:pos="964"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draft so paid and (b) any amounts referred to in </w:t>
      </w:r>
      <w:r>
        <w:rPr>
          <w:rFonts w:ascii="Times New Roman" w:cs="Times New Roman" w:eastAsia="Times New Roman" w:hAnsi="Times New Roman"/>
          <w:sz w:val="20"/>
          <w:szCs w:val="20"/>
          <w:u w:val="single" w:color="auto"/>
          <w:color w:val="auto"/>
        </w:rPr>
        <w:t>Section 3.3(c)</w:t>
      </w:r>
      <w:r>
        <w:rPr>
          <w:rFonts w:ascii="Times New Roman" w:cs="Times New Roman" w:eastAsia="Times New Roman" w:hAnsi="Times New Roman"/>
          <w:sz w:val="20"/>
          <w:szCs w:val="20"/>
          <w:color w:val="auto"/>
        </w:rPr>
        <w:t xml:space="preserve"> incurred by such Issuing Lender in connection with such payment. Unless the applicable Borrower shall immediately notify such Issuing Lender that such Borrower intends to reimburse such Issuing Lender for such drawing from other sources or funds, such Borrower shall be deemed to have timely given a Notice of Borrowing to the Administrative Agent requesting that the Revolving Credit Lenders make a Revolving Credit Loan bearing interest at the Base Rate on the applicable repayment date in the amount of (i) such draft so paid and (ii) any amounts referred to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3.3(c)</w:t>
      </w:r>
      <w:r>
        <w:rPr>
          <w:rFonts w:ascii="Times New Roman" w:cs="Times New Roman" w:eastAsia="Times New Roman" w:hAnsi="Times New Roman"/>
          <w:sz w:val="20"/>
          <w:szCs w:val="20"/>
          <w:color w:val="auto"/>
        </w:rPr>
        <w:t xml:space="preserve"> incurred by such Issuing Lender in connection with such payment, and the Revolving Credit Lenders shall make a Revolving Credit Loan bearing interest at the Base Rate in such amount, the proceeds of which shall be applied to reimburse such Issuing Lender for the amount of the related drawing and such fees and expenses. Each Revolving Credit Lender acknowledges and agrees that its obligation to fund a Revolving Credit Loan in accordance with this Section to reimburse such Issuing Lender for any draft paid under a Letter of Credit issued by it is absolute and unconditional and shall not be affected by any circumstance whatsoever, including, without limitation, non-satisfaction of the conditions set forth in </w:t>
      </w:r>
      <w:r>
        <w:rPr>
          <w:rFonts w:ascii="Times New Roman" w:cs="Times New Roman" w:eastAsia="Times New Roman" w:hAnsi="Times New Roman"/>
          <w:sz w:val="20"/>
          <w:szCs w:val="20"/>
          <w:u w:val="single" w:color="auto"/>
          <w:color w:val="auto"/>
        </w:rPr>
        <w:t>Section 2.3(a)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If a Borrower has elected to pay the amount of such drawing with funds from other sources and shall fail to reimburse such Issuing Lender as provided above, the unreimbursed amount of such drawing shall bear interest at the rate which would be payable on any outstanding Base Rate Loans which were then overdue from the date such amounts become payable (whether at stated maturity, by acceleration or otherwise) until payment in full.</w:t>
      </w:r>
    </w:p>
    <w:p>
      <w:pPr>
        <w:spacing w:after="0" w:line="168" w:lineRule="exact"/>
        <w:rPr>
          <w:sz w:val="20"/>
          <w:szCs w:val="20"/>
          <w:color w:val="auto"/>
        </w:rPr>
      </w:pPr>
    </w:p>
    <w:p>
      <w:pPr>
        <w:jc w:val="both"/>
        <w:ind w:left="680" w:right="20" w:firstLine="642"/>
        <w:spacing w:after="0" w:line="249" w:lineRule="auto"/>
        <w:rPr>
          <w:sz w:val="20"/>
          <w:szCs w:val="20"/>
          <w:color w:val="auto"/>
        </w:rPr>
      </w:pPr>
      <w:r>
        <w:rPr>
          <w:rFonts w:ascii="Times New Roman" w:cs="Times New Roman" w:eastAsia="Times New Roman" w:hAnsi="Times New Roman"/>
          <w:sz w:val="20"/>
          <w:szCs w:val="20"/>
          <w:color w:val="auto"/>
        </w:rPr>
        <w:t xml:space="preserve">SECTION 3.6 </w:t>
      </w:r>
      <w:r>
        <w:rPr>
          <w:rFonts w:ascii="Times New Roman" w:cs="Times New Roman" w:eastAsia="Times New Roman" w:hAnsi="Times New Roman"/>
          <w:sz w:val="20"/>
          <w:szCs w:val="20"/>
          <w:u w:val="single" w:color="auto"/>
          <w:color w:val="auto"/>
        </w:rPr>
        <w:t>Obligations Absolute</w:t>
      </w:r>
      <w:r>
        <w:rPr>
          <w:rFonts w:ascii="Times New Roman" w:cs="Times New Roman" w:eastAsia="Times New Roman" w:hAnsi="Times New Roman"/>
          <w:sz w:val="20"/>
          <w:szCs w:val="20"/>
          <w:color w:val="auto"/>
        </w:rPr>
        <w:t xml:space="preserve">. Each Borrower’s obligations under this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(including, without limitation, the Reimbursement Obligation) shall be absolute and unconditional under any and all circumstances and irrespective of any set off, counterclaim or defense to payment such Borrower may have or have had against the applicable Issuing Lender or any beneficiary of a Letter of Credit or any other Person. Each Borrower also agrees that the applicable Issuing Lender and the L/C Participants shall not be responsible for, and such Borrower’s Reimbursement Obligation under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 xml:space="preserve"> shall not be affected by, among other things, the validity or genuineness of documents or of any endorsements thereon, even though such documents shall in fact prove to be invalid, fraudulent or forged, or any dispute between or among such Borrower and any beneficiary of any Letter of Credit or any other party to which such Letter of Credit may be transferred or any claims whatsoever of such Borrower against any beneficiary of such Letter of Credit or any such transferee. No Issuing Lender shall be liable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420">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112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261" w:name="page262"/>
    <w:bookmarkEnd w:id="261"/>
    <w:p>
      <w:pPr>
        <w:spacing w:after="0" w:line="81" w:lineRule="exact"/>
        <w:rPr>
          <w:sz w:val="20"/>
          <w:szCs w:val="20"/>
          <w:color w:val="auto"/>
        </w:rPr>
      </w:pPr>
    </w:p>
    <w:p>
      <w:pPr>
        <w:ind w:left="680"/>
        <w:spacing w:after="0" w:line="263" w:lineRule="auto"/>
        <w:rPr>
          <w:sz w:val="20"/>
          <w:szCs w:val="20"/>
          <w:color w:val="auto"/>
        </w:rPr>
      </w:pPr>
      <w:r>
        <w:rPr>
          <w:rFonts w:ascii="Times New Roman" w:cs="Times New Roman" w:eastAsia="Times New Roman" w:hAnsi="Times New Roman"/>
          <w:sz w:val="20"/>
          <w:szCs w:val="20"/>
          <w:color w:val="auto"/>
        </w:rPr>
        <w:t>for any error, omission, interruption or delay in transmission, dispatch or delivery of any message or advice, however transmitted, in connection with any Letter of Credit issued by it, except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421">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113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060"/>
          </w:cols>
          <w:pgMar w:left="320" w:top="1440" w:right="519" w:bottom="1440" w:gutter="0" w:footer="0" w:header="0"/>
        </w:sectPr>
      </w:pPr>
    </w:p>
    <w:bookmarkStart w:id="262" w:name="page263"/>
    <w:bookmarkEnd w:id="262"/>
    <w:p>
      <w:pPr>
        <w:spacing w:after="0" w:line="202" w:lineRule="exact"/>
        <w:rPr>
          <w:sz w:val="20"/>
          <w:szCs w:val="20"/>
          <w:color w:val="auto"/>
        </w:rPr>
      </w:pPr>
    </w:p>
    <w:p>
      <w:pPr>
        <w:jc w:val="both"/>
        <w:ind w:left="680" w:right="60"/>
        <w:spacing w:after="0" w:line="248" w:lineRule="auto"/>
        <w:rPr>
          <w:sz w:val="20"/>
          <w:szCs w:val="20"/>
          <w:color w:val="auto"/>
        </w:rPr>
      </w:pPr>
      <w:r>
        <w:rPr>
          <w:rFonts w:ascii="Times New Roman" w:cs="Times New Roman" w:eastAsia="Times New Roman" w:hAnsi="Times New Roman"/>
          <w:sz w:val="20"/>
          <w:szCs w:val="20"/>
          <w:color w:val="auto"/>
        </w:rPr>
        <w:t>errors or omissions caused by such Issuing Lender’s gross negligence or willful misconduct, as determined by a court of competent jurisdiction by final nonappealable judgment. Each Borrower agrees that any action taken or omitted by any Issuing Lender under or in connection with any Letter of Credit issued by it or the related drafts or documents, if done in the absence of gross negligence or willful misconduct shall be binding on such Borrower and shall not result in any liability of such Issuing Lender or any L/C Participant to any Borrower. The responsibility of any Issuing Lender to the Borrowers in connection with any draft presented for payment under any Letter of Credit issued to it shall, in addition to any payment obligation expressly provided for in such Letter of Credit, be limited to determining that the documents (including each draft) delivered under such Letter of Credit in connection with such presentment substantially conforms to the requirements under such Letter of Credit.</w:t>
      </w:r>
    </w:p>
    <w:p>
      <w:pPr>
        <w:spacing w:after="0" w:line="185" w:lineRule="exact"/>
        <w:rPr>
          <w:sz w:val="20"/>
          <w:szCs w:val="20"/>
          <w:color w:val="auto"/>
        </w:rPr>
      </w:pPr>
    </w:p>
    <w:p>
      <w:pPr>
        <w:jc w:val="both"/>
        <w:ind w:left="680" w:right="60" w:firstLine="642"/>
        <w:spacing w:after="0" w:line="257" w:lineRule="auto"/>
        <w:rPr>
          <w:sz w:val="20"/>
          <w:szCs w:val="20"/>
          <w:color w:val="auto"/>
        </w:rPr>
      </w:pPr>
      <w:r>
        <w:rPr>
          <w:rFonts w:ascii="Times New Roman" w:cs="Times New Roman" w:eastAsia="Times New Roman" w:hAnsi="Times New Roman"/>
          <w:sz w:val="20"/>
          <w:szCs w:val="20"/>
          <w:color w:val="auto"/>
        </w:rPr>
        <w:t xml:space="preserve">SECTION 3.7 </w:t>
      </w:r>
      <w:r>
        <w:rPr>
          <w:rFonts w:ascii="Times New Roman" w:cs="Times New Roman" w:eastAsia="Times New Roman" w:hAnsi="Times New Roman"/>
          <w:sz w:val="20"/>
          <w:szCs w:val="20"/>
          <w:u w:val="single" w:color="auto"/>
          <w:color w:val="auto"/>
        </w:rPr>
        <w:t>Effect of Letter of Credit Application</w:t>
      </w:r>
      <w:r>
        <w:rPr>
          <w:rFonts w:ascii="Times New Roman" w:cs="Times New Roman" w:eastAsia="Times New Roman" w:hAnsi="Times New Roman"/>
          <w:sz w:val="20"/>
          <w:szCs w:val="20"/>
          <w:color w:val="auto"/>
        </w:rPr>
        <w:t>. To the extent that any provision of any Letter of Credit Application related to any Letter of Credit is inconsistent with the provisions of this Agreement, the provisions of this Agreement shall apply and control.</w:t>
      </w:r>
    </w:p>
    <w:p>
      <w:pPr>
        <w:spacing w:after="0" w:line="171" w:lineRule="exact"/>
        <w:rPr>
          <w:sz w:val="20"/>
          <w:szCs w:val="20"/>
          <w:color w:val="auto"/>
        </w:rPr>
      </w:pPr>
    </w:p>
    <w:p>
      <w:pPr>
        <w:ind w:left="1320"/>
        <w:spacing w:after="0"/>
        <w:tabs>
          <w:tab w:leader="none" w:pos="2620" w:val="left"/>
        </w:tabs>
        <w:rPr>
          <w:sz w:val="20"/>
          <w:szCs w:val="20"/>
          <w:color w:val="auto"/>
        </w:rPr>
      </w:pPr>
      <w:r>
        <w:rPr>
          <w:rFonts w:ascii="Times New Roman" w:cs="Times New Roman" w:eastAsia="Times New Roman" w:hAnsi="Times New Roman"/>
          <w:sz w:val="20"/>
          <w:szCs w:val="20"/>
          <w:color w:val="auto"/>
        </w:rPr>
        <w:t>SECTION 3.8</w:t>
      </w:r>
      <w:r>
        <w:rPr>
          <w:sz w:val="20"/>
          <w:szCs w:val="20"/>
          <w:color w:val="auto"/>
        </w:rPr>
        <w:tab/>
      </w:r>
      <w:r>
        <w:rPr>
          <w:rFonts w:ascii="Times New Roman" w:cs="Times New Roman" w:eastAsia="Times New Roman" w:hAnsi="Times New Roman"/>
          <w:sz w:val="19"/>
          <w:szCs w:val="19"/>
          <w:u w:val="single" w:color="auto"/>
          <w:color w:val="auto"/>
        </w:rPr>
        <w:t>Removal and Resignation of Issuing Lenders</w:t>
      </w:r>
      <w:r>
        <w:rPr>
          <w:rFonts w:ascii="Times New Roman" w:cs="Times New Roman" w:eastAsia="Times New Roman" w:hAnsi="Times New Roman"/>
          <w:sz w:val="19"/>
          <w:szCs w:val="19"/>
          <w:color w:val="auto"/>
        </w:rPr>
        <w:t>.</w:t>
      </w:r>
    </w:p>
    <w:p>
      <w:pPr>
        <w:spacing w:after="0" w:line="225" w:lineRule="exact"/>
        <w:rPr>
          <w:sz w:val="20"/>
          <w:szCs w:val="20"/>
          <w:color w:val="auto"/>
        </w:rPr>
      </w:pPr>
    </w:p>
    <w:p>
      <w:pPr>
        <w:jc w:val="both"/>
        <w:ind w:left="680" w:firstLine="646"/>
        <w:spacing w:after="0" w:line="257" w:lineRule="auto"/>
        <w:tabs>
          <w:tab w:leader="none" w:pos="1927"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may at any time remove any Lender from its role as an Issuing Lender hereunder upon not less than thirty (30) days prior notice to such Issuing Lender and the Administrative Agent (or such shorter period of time as may be acceptable to such Issuing Lender and the Administrative Agent).</w:t>
      </w:r>
    </w:p>
    <w:p>
      <w:pPr>
        <w:spacing w:after="0" w:line="170" w:lineRule="exact"/>
        <w:rPr>
          <w:rFonts w:ascii="Times New Roman" w:cs="Times New Roman" w:eastAsia="Times New Roman" w:hAnsi="Times New Roman"/>
          <w:sz w:val="20"/>
          <w:szCs w:val="20"/>
          <w:color w:val="auto"/>
        </w:rPr>
      </w:pPr>
    </w:p>
    <w:p>
      <w:pPr>
        <w:jc w:val="both"/>
        <w:ind w:left="680" w:right="20" w:firstLine="646"/>
        <w:spacing w:after="0" w:line="257" w:lineRule="auto"/>
        <w:tabs>
          <w:tab w:leader="none" w:pos="1925"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may at any time resign from its role as an Issuing Lender hereunder upon not less than thirty (30) days prior notice to Centuri and the Administrative Agent (or such shorter period of time as may be acceptable to Centuri and the Administrative Agent).</w:t>
      </w:r>
    </w:p>
    <w:p>
      <w:pPr>
        <w:spacing w:after="0" w:line="183" w:lineRule="exact"/>
        <w:rPr>
          <w:rFonts w:ascii="Times New Roman" w:cs="Times New Roman" w:eastAsia="Times New Roman" w:hAnsi="Times New Roman"/>
          <w:sz w:val="20"/>
          <w:szCs w:val="20"/>
          <w:color w:val="auto"/>
        </w:rPr>
      </w:pPr>
    </w:p>
    <w:p>
      <w:pPr>
        <w:jc w:val="both"/>
        <w:ind w:left="680" w:right="40" w:firstLine="646"/>
        <w:spacing w:after="0" w:line="250" w:lineRule="auto"/>
        <w:tabs>
          <w:tab w:leader="none" w:pos="1927"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(i) any Refinancing Revolving Credit Commitments or (ii) any Extension of Revolving Credit Commitments, that has not been consented to by any Issuing Lender, such Issuing Lender may, in connection with such Refinancing Revolving Credit Commitments or Extension resign as an Issuing Lender hereunder upon not less than five (5) Business Days’ prior notice to Centuri and the Administrative Agent (or such shorter period of time as may be acceptable to Centuri and the Administrative Agent).</w:t>
      </w:r>
    </w:p>
    <w:p>
      <w:pPr>
        <w:spacing w:after="0" w:line="179" w:lineRule="exact"/>
        <w:rPr>
          <w:rFonts w:ascii="Times New Roman" w:cs="Times New Roman" w:eastAsia="Times New Roman" w:hAnsi="Times New Roman"/>
          <w:sz w:val="20"/>
          <w:szCs w:val="20"/>
          <w:color w:val="auto"/>
        </w:rPr>
      </w:pPr>
    </w:p>
    <w:p>
      <w:pPr>
        <w:jc w:val="both"/>
        <w:ind w:left="680" w:right="40" w:firstLine="646"/>
        <w:spacing w:after="0" w:line="249" w:lineRule="auto"/>
        <w:tabs>
          <w:tab w:leader="none" w:pos="1925"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removed or resigning Issuing Lender shall retain all the rights, powers, privileges and duties of an Issuing Lender hereunder with respect to all Letters of Credit issued by it that are outstanding as of the effective date of its removal or resignation as an Issuing Lender and all L/C Obligations with respect thereto (including, without limitation, the right to require the Revolving Credit Lenders to take such actions as are required under </w:t>
      </w: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 Without limiting the foregoing, upon the removal or resignation of a Lender as an Issuing Lender hereunder, the Borrowers may, or at the request of such removed or resigned Issuing Lender the Borrowers shall, use commercially reasonable efforts to, arrange for one or more of the other Issuing Lenders to issue Letters of Credit hereunder in substitution for the Letters of Credit, if any, issued by such removed or resigned Issuing Lender and outstanding at the time of such removal or resignation, or make other arrangements satisfactory to the removed or resigned Issuing Lender to effectively cause another Issuing Lender to assume the obligations of the removed or resigned Issuing Lender with respect to any such Letters of Credit.</w:t>
      </w:r>
    </w:p>
    <w:p>
      <w:pPr>
        <w:spacing w:after="0" w:line="182" w:lineRule="exact"/>
        <w:rPr>
          <w:sz w:val="20"/>
          <w:szCs w:val="20"/>
          <w:color w:val="auto"/>
        </w:rPr>
      </w:pPr>
    </w:p>
    <w:p>
      <w:pPr>
        <w:jc w:val="both"/>
        <w:ind w:left="680" w:right="40" w:firstLine="642"/>
        <w:spacing w:after="0" w:line="257" w:lineRule="auto"/>
        <w:rPr>
          <w:sz w:val="20"/>
          <w:szCs w:val="20"/>
          <w:color w:val="auto"/>
        </w:rPr>
      </w:pPr>
      <w:r>
        <w:rPr>
          <w:rFonts w:ascii="Times New Roman" w:cs="Times New Roman" w:eastAsia="Times New Roman" w:hAnsi="Times New Roman"/>
          <w:sz w:val="20"/>
          <w:szCs w:val="20"/>
          <w:color w:val="auto"/>
        </w:rPr>
        <w:t xml:space="preserve">SECTION 3.9 </w:t>
      </w:r>
      <w:r>
        <w:rPr>
          <w:rFonts w:ascii="Times New Roman" w:cs="Times New Roman" w:eastAsia="Times New Roman" w:hAnsi="Times New Roman"/>
          <w:sz w:val="20"/>
          <w:szCs w:val="20"/>
          <w:u w:val="single" w:color="auto"/>
          <w:color w:val="auto"/>
        </w:rPr>
        <w:t>Reporting of Letter of Credit Information and L/C Commitment</w:t>
      </w:r>
      <w:r>
        <w:rPr>
          <w:rFonts w:ascii="Times New Roman" w:cs="Times New Roman" w:eastAsia="Times New Roman" w:hAnsi="Times New Roman"/>
          <w:sz w:val="20"/>
          <w:szCs w:val="20"/>
          <w:color w:val="auto"/>
        </w:rPr>
        <w:t>. At any time that there is an Issuing Lender that is not also the financial institution acting as Administrative Agent, then (a) on the last Business Day of each calendar month, (b) on each date that a Letter of Credit is amended,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422">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114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20"/>
          </w:cols>
          <w:pgMar w:left="320" w:top="1440" w:right="459" w:bottom="1440" w:gutter="0" w:footer="0" w:header="0"/>
        </w:sectPr>
      </w:pPr>
    </w:p>
    <w:bookmarkStart w:id="263" w:name="page264"/>
    <w:bookmarkEnd w:id="263"/>
    <w:p>
      <w:pPr>
        <w:spacing w:after="0" w:line="95" w:lineRule="exact"/>
        <w:rPr>
          <w:sz w:val="20"/>
          <w:szCs w:val="20"/>
          <w:color w:val="auto"/>
        </w:rPr>
      </w:pPr>
    </w:p>
    <w:p>
      <w:pPr>
        <w:ind w:left="680"/>
        <w:spacing w:after="0" w:line="263" w:lineRule="auto"/>
        <w:rPr>
          <w:sz w:val="20"/>
          <w:szCs w:val="20"/>
          <w:color w:val="auto"/>
        </w:rPr>
      </w:pPr>
      <w:r>
        <w:rPr>
          <w:rFonts w:ascii="Times New Roman" w:cs="Times New Roman" w:eastAsia="Times New Roman" w:hAnsi="Times New Roman"/>
          <w:sz w:val="20"/>
          <w:szCs w:val="20"/>
          <w:color w:val="auto"/>
        </w:rPr>
        <w:t>terminated or otherwise expires, (c) on each date that a Letter of Credit is issued or the expiry date of a Letter of Credit is extended, and (d) upon the request of the Administrative Agent,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423">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115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060"/>
          </w:cols>
          <w:pgMar w:left="320" w:top="1440" w:right="519" w:bottom="1440" w:gutter="0" w:footer="0" w:header="0"/>
        </w:sectPr>
      </w:pPr>
    </w:p>
    <w:bookmarkStart w:id="264" w:name="page265"/>
    <w:bookmarkEnd w:id="264"/>
    <w:p>
      <w:pPr>
        <w:spacing w:after="0" w:line="202" w:lineRule="exact"/>
        <w:rPr>
          <w:sz w:val="20"/>
          <w:szCs w:val="20"/>
          <w:color w:val="auto"/>
        </w:rPr>
      </w:pPr>
    </w:p>
    <w:p>
      <w:pPr>
        <w:jc w:val="both"/>
        <w:ind w:left="680" w:right="20"/>
        <w:spacing w:after="0" w:line="248" w:lineRule="auto"/>
        <w:rPr>
          <w:sz w:val="20"/>
          <w:szCs w:val="20"/>
          <w:color w:val="auto"/>
        </w:rPr>
      </w:pPr>
      <w:r>
        <w:rPr>
          <w:rFonts w:ascii="Times New Roman" w:cs="Times New Roman" w:eastAsia="Times New Roman" w:hAnsi="Times New Roman"/>
          <w:sz w:val="20"/>
          <w:szCs w:val="20"/>
          <w:color w:val="auto"/>
        </w:rPr>
        <w:t xml:space="preserve">Issuing Lender (or, in the case of clauses (b), (c) or (d) of this Section, the applicable Issuing Lender) shall deliver to the Administrative Agent a report setting forth in form and detail reasonably satisfactory to the Administrative Agent information (including, without limitation, any reimbursement, Cash Collateral, or termination in respect of Letters of Credit issued by such Issuing Lender) with respect to each Letter of Credit issued by such Issuing Lender that is outstanding hereunder. In addition, each Issuing Lender shall provide notice to the Administrative Agent of its L/C Commitment, or any change thereto, promptly upon it becoming an Issuing Lender or making any change to its L/C Commitment. No failure on the part of any Issuing Lender to provide such information pursuant to this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 xml:space="preserve"> shall limit the obligations of the Borrowers or any Revolving Credit Lender hereunder with respect to its reimbursement and participation obligations hereunder.</w:t>
      </w:r>
    </w:p>
    <w:p>
      <w:pPr>
        <w:spacing w:after="0" w:line="185" w:lineRule="exact"/>
        <w:rPr>
          <w:sz w:val="20"/>
          <w:szCs w:val="20"/>
          <w:color w:val="auto"/>
        </w:rPr>
      </w:pPr>
    </w:p>
    <w:p>
      <w:pPr>
        <w:jc w:val="both"/>
        <w:ind w:left="680" w:firstLine="642"/>
        <w:spacing w:after="0" w:line="248" w:lineRule="auto"/>
        <w:rPr>
          <w:sz w:val="20"/>
          <w:szCs w:val="20"/>
          <w:color w:val="auto"/>
        </w:rPr>
      </w:pPr>
      <w:r>
        <w:rPr>
          <w:rFonts w:ascii="Times New Roman" w:cs="Times New Roman" w:eastAsia="Times New Roman" w:hAnsi="Times New Roman"/>
          <w:sz w:val="20"/>
          <w:szCs w:val="20"/>
          <w:color w:val="auto"/>
        </w:rPr>
        <w:t xml:space="preserve">SECTION 3.10 </w:t>
      </w:r>
      <w:r>
        <w:rPr>
          <w:rFonts w:ascii="Times New Roman" w:cs="Times New Roman" w:eastAsia="Times New Roman" w:hAnsi="Times New Roman"/>
          <w:sz w:val="20"/>
          <w:szCs w:val="20"/>
          <w:u w:val="single" w:color="auto"/>
          <w:color w:val="auto"/>
        </w:rPr>
        <w:t>Letters of Credit Issued for Subsidiaries</w:t>
      </w:r>
      <w:r>
        <w:rPr>
          <w:rFonts w:ascii="Times New Roman" w:cs="Times New Roman" w:eastAsia="Times New Roman" w:hAnsi="Times New Roman"/>
          <w:sz w:val="20"/>
          <w:szCs w:val="20"/>
          <w:color w:val="auto"/>
        </w:rPr>
        <w:t xml:space="preserve">. Notwithstanding that a Letter of Credit issued or outstanding hereunder is in support of any obligations of, or is for the account of, a Borrower or any Subsidiary or Affiliate thereof described in </w:t>
      </w:r>
      <w:r>
        <w:rPr>
          <w:rFonts w:ascii="Times New Roman" w:cs="Times New Roman" w:eastAsia="Times New Roman" w:hAnsi="Times New Roman"/>
          <w:sz w:val="20"/>
          <w:szCs w:val="20"/>
          <w:u w:val="single" w:color="auto"/>
          <w:color w:val="auto"/>
        </w:rPr>
        <w:t>Section 3.1(a)</w:t>
      </w:r>
      <w:r>
        <w:rPr>
          <w:rFonts w:ascii="Times New Roman" w:cs="Times New Roman" w:eastAsia="Times New Roman" w:hAnsi="Times New Roman"/>
          <w:sz w:val="20"/>
          <w:szCs w:val="20"/>
          <w:color w:val="auto"/>
        </w:rPr>
        <w:t xml:space="preserve">, the applicable Borrower shall be obligated to reimburse, or to cause the applicable Subsidiary or Affiliate to reimburse, the applicable Issuing Lender hereunder for any and all drawings under such Letter of Credit;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aggregate face amount of all Letters of Credit issued for the account of such Affiliates of the Borrowers that are not also Subsidiaries of the Borrowers shall not exceed $25,000,000 at any time outstanding. Each Borrower hereby acknowledges that the issuance of Letters of Credit for the account of any of its Subsidiaries or Affiliates inures to the benefit of such Borrower and that such Borrower’s business derives substantial benefits from the businesses of such Subsidiaries and Affiliates.</w:t>
      </w:r>
    </w:p>
    <w:p>
      <w:pPr>
        <w:spacing w:after="0" w:line="29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color w:val="auto"/>
        </w:rPr>
        <w:t>ARTICLE IV TERM LOAN FACILITY</w:t>
      </w:r>
    </w:p>
    <w:p>
      <w:pPr>
        <w:spacing w:after="0" w:line="118" w:lineRule="exact"/>
        <w:rPr>
          <w:sz w:val="20"/>
          <w:szCs w:val="20"/>
          <w:color w:val="auto"/>
        </w:rPr>
      </w:pPr>
    </w:p>
    <w:p>
      <w:pPr>
        <w:jc w:val="both"/>
        <w:ind w:left="680" w:firstLine="642"/>
        <w:spacing w:after="0" w:line="250" w:lineRule="auto"/>
        <w:rPr>
          <w:sz w:val="20"/>
          <w:szCs w:val="20"/>
          <w:color w:val="auto"/>
        </w:rPr>
      </w:pPr>
      <w:r>
        <w:rPr>
          <w:rFonts w:ascii="Times New Roman" w:cs="Times New Roman" w:eastAsia="Times New Roman" w:hAnsi="Times New Roman"/>
          <w:sz w:val="20"/>
          <w:szCs w:val="20"/>
          <w:color w:val="auto"/>
        </w:rPr>
        <w:t xml:space="preserve">SECTION 4.1 </w:t>
      </w:r>
      <w:r>
        <w:rPr>
          <w:rFonts w:ascii="Times New Roman" w:cs="Times New Roman" w:eastAsia="Times New Roman" w:hAnsi="Times New Roman"/>
          <w:sz w:val="20"/>
          <w:szCs w:val="20"/>
          <w:u w:val="single" w:color="auto"/>
          <w:color w:val="auto"/>
        </w:rPr>
        <w:t>Initial Term Loan</w:t>
      </w:r>
      <w:r>
        <w:rPr>
          <w:rFonts w:ascii="Times New Roman" w:cs="Times New Roman" w:eastAsia="Times New Roman" w:hAnsi="Times New Roman"/>
          <w:sz w:val="20"/>
          <w:szCs w:val="20"/>
          <w:color w:val="auto"/>
        </w:rPr>
        <w:t>. Subject to the terms and conditions of this Agreement and the other Loan Documents, and in reliance upon the representations and warranties set forth in this Agreement and the other Loan Documents, each Term Loan Lender severally agrees to make the Initial Term Loan to Centuri, on the Closing Date, in a principal amount equal to such Lender’s Term Loan Percentage of the Initial Term Loan as of the Closing Date.</w:t>
      </w:r>
    </w:p>
    <w:p>
      <w:pPr>
        <w:spacing w:after="0" w:line="179" w:lineRule="exact"/>
        <w:rPr>
          <w:sz w:val="20"/>
          <w:szCs w:val="20"/>
          <w:color w:val="auto"/>
        </w:rPr>
      </w:pPr>
    </w:p>
    <w:p>
      <w:pPr>
        <w:jc w:val="both"/>
        <w:ind w:left="680" w:right="40" w:firstLine="642"/>
        <w:spacing w:after="0" w:line="249" w:lineRule="auto"/>
        <w:rPr>
          <w:sz w:val="20"/>
          <w:szCs w:val="20"/>
          <w:color w:val="auto"/>
        </w:rPr>
      </w:pPr>
      <w:r>
        <w:rPr>
          <w:rFonts w:ascii="Times New Roman" w:cs="Times New Roman" w:eastAsia="Times New Roman" w:hAnsi="Times New Roman"/>
          <w:sz w:val="20"/>
          <w:szCs w:val="20"/>
          <w:color w:val="auto"/>
        </w:rPr>
        <w:t xml:space="preserve">SECTION 4.2 </w:t>
      </w:r>
      <w:r>
        <w:rPr>
          <w:rFonts w:ascii="Times New Roman" w:cs="Times New Roman" w:eastAsia="Times New Roman" w:hAnsi="Times New Roman"/>
          <w:sz w:val="20"/>
          <w:szCs w:val="20"/>
          <w:u w:val="single" w:color="auto"/>
          <w:color w:val="auto"/>
        </w:rPr>
        <w:t>Procedure for Advance of Initial Term Loan</w:t>
      </w:r>
      <w:r>
        <w:rPr>
          <w:rFonts w:ascii="Times New Roman" w:cs="Times New Roman" w:eastAsia="Times New Roman" w:hAnsi="Times New Roman"/>
          <w:sz w:val="20"/>
          <w:szCs w:val="20"/>
          <w:color w:val="auto"/>
        </w:rPr>
        <w:t>. The applicable Borrower shall give the Administrative Agent an irrevocable Notice of Borrowing prior to 11:00 a.m. on the Closing Date requesting that the Term Loan Lenders make the Initial Term Loan on such date. Upon receipt of such Notice of Borrowing from the applicable Borrower, the Administrative Agent shall promptly notify each Term Loan Lender thereof. Not later than 1:00 p.m. on the Closing Date, with respect to the Initial Term Loan made on the Closing Date, each Term Loan Lender will make available to the Administrative Agent for the account of the applicable Borrower, at the Administrative Agent’s Office in immediately available funds, the amount of such Initial Term Loan to be made by such Term Loan Lender on the Closing Date. The Borrowers hereby irrevocably authorize the Administrative Agent to disburse the proceeds of the Initial Term Loan in immediately available funds by wire transfer to such Person or Persons as may be designated by the applicable Borrower in writing.</w:t>
      </w:r>
    </w:p>
    <w:p>
      <w:pPr>
        <w:spacing w:after="0" w:line="180" w:lineRule="exact"/>
        <w:rPr>
          <w:sz w:val="20"/>
          <w:szCs w:val="20"/>
          <w:color w:val="auto"/>
        </w:rPr>
      </w:pPr>
    </w:p>
    <w:p>
      <w:pPr>
        <w:ind w:left="1320"/>
        <w:spacing w:after="0"/>
        <w:tabs>
          <w:tab w:leader="none" w:pos="2620" w:val="left"/>
        </w:tabs>
        <w:rPr>
          <w:sz w:val="20"/>
          <w:szCs w:val="20"/>
          <w:color w:val="auto"/>
        </w:rPr>
      </w:pPr>
      <w:r>
        <w:rPr>
          <w:rFonts w:ascii="Times New Roman" w:cs="Times New Roman" w:eastAsia="Times New Roman" w:hAnsi="Times New Roman"/>
          <w:sz w:val="20"/>
          <w:szCs w:val="20"/>
          <w:color w:val="auto"/>
        </w:rPr>
        <w:t>SECTION 4.3</w:t>
      </w:r>
      <w:r>
        <w:rPr>
          <w:sz w:val="20"/>
          <w:szCs w:val="20"/>
          <w:color w:val="auto"/>
        </w:rPr>
        <w:tab/>
      </w:r>
      <w:r>
        <w:rPr>
          <w:rFonts w:ascii="Times New Roman" w:cs="Times New Roman" w:eastAsia="Times New Roman" w:hAnsi="Times New Roman"/>
          <w:sz w:val="19"/>
          <w:szCs w:val="19"/>
          <w:u w:val="single" w:color="auto"/>
          <w:color w:val="auto"/>
        </w:rPr>
        <w:t>Repayment of Term Loans</w:t>
      </w:r>
      <w:r>
        <w:rPr>
          <w:rFonts w:ascii="Times New Roman" w:cs="Times New Roman" w:eastAsia="Times New Roman" w:hAnsi="Times New Roman"/>
          <w:sz w:val="19"/>
          <w:szCs w:val="19"/>
          <w:color w:val="auto"/>
        </w:rPr>
        <w:t>.</w:t>
      </w:r>
    </w:p>
    <w:p>
      <w:pPr>
        <w:spacing w:after="0" w:line="211" w:lineRule="exact"/>
        <w:rPr>
          <w:sz w:val="20"/>
          <w:szCs w:val="20"/>
          <w:color w:val="auto"/>
        </w:rPr>
      </w:pPr>
    </w:p>
    <w:p>
      <w:pPr>
        <w:jc w:val="both"/>
        <w:ind w:left="680" w:right="40" w:firstLine="646"/>
        <w:spacing w:after="0" w:line="257" w:lineRule="auto"/>
        <w:tabs>
          <w:tab w:leader="none" w:pos="1927"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Initial Term Loan</w:t>
      </w:r>
      <w:r>
        <w:rPr>
          <w:rFonts w:ascii="Times New Roman" w:cs="Times New Roman" w:eastAsia="Times New Roman" w:hAnsi="Times New Roman"/>
          <w:sz w:val="20"/>
          <w:szCs w:val="20"/>
          <w:color w:val="auto"/>
        </w:rPr>
        <w:t xml:space="preserve">. The Borrowers shall repay the aggregate outstanding principal amount of the Initial Term Loan in consecutive quarterly installments equal to $2,862,500 (as the amounts of individual installments may be adjusted pursuant to </w:t>
      </w:r>
      <w:r>
        <w:rPr>
          <w:rFonts w:ascii="Times New Roman" w:cs="Times New Roman" w:eastAsia="Times New Roman" w:hAnsi="Times New Roman"/>
          <w:sz w:val="20"/>
          <w:szCs w:val="20"/>
          <w:u w:val="single" w:color="auto"/>
          <w:color w:val="auto"/>
        </w:rPr>
        <w:t>Section 4.4</w:t>
      </w:r>
      <w:r>
        <w:rPr>
          <w:rFonts w:ascii="Times New Roman" w:cs="Times New Roman" w:eastAsia="Times New Roman" w:hAnsi="Times New Roman"/>
          <w:sz w:val="20"/>
          <w:szCs w:val="20"/>
          <w:color w:val="auto"/>
        </w:rPr>
        <w:t>) on the last Business Day of each of</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424">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116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265" w:name="page266"/>
    <w:bookmarkEnd w:id="265"/>
    <w:p>
      <w:pPr>
        <w:spacing w:after="0" w:line="95" w:lineRule="exact"/>
        <w:rPr>
          <w:sz w:val="20"/>
          <w:szCs w:val="20"/>
          <w:color w:val="auto"/>
        </w:rPr>
      </w:pPr>
    </w:p>
    <w:p>
      <w:pPr>
        <w:ind w:left="680"/>
        <w:spacing w:after="0" w:line="277" w:lineRule="auto"/>
        <w:rPr>
          <w:sz w:val="20"/>
          <w:szCs w:val="20"/>
          <w:color w:val="auto"/>
        </w:rPr>
      </w:pPr>
      <w:r>
        <w:rPr>
          <w:rFonts w:ascii="Times New Roman" w:cs="Times New Roman" w:eastAsia="Times New Roman" w:hAnsi="Times New Roman"/>
          <w:sz w:val="20"/>
          <w:szCs w:val="20"/>
          <w:color w:val="auto"/>
        </w:rPr>
        <w:t xml:space="preserve">March, June, September and December commencing December 31, 2021;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final principal repayment installment of the Initial Term Loan shall be repaid on the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425">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117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060"/>
          </w:cols>
          <w:pgMar w:left="320" w:top="1440" w:right="519" w:bottom="1440" w:gutter="0" w:footer="0" w:header="0"/>
        </w:sectPr>
      </w:pPr>
    </w:p>
    <w:bookmarkStart w:id="266" w:name="page267"/>
    <w:bookmarkEnd w:id="266"/>
    <w:p>
      <w:pPr>
        <w:spacing w:after="0" w:line="202" w:lineRule="exact"/>
        <w:rPr>
          <w:sz w:val="20"/>
          <w:szCs w:val="20"/>
          <w:color w:val="auto"/>
        </w:rPr>
      </w:pPr>
    </w:p>
    <w:p>
      <w:pPr>
        <w:ind w:left="680"/>
        <w:spacing w:after="0" w:line="263" w:lineRule="auto"/>
        <w:rPr>
          <w:sz w:val="20"/>
          <w:szCs w:val="20"/>
          <w:color w:val="auto"/>
        </w:rPr>
      </w:pPr>
      <w:r>
        <w:rPr>
          <w:rFonts w:ascii="Times New Roman" w:cs="Times New Roman" w:eastAsia="Times New Roman" w:hAnsi="Times New Roman"/>
          <w:sz w:val="20"/>
          <w:szCs w:val="20"/>
          <w:color w:val="auto"/>
        </w:rPr>
        <w:t>Maturity Date in an amount equal to the aggregate principal amount of all Initial Term Loans outstanding on such date, together with accrued interest thereon.</w:t>
      </w:r>
    </w:p>
    <w:p>
      <w:pPr>
        <w:spacing w:after="0" w:line="178" w:lineRule="exact"/>
        <w:rPr>
          <w:sz w:val="20"/>
          <w:szCs w:val="20"/>
          <w:color w:val="auto"/>
        </w:rPr>
      </w:pPr>
    </w:p>
    <w:p>
      <w:pPr>
        <w:jc w:val="both"/>
        <w:ind w:left="680" w:right="60" w:firstLine="646"/>
        <w:spacing w:after="0" w:line="257" w:lineRule="auto"/>
        <w:tabs>
          <w:tab w:leader="none" w:pos="1925"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Incremental Term Loans</w:t>
      </w:r>
      <w:r>
        <w:rPr>
          <w:rFonts w:ascii="Times New Roman" w:cs="Times New Roman" w:eastAsia="Times New Roman" w:hAnsi="Times New Roman"/>
          <w:sz w:val="20"/>
          <w:szCs w:val="20"/>
          <w:color w:val="auto"/>
        </w:rPr>
        <w:t xml:space="preserve">. The US Borrowers or the Canadian Borrowers, as applicable, shall repay the aggregate outstanding principal amount of each Incremental Term Loan (if any) as determined pursuant to, and in accordance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5.13</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ind w:left="1320"/>
        <w:spacing w:after="0"/>
        <w:tabs>
          <w:tab w:leader="none" w:pos="2620" w:val="left"/>
        </w:tabs>
        <w:rPr>
          <w:sz w:val="20"/>
          <w:szCs w:val="20"/>
          <w:color w:val="auto"/>
        </w:rPr>
      </w:pPr>
      <w:r>
        <w:rPr>
          <w:rFonts w:ascii="Times New Roman" w:cs="Times New Roman" w:eastAsia="Times New Roman" w:hAnsi="Times New Roman"/>
          <w:sz w:val="20"/>
          <w:szCs w:val="20"/>
          <w:color w:val="auto"/>
        </w:rPr>
        <w:t>SECTION 4.4</w:t>
      </w:r>
      <w:r>
        <w:rPr>
          <w:sz w:val="20"/>
          <w:szCs w:val="20"/>
          <w:color w:val="auto"/>
        </w:rPr>
        <w:tab/>
      </w:r>
      <w:r>
        <w:rPr>
          <w:rFonts w:ascii="Times New Roman" w:cs="Times New Roman" w:eastAsia="Times New Roman" w:hAnsi="Times New Roman"/>
          <w:sz w:val="19"/>
          <w:szCs w:val="19"/>
          <w:u w:val="single" w:color="auto"/>
          <w:color w:val="auto"/>
        </w:rPr>
        <w:t>Prepayments of Term Loans</w:t>
      </w:r>
      <w:r>
        <w:rPr>
          <w:rFonts w:ascii="Times New Roman" w:cs="Times New Roman" w:eastAsia="Times New Roman" w:hAnsi="Times New Roman"/>
          <w:sz w:val="19"/>
          <w:szCs w:val="19"/>
          <w:color w:val="auto"/>
        </w:rPr>
        <w:t>.</w:t>
      </w:r>
    </w:p>
    <w:p>
      <w:pPr>
        <w:spacing w:after="0" w:line="225" w:lineRule="exact"/>
        <w:rPr>
          <w:sz w:val="20"/>
          <w:szCs w:val="20"/>
          <w:color w:val="auto"/>
        </w:rPr>
      </w:pPr>
    </w:p>
    <w:p>
      <w:pPr>
        <w:jc w:val="both"/>
        <w:ind w:left="680" w:firstLine="646"/>
        <w:spacing w:after="0" w:line="260" w:lineRule="auto"/>
        <w:tabs>
          <w:tab w:leader="none" w:pos="1927" w:val="left"/>
        </w:tabs>
        <w:numPr>
          <w:ilvl w:val="0"/>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Optional Prepayments</w:t>
      </w:r>
      <w:r>
        <w:rPr>
          <w:rFonts w:ascii="Times New Roman" w:cs="Times New Roman" w:eastAsia="Times New Roman" w:hAnsi="Times New Roman"/>
          <w:sz w:val="19"/>
          <w:szCs w:val="19"/>
          <w:color w:val="auto"/>
        </w:rPr>
        <w:t xml:space="preserve">. Except as provided in </w:t>
      </w:r>
      <w:r>
        <w:rPr>
          <w:rFonts w:ascii="Times New Roman" w:cs="Times New Roman" w:eastAsia="Times New Roman" w:hAnsi="Times New Roman"/>
          <w:sz w:val="19"/>
          <w:szCs w:val="19"/>
          <w:u w:val="single" w:color="auto"/>
          <w:color w:val="auto"/>
        </w:rPr>
        <w:t>Section 4.4(c)</w:t>
      </w:r>
      <w:r>
        <w:rPr>
          <w:rFonts w:ascii="Times New Roman" w:cs="Times New Roman" w:eastAsia="Times New Roman" w:hAnsi="Times New Roman"/>
          <w:sz w:val="19"/>
          <w:szCs w:val="19"/>
          <w:color w:val="auto"/>
        </w:rPr>
        <w:t xml:space="preserve">, the applicable Borrower shall have the right at any time and from time to time, without premium or penalty, to prepay any of the Term Loans, in whole or in part, upon delivery to the Administrative Agent of a Notice of Prepayment not later than 11:00 a.m. (i) on the same Business Day as each Base Rate Loan, (ii) at least one (1) Business Day before each Canadian Base Rate Loan and (iii) at least three (3) Business Days before each SOFR Loan or </w:t>
      </w:r>
      <w:r>
        <w:rPr>
          <w:rFonts w:ascii="Times New Roman" w:cs="Times New Roman" w:eastAsia="Times New Roman" w:hAnsi="Times New Roman"/>
          <w:sz w:val="19"/>
          <w:szCs w:val="19"/>
          <w:color w:val="FF0000"/>
          <w:strike w:val="1"/>
        </w:rPr>
        <w:t>CDOR Rate</w:t>
      </w:r>
      <w:r>
        <w:rPr>
          <w:rFonts w:ascii="Times New Roman" w:cs="Times New Roman" w:eastAsia="Times New Roman" w:hAnsi="Times New Roman"/>
          <w:sz w:val="19"/>
          <w:szCs w:val="19"/>
          <w:u w:val="single" w:color="auto"/>
          <w:color w:val="0000FF"/>
        </w:rPr>
        <w:t>Term CORRA</w:t>
      </w:r>
      <w:r>
        <w:rPr>
          <w:rFonts w:ascii="Times New Roman" w:cs="Times New Roman" w:eastAsia="Times New Roman" w:hAnsi="Times New Roman"/>
          <w:sz w:val="19"/>
          <w:szCs w:val="19"/>
          <w:color w:val="auto"/>
        </w:rPr>
        <w:t xml:space="preserve"> Loan, as applicable, specifying the date and amount of repayment, whether the repayment is of SOFR Loans, </w:t>
      </w:r>
      <w:r>
        <w:rPr>
          <w:rFonts w:ascii="Times New Roman" w:cs="Times New Roman" w:eastAsia="Times New Roman" w:hAnsi="Times New Roman"/>
          <w:sz w:val="19"/>
          <w:szCs w:val="19"/>
          <w:color w:val="FF0000"/>
          <w:strike w:val="1"/>
        </w:rPr>
        <w:t>CDOR Rate</w:t>
      </w:r>
      <w:r>
        <w:rPr>
          <w:rFonts w:ascii="Times New Roman" w:cs="Times New Roman" w:eastAsia="Times New Roman" w:hAnsi="Times New Roman"/>
          <w:sz w:val="19"/>
          <w:szCs w:val="19"/>
          <w:u w:val="single" w:color="auto"/>
          <w:color w:val="0000FF"/>
        </w:rPr>
        <w:t>Term CORRA</w:t>
      </w:r>
      <w:r>
        <w:rPr>
          <w:rFonts w:ascii="Times New Roman" w:cs="Times New Roman" w:eastAsia="Times New Roman" w:hAnsi="Times New Roman"/>
          <w:sz w:val="19"/>
          <w:szCs w:val="19"/>
          <w:color w:val="auto"/>
        </w:rPr>
        <w:t xml:space="preserve"> Loans, Base Rate Loans or Canadian Base Rate Loans or a combination thereof, and if a combination thereof, the amount allocable to each and whether the repayment is of the Initial Term Loan, an Incremental Term Loan or a combination thereof, and if a combination thereof, the amount allocable to each. Each optional prepayment of the Term Loans hereunder shall be in an aggregate principal amount of at least $5,000,000 (or C$5,000,000) or any whole multiple of $1,000,000 (C$1,000,000) in excess thereof and shall be applied, on a pro rata basis, to the outstanding principal installments of the Term Loans being so repaid as directed by the applicable Borrowers (or, if not so directed, in direct order of maturity). Each repayment shall be accompanied by any amount required to be paid pursuant to </w:t>
      </w:r>
      <w:r>
        <w:rPr>
          <w:rFonts w:ascii="Times New Roman" w:cs="Times New Roman" w:eastAsia="Times New Roman" w:hAnsi="Times New Roman"/>
          <w:sz w:val="19"/>
          <w:szCs w:val="19"/>
          <w:u w:val="single" w:color="auto"/>
          <w:color w:val="auto"/>
        </w:rPr>
        <w:t>Section 5.9</w:t>
      </w:r>
      <w:r>
        <w:rPr>
          <w:rFonts w:ascii="Times New Roman" w:cs="Times New Roman" w:eastAsia="Times New Roman" w:hAnsi="Times New Roman"/>
          <w:sz w:val="19"/>
          <w:szCs w:val="19"/>
          <w:color w:val="auto"/>
        </w:rPr>
        <w:t xml:space="preserve"> hereof. A Notice of Prepayment received after 11:00 a.m. shall be deemed received on the next Business Day. The Administrative Agent shall promptly notify the applicable Term Loan Lenders of each Notice of Prepayment. Notwithstanding the foregoing, any Notice of Prepayment delivered in connection with any refinancing of all of the Credit Facility with the proceeds of such refinancing or of any other incurrence of Indebtedness may be, if expressly so stated to be, contingent upon the consummation of such refinancing or incurrence and may be revoked by the applicable Borrower in the event such refinancing is not consummated;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delay or failure of such contingency shall not relieve any Borrower from its obligations in respect thereof under </w:t>
      </w:r>
      <w:r>
        <w:rPr>
          <w:rFonts w:ascii="Times New Roman" w:cs="Times New Roman" w:eastAsia="Times New Roman" w:hAnsi="Times New Roman"/>
          <w:sz w:val="19"/>
          <w:szCs w:val="19"/>
          <w:u w:val="single" w:color="auto"/>
          <w:color w:val="auto"/>
        </w:rPr>
        <w:t>Section 5.9</w:t>
      </w:r>
      <w:r>
        <w:rPr>
          <w:rFonts w:ascii="Times New Roman" w:cs="Times New Roman" w:eastAsia="Times New Roman" w:hAnsi="Times New Roman"/>
          <w:sz w:val="19"/>
          <w:szCs w:val="19"/>
          <w:color w:val="auto"/>
        </w:rPr>
        <w:t>.</w:t>
      </w:r>
    </w:p>
    <w:p>
      <w:pPr>
        <w:spacing w:after="0" w:line="166" w:lineRule="exact"/>
        <w:rPr>
          <w:rFonts w:ascii="Times New Roman" w:cs="Times New Roman" w:eastAsia="Times New Roman" w:hAnsi="Times New Roman"/>
          <w:sz w:val="19"/>
          <w:szCs w:val="19"/>
          <w:color w:val="auto"/>
        </w:rPr>
      </w:pPr>
    </w:p>
    <w:p>
      <w:pPr>
        <w:ind w:left="1960" w:hanging="634"/>
        <w:spacing w:after="0"/>
        <w:tabs>
          <w:tab w:leader="none" w:pos="196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Mandatory Prepayments</w:t>
      </w:r>
      <w:r>
        <w:rPr>
          <w:rFonts w:ascii="Times New Roman" w:cs="Times New Roman" w:eastAsia="Times New Roman" w:hAnsi="Times New Roman"/>
          <w:sz w:val="20"/>
          <w:szCs w:val="20"/>
          <w:color w:val="auto"/>
        </w:rPr>
        <w:t>.</w:t>
      </w:r>
    </w:p>
    <w:p>
      <w:pPr>
        <w:spacing w:after="0" w:line="211" w:lineRule="exact"/>
        <w:rPr>
          <w:rFonts w:ascii="Times New Roman" w:cs="Times New Roman" w:eastAsia="Times New Roman" w:hAnsi="Times New Roman"/>
          <w:sz w:val="20"/>
          <w:szCs w:val="20"/>
          <w:color w:val="auto"/>
        </w:rPr>
      </w:pPr>
    </w:p>
    <w:p>
      <w:pPr>
        <w:jc w:val="both"/>
        <w:ind w:left="1320" w:right="60" w:firstLine="648"/>
        <w:spacing w:after="0" w:line="254" w:lineRule="auto"/>
        <w:tabs>
          <w:tab w:leader="none" w:pos="2561" w:val="left"/>
        </w:tabs>
        <w:numPr>
          <w:ilvl w:val="2"/>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Debt Issuances</w:t>
      </w:r>
      <w:r>
        <w:rPr>
          <w:rFonts w:ascii="Times New Roman" w:cs="Times New Roman" w:eastAsia="Times New Roman" w:hAnsi="Times New Roman"/>
          <w:sz w:val="20"/>
          <w:szCs w:val="20"/>
          <w:color w:val="auto"/>
        </w:rPr>
        <w:t xml:space="preserve">. The Borrowers shall make mandatory principal prepayments of the Loans in the manner set forth in </w:t>
      </w:r>
      <w:r>
        <w:rPr>
          <w:rFonts w:ascii="Times New Roman" w:cs="Times New Roman" w:eastAsia="Times New Roman" w:hAnsi="Times New Roman"/>
          <w:sz w:val="20"/>
          <w:szCs w:val="20"/>
          <w:u w:val="single" w:color="auto"/>
          <w:color w:val="auto"/>
        </w:rPr>
        <w:t>clause (v)</w:t>
      </w:r>
      <w:r>
        <w:rPr>
          <w:rFonts w:ascii="Times New Roman" w:cs="Times New Roman" w:eastAsia="Times New Roman" w:hAnsi="Times New Roman"/>
          <w:sz w:val="20"/>
          <w:szCs w:val="20"/>
          <w:color w:val="auto"/>
        </w:rPr>
        <w:t xml:space="preserve"> below in an amount equal to one hundred percent (100%) of the aggregate Net Cash Proceeds from any Debt Issuance of Refinancing Debt or any other Debt Issuance not otherwise permitted pursuant to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 Such prepayment shall be made within three (3) Business Days after the date of receipt of the Net Cash Proceeds of any such Debt Issuance.</w:t>
      </w:r>
    </w:p>
    <w:p>
      <w:pPr>
        <w:spacing w:after="0" w:line="173" w:lineRule="exact"/>
        <w:rPr>
          <w:rFonts w:ascii="Times New Roman" w:cs="Times New Roman" w:eastAsia="Times New Roman" w:hAnsi="Times New Roman"/>
          <w:sz w:val="20"/>
          <w:szCs w:val="20"/>
          <w:color w:val="auto"/>
        </w:rPr>
      </w:pPr>
    </w:p>
    <w:p>
      <w:pPr>
        <w:jc w:val="both"/>
        <w:ind w:left="1320" w:right="40" w:firstLine="648"/>
        <w:spacing w:after="0" w:line="251" w:lineRule="auto"/>
        <w:tabs>
          <w:tab w:leader="none" w:pos="2562" w:val="left"/>
        </w:tabs>
        <w:numPr>
          <w:ilvl w:val="2"/>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Asset Dispositions and Insurance and Condemnation Events</w:t>
      </w:r>
      <w:r>
        <w:rPr>
          <w:rFonts w:ascii="Times New Roman" w:cs="Times New Roman" w:eastAsia="Times New Roman" w:hAnsi="Times New Roman"/>
          <w:sz w:val="20"/>
          <w:szCs w:val="20"/>
          <w:color w:val="auto"/>
        </w:rPr>
        <w:t xml:space="preserve">. The Borrowers shall make mandatory principal prepayments of the Loans in the manner set forth in </w:t>
      </w:r>
      <w:r>
        <w:rPr>
          <w:rFonts w:ascii="Times New Roman" w:cs="Times New Roman" w:eastAsia="Times New Roman" w:hAnsi="Times New Roman"/>
          <w:sz w:val="20"/>
          <w:szCs w:val="20"/>
          <w:u w:val="single" w:color="auto"/>
          <w:color w:val="auto"/>
        </w:rPr>
        <w:t>clause (v)</w:t>
      </w:r>
      <w:r>
        <w:rPr>
          <w:rFonts w:ascii="Times New Roman" w:cs="Times New Roman" w:eastAsia="Times New Roman" w:hAnsi="Times New Roman"/>
          <w:sz w:val="20"/>
          <w:szCs w:val="20"/>
          <w:color w:val="auto"/>
        </w:rPr>
        <w:t xml:space="preserve"> below in amounts equal to one hundred percent (100%) of the aggregate Net Cash Proceeds from</w:t>
      </w:r>
    </w:p>
    <w:p>
      <w:pPr>
        <w:spacing w:after="0" w:line="1" w:lineRule="exact"/>
        <w:rPr>
          <w:rFonts w:ascii="Times New Roman" w:cs="Times New Roman" w:eastAsia="Times New Roman" w:hAnsi="Times New Roman"/>
          <w:sz w:val="20"/>
          <w:szCs w:val="20"/>
          <w:color w:val="auto"/>
        </w:rPr>
      </w:pPr>
    </w:p>
    <w:p>
      <w:pPr>
        <w:jc w:val="both"/>
        <w:ind w:left="1320" w:right="60" w:firstLine="6"/>
        <w:spacing w:after="0" w:line="250" w:lineRule="auto"/>
        <w:tabs>
          <w:tab w:leader="none" w:pos="1668"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Asset Disposition (other than any Asset Disposition permitted pursuant to, and in accordance with, clauses (a) through (p) of </w:t>
      </w:r>
      <w:r>
        <w:rPr>
          <w:rFonts w:ascii="Times New Roman" w:cs="Times New Roman" w:eastAsia="Times New Roman" w:hAnsi="Times New Roman"/>
          <w:sz w:val="20"/>
          <w:szCs w:val="20"/>
          <w:u w:val="single" w:color="auto"/>
          <w:color w:val="auto"/>
        </w:rPr>
        <w:t>Section 9.5</w:t>
      </w:r>
      <w:r>
        <w:rPr>
          <w:rFonts w:ascii="Times New Roman" w:cs="Times New Roman" w:eastAsia="Times New Roman" w:hAnsi="Times New Roman"/>
          <w:sz w:val="20"/>
          <w:szCs w:val="20"/>
          <w:color w:val="auto"/>
        </w:rPr>
        <w:t>) or (B) any Insurance and Condemnation Event, to the extent that the aggregate amount of such Net Cash Proceeds, in the case of each of clauses (A) and (B), respectively, exceed $5,000,000 during any Fiscal Year. Such prepayments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426">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118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20"/>
          </w:cols>
          <w:pgMar w:left="320" w:top="1440" w:right="459" w:bottom="1440" w:gutter="0" w:footer="0" w:header="0"/>
        </w:sectPr>
      </w:pPr>
    </w:p>
    <w:bookmarkStart w:id="267" w:name="page268"/>
    <w:bookmarkEnd w:id="267"/>
    <w:p>
      <w:pPr>
        <w:ind w:left="1320"/>
        <w:spacing w:after="0" w:line="277" w:lineRule="auto"/>
        <w:rPr>
          <w:sz w:val="20"/>
          <w:szCs w:val="20"/>
          <w:color w:val="auto"/>
        </w:rPr>
      </w:pPr>
      <w:r>
        <w:rPr>
          <w:rFonts w:ascii="Times New Roman" w:cs="Times New Roman" w:eastAsia="Times New Roman" w:hAnsi="Times New Roman"/>
          <w:sz w:val="20"/>
          <w:szCs w:val="20"/>
          <w:color w:val="auto"/>
        </w:rPr>
        <w:t xml:space="preserve">shall be made within three (3) Business Days after the date of receipt of the Net Cash Proceeds;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so long as no Default or Event of Default has occurred and is continuing,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427">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119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060"/>
          </w:cols>
          <w:pgMar w:left="320" w:top="1320" w:right="519" w:bottom="1440" w:gutter="0" w:footer="0" w:header="0"/>
        </w:sectPr>
      </w:pPr>
    </w:p>
    <w:bookmarkStart w:id="268" w:name="page269"/>
    <w:bookmarkEnd w:id="268"/>
    <w:p>
      <w:pPr>
        <w:spacing w:after="0" w:line="202" w:lineRule="exact"/>
        <w:rPr>
          <w:sz w:val="20"/>
          <w:szCs w:val="20"/>
          <w:color w:val="auto"/>
        </w:rPr>
      </w:pPr>
    </w:p>
    <w:p>
      <w:pPr>
        <w:jc w:val="both"/>
        <w:ind w:left="1320"/>
        <w:spacing w:after="0" w:line="257" w:lineRule="auto"/>
        <w:rPr>
          <w:sz w:val="20"/>
          <w:szCs w:val="20"/>
          <w:color w:val="auto"/>
        </w:rPr>
      </w:pPr>
      <w:r>
        <w:rPr>
          <w:rFonts w:ascii="Times New Roman" w:cs="Times New Roman" w:eastAsia="Times New Roman" w:hAnsi="Times New Roman"/>
          <w:sz w:val="20"/>
          <w:szCs w:val="20"/>
          <w:color w:val="auto"/>
        </w:rPr>
        <w:t xml:space="preserve">prepayment shall be required under this </w:t>
      </w:r>
      <w:r>
        <w:rPr>
          <w:rFonts w:ascii="Times New Roman" w:cs="Times New Roman" w:eastAsia="Times New Roman" w:hAnsi="Times New Roman"/>
          <w:sz w:val="20"/>
          <w:szCs w:val="20"/>
          <w:u w:val="single" w:color="auto"/>
          <w:color w:val="auto"/>
        </w:rPr>
        <w:t>Section 4.4(b)(ii)</w:t>
      </w:r>
      <w:r>
        <w:rPr>
          <w:rFonts w:ascii="Times New Roman" w:cs="Times New Roman" w:eastAsia="Times New Roman" w:hAnsi="Times New Roman"/>
          <w:sz w:val="20"/>
          <w:szCs w:val="20"/>
          <w:color w:val="auto"/>
        </w:rPr>
        <w:t xml:space="preserve"> with respect to such portion of such Net Cash Proceeds that Centuri shall have reinvested, or prior to such date given written notice to the Administrative Agent of its intent to reinvest in accordance with </w:t>
      </w:r>
      <w:r>
        <w:rPr>
          <w:rFonts w:ascii="Times New Roman" w:cs="Times New Roman" w:eastAsia="Times New Roman" w:hAnsi="Times New Roman"/>
          <w:sz w:val="20"/>
          <w:szCs w:val="20"/>
          <w:u w:val="single" w:color="auto"/>
          <w:color w:val="auto"/>
        </w:rPr>
        <w:t>Section 4.4(b)(iii)</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jc w:val="both"/>
        <w:ind w:left="1320" w:right="40" w:firstLine="648"/>
        <w:spacing w:after="0" w:line="247" w:lineRule="auto"/>
        <w:tabs>
          <w:tab w:leader="none" w:pos="2563"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Reinvestment Option</w:t>
      </w:r>
      <w:r>
        <w:rPr>
          <w:rFonts w:ascii="Times New Roman" w:cs="Times New Roman" w:eastAsia="Times New Roman" w:hAnsi="Times New Roman"/>
          <w:sz w:val="20"/>
          <w:szCs w:val="20"/>
          <w:color w:val="auto"/>
        </w:rPr>
        <w:t xml:space="preserve">. With respect to any Net Cash Proceeds realized or received with respect to any Asset Disposition or any Insurance and Condemnation Event by any Credit Party of any Subsidiary thereof (in each case, to the extent not excluded pursuant to </w:t>
      </w:r>
      <w:r>
        <w:rPr>
          <w:rFonts w:ascii="Times New Roman" w:cs="Times New Roman" w:eastAsia="Times New Roman" w:hAnsi="Times New Roman"/>
          <w:sz w:val="20"/>
          <w:szCs w:val="20"/>
          <w:u w:val="single" w:color="auto"/>
          <w:color w:val="auto"/>
        </w:rPr>
        <w:t>Section 4.4(b)(ii)</w:t>
      </w:r>
      <w:r>
        <w:rPr>
          <w:rFonts w:ascii="Times New Roman" w:cs="Times New Roman" w:eastAsia="Times New Roman" w:hAnsi="Times New Roman"/>
          <w:sz w:val="20"/>
          <w:szCs w:val="20"/>
          <w:color w:val="auto"/>
        </w:rPr>
        <w:t xml:space="preserve">), at the option of Centuri, the Credit Parties may reinvest all or any portion of such Net Cash Proceeds in assets used or useful for the business of the Credit Parties and their Subsidiaries within (x) twelve (12) months following receipt of such Net Cash Proceeds or (y) if such Credit Party enters into a bona fide commitment to reinvest such Net Cash Proceeds within twelve (12) months following receipt thereof, within the later of (A) twelve (12) months following receipt thereof and (B) six (6) months of the date of such commitment;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Net Cash Proceeds are no longer intended to be or cannot be so reinvested at any time after delivery of a notice of reinvestment election, an amount equal to any such Net Cash Proceeds shall be applied within three (3) Business Days after the applicable Credit Party reasonably determines that such Net Cash Proceeds are no longer intended to be or cannot be so reinvested to the prepayment of the Term Loans as set forth in this </w:t>
      </w:r>
      <w:r>
        <w:rPr>
          <w:rFonts w:ascii="Times New Roman" w:cs="Times New Roman" w:eastAsia="Times New Roman" w:hAnsi="Times New Roman"/>
          <w:sz w:val="20"/>
          <w:szCs w:val="20"/>
          <w:u w:val="single" w:color="auto"/>
          <w:color w:val="auto"/>
        </w:rPr>
        <w:t>Section 4.4(b)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any Net Cash Proceeds relating to Collateral shall be reinvested in assets constituting Collateral. Pending the final application of any such Net Cash Proceeds, the applicable Credit Party may invest an amount equal to such Net Cash Proceeds in any manner that is not prohibited by this Agreement.</w:t>
      </w:r>
    </w:p>
    <w:p>
      <w:pPr>
        <w:spacing w:after="0" w:line="176" w:lineRule="exact"/>
        <w:rPr>
          <w:rFonts w:ascii="Times New Roman" w:cs="Times New Roman" w:eastAsia="Times New Roman" w:hAnsi="Times New Roman"/>
          <w:sz w:val="20"/>
          <w:szCs w:val="20"/>
          <w:color w:val="auto"/>
        </w:rPr>
      </w:pPr>
    </w:p>
    <w:p>
      <w:pPr>
        <w:jc w:val="both"/>
        <w:ind w:left="1320" w:right="20" w:firstLine="648"/>
        <w:spacing w:after="0" w:line="246" w:lineRule="auto"/>
        <w:tabs>
          <w:tab w:leader="none" w:pos="2566"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Excess Cash Flow</w:t>
      </w:r>
      <w:r>
        <w:rPr>
          <w:rFonts w:ascii="Times New Roman" w:cs="Times New Roman" w:eastAsia="Times New Roman" w:hAnsi="Times New Roman"/>
          <w:sz w:val="20"/>
          <w:szCs w:val="20"/>
          <w:color w:val="auto"/>
        </w:rPr>
        <w:t xml:space="preserve">. After the end of each Fiscal Year (commencing with the Fiscal Year ending December 31, 2022), within five (5) Business Days after the earlier to occur of (x) the actual delivery of the financial statements and related Officer’s Compliance Certificate for such Fiscal Year and (y) the date on which the financial statements and the related Officer’s Compliance Certificate for such Fiscal Year are required to be delivered pursuant to </w:t>
      </w:r>
      <w:r>
        <w:rPr>
          <w:rFonts w:ascii="Times New Roman" w:cs="Times New Roman" w:eastAsia="Times New Roman" w:hAnsi="Times New Roman"/>
          <w:sz w:val="20"/>
          <w:szCs w:val="20"/>
          <w:u w:val="single" w:color="auto"/>
          <w:color w:val="auto"/>
        </w:rPr>
        <w:t>Section 8.1(a)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8.2(a)</w:t>
      </w:r>
      <w:r>
        <w:rPr>
          <w:rFonts w:ascii="Times New Roman" w:cs="Times New Roman" w:eastAsia="Times New Roman" w:hAnsi="Times New Roman"/>
          <w:sz w:val="20"/>
          <w:szCs w:val="20"/>
          <w:color w:val="auto"/>
        </w:rPr>
        <w:t xml:space="preserve">, the Borrowers shall make mandatory principal prepayments of the Loans in the manner set forth in </w:t>
      </w:r>
      <w:r>
        <w:rPr>
          <w:rFonts w:ascii="Times New Roman" w:cs="Times New Roman" w:eastAsia="Times New Roman" w:hAnsi="Times New Roman"/>
          <w:sz w:val="20"/>
          <w:szCs w:val="20"/>
          <w:u w:val="single" w:color="auto"/>
          <w:color w:val="auto"/>
        </w:rPr>
        <w:t>clause (v)</w:t>
      </w:r>
      <w:r>
        <w:rPr>
          <w:rFonts w:ascii="Times New Roman" w:cs="Times New Roman" w:eastAsia="Times New Roman" w:hAnsi="Times New Roman"/>
          <w:sz w:val="20"/>
          <w:szCs w:val="20"/>
          <w:color w:val="auto"/>
        </w:rPr>
        <w:t xml:space="preserve"> below in an amount equal to (A) the applicable ECF Percentage for such Fiscal Year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Excess Cash Flow for such Fiscal Year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(B) the aggregate amount of (i) all optional prepayments of Revolving Credit Loans during such Fiscal Year (solely to the extent accompanied by permanent optional reductions in the Revolving Credit Commitment) and (ii) all optional prepayments of any Term Loans during such Fiscal Year, in each case to the extent that such prepayments are not funded with the incurrence of any Indebtedness, any Equity Issuance, any casualty proceeds, any condemnation proceeds or any other proceeds that would not be included in Consolidated EBITDA;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so long as no Event of Default has occurred and is continuing or would result therefrom, no such prepayments shall be required unless Excess Cash Flow for such year equals or exceeds</w:t>
      </w:r>
    </w:p>
    <w:p>
      <w:pPr>
        <w:spacing w:after="0" w:line="6" w:lineRule="exact"/>
        <w:rPr>
          <w:rFonts w:ascii="Times New Roman" w:cs="Times New Roman" w:eastAsia="Times New Roman" w:hAnsi="Times New Roman"/>
          <w:sz w:val="20"/>
          <w:szCs w:val="20"/>
          <w:color w:val="auto"/>
        </w:rPr>
      </w:pPr>
    </w:p>
    <w:p>
      <w:pPr>
        <w:ind w:left="1320"/>
        <w:spacing w:after="0" w:line="23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$5,000,000, at which point the Borrowers shall cause to be prepaid an aggregate principal</w:t>
      </w:r>
    </w:p>
    <w:p>
      <w:pPr>
        <w:ind w:left="13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 of Loans equal to the applicable percentage of Excess Cash Flow as set forth herein from the first dollar.</w:t>
      </w:r>
    </w:p>
    <w:p>
      <w:pPr>
        <w:spacing w:after="0" w:line="189" w:lineRule="exact"/>
        <w:rPr>
          <w:rFonts w:ascii="Times New Roman" w:cs="Times New Roman" w:eastAsia="Times New Roman" w:hAnsi="Times New Roman"/>
          <w:sz w:val="20"/>
          <w:szCs w:val="20"/>
          <w:color w:val="auto"/>
        </w:rPr>
      </w:pPr>
    </w:p>
    <w:p>
      <w:pPr>
        <w:jc w:val="both"/>
        <w:ind w:left="1320" w:firstLine="648"/>
        <w:spacing w:after="0" w:line="254" w:lineRule="auto"/>
        <w:tabs>
          <w:tab w:leader="none" w:pos="2565"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Manner of Payment</w:t>
      </w:r>
      <w:r>
        <w:rPr>
          <w:rFonts w:ascii="Times New Roman" w:cs="Times New Roman" w:eastAsia="Times New Roman" w:hAnsi="Times New Roman"/>
          <w:sz w:val="20"/>
          <w:szCs w:val="20"/>
          <w:color w:val="auto"/>
        </w:rPr>
        <w:t xml:space="preserve">. Upon the occurrence of any event triggering the prepayment requirement under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through and including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above, the applicable Borrower shall promptly deliver a Notice of Prepayment to the Administrative Agent and upon receipt of such notice, the Administrative Agent shall promptly so notify the Lenders. Each prepayment of the Loans under this Section shall be applied as follows: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ratably between the Initial Term Loan and any Incremental Term Loans to reduce on a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basis (applied to</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28">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120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20"/>
          </w:cols>
          <w:pgMar w:left="320" w:top="1440" w:right="459" w:bottom="1440" w:gutter="0" w:footer="0" w:header="0"/>
        </w:sectPr>
      </w:pPr>
    </w:p>
    <w:bookmarkStart w:id="269" w:name="page270"/>
    <w:bookmarkEnd w:id="269"/>
    <w:p>
      <w:pPr>
        <w:spacing w:after="0" w:line="95" w:lineRule="exact"/>
        <w:rPr>
          <w:sz w:val="20"/>
          <w:szCs w:val="20"/>
          <w:color w:val="auto"/>
        </w:rPr>
      </w:pPr>
    </w:p>
    <w:p>
      <w:pPr>
        <w:ind w:left="1320"/>
        <w:spacing w:after="0" w:line="277" w:lineRule="auto"/>
        <w:rPr>
          <w:sz w:val="20"/>
          <w:szCs w:val="20"/>
          <w:color w:val="auto"/>
        </w:rPr>
      </w:pPr>
      <w:r>
        <w:rPr>
          <w:rFonts w:ascii="Times New Roman" w:cs="Times New Roman" w:eastAsia="Times New Roman" w:hAnsi="Times New Roman"/>
          <w:sz w:val="20"/>
          <w:szCs w:val="20"/>
          <w:color w:val="auto"/>
        </w:rPr>
        <w:t xml:space="preserve">reduce the remaining scheduled principal installments of the Initial Term Loan and any Incremental Term Loans on a </w:t>
      </w:r>
      <w:r>
        <w:rPr>
          <w:rFonts w:ascii="Times New Roman" w:cs="Times New Roman" w:eastAsia="Times New Roman" w:hAnsi="Times New Roman"/>
          <w:sz w:val="20"/>
          <w:szCs w:val="20"/>
          <w:u w:val="single" w:color="auto"/>
          <w:color w:val="auto"/>
        </w:rPr>
        <w:t>pro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rata</w:t>
      </w:r>
      <w:r>
        <w:rPr>
          <w:rFonts w:ascii="Times New Roman" w:cs="Times New Roman" w:eastAsia="Times New Roman" w:hAnsi="Times New Roman"/>
          <w:sz w:val="20"/>
          <w:szCs w:val="20"/>
          <w:color w:val="auto"/>
        </w:rPr>
        <w:t xml:space="preserve"> basis) and (ii)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to the extent of any excess, to repay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29">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121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270" w:name="page271"/>
    <w:bookmarkEnd w:id="270"/>
    <w:p>
      <w:pPr>
        <w:spacing w:after="0" w:line="202" w:lineRule="exact"/>
        <w:rPr>
          <w:sz w:val="20"/>
          <w:szCs w:val="20"/>
          <w:color w:val="auto"/>
        </w:rPr>
      </w:pPr>
    </w:p>
    <w:p>
      <w:pPr>
        <w:jc w:val="both"/>
        <w:ind w:left="1320" w:right="20"/>
        <w:spacing w:after="0" w:line="247" w:lineRule="auto"/>
        <w:rPr>
          <w:sz w:val="20"/>
          <w:szCs w:val="20"/>
          <w:color w:val="auto"/>
        </w:rPr>
      </w:pPr>
      <w:r>
        <w:rPr>
          <w:rFonts w:ascii="Times New Roman" w:cs="Times New Roman" w:eastAsia="Times New Roman" w:hAnsi="Times New Roman"/>
          <w:sz w:val="20"/>
          <w:szCs w:val="20"/>
          <w:color w:val="auto"/>
        </w:rPr>
        <w:t xml:space="preserve">the Revolving Credit Loans pursuant to </w:t>
      </w:r>
      <w:r>
        <w:rPr>
          <w:rFonts w:ascii="Times New Roman" w:cs="Times New Roman" w:eastAsia="Times New Roman" w:hAnsi="Times New Roman"/>
          <w:sz w:val="20"/>
          <w:szCs w:val="20"/>
          <w:u w:val="single" w:color="auto"/>
          <w:color w:val="auto"/>
        </w:rPr>
        <w:t>Section 2.4(d)</w:t>
      </w:r>
      <w:r>
        <w:rPr>
          <w:rFonts w:ascii="Times New Roman" w:cs="Times New Roman" w:eastAsia="Times New Roman" w:hAnsi="Times New Roman"/>
          <w:sz w:val="20"/>
          <w:szCs w:val="20"/>
          <w:color w:val="auto"/>
        </w:rPr>
        <w:t xml:space="preserve">, without a corresponding reduction in the Revolving Credit Commitment. Proceeds of any Refinancing Debt shall be applied solely to prepay each applicable Class of Term Loans and/or Revolving Credit Loans subject to such Refinance. Notwithstanding the foregoing, with respect to any Net Cash Proceeds from any Asset Disposition or Insurance and Condemnation Event, the applicable Borrower may prepay Term Loans and prepay or purchase any Refinancing Notes or Incremental Equivalent Indebtedness that is secured by the Collateral on a pari passu basis (at a purchase price no greater than par plus accrued and unpaid interest), to the extent required thereby, on a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basis in accordance with the respective outstanding principal amounts of the Term Loans and such Refinancing Notes or Incremental Equivalent Indebtedness as of the time of the applicable Asset Disposition or Insurance and Condemnation Event.</w:t>
      </w:r>
    </w:p>
    <w:p>
      <w:pPr>
        <w:spacing w:after="0" w:line="184" w:lineRule="exact"/>
        <w:rPr>
          <w:sz w:val="20"/>
          <w:szCs w:val="20"/>
          <w:color w:val="auto"/>
        </w:rPr>
      </w:pPr>
    </w:p>
    <w:p>
      <w:pPr>
        <w:jc w:val="both"/>
        <w:ind w:left="1320" w:right="20" w:firstLine="648"/>
        <w:spacing w:after="0" w:line="249" w:lineRule="auto"/>
        <w:tabs>
          <w:tab w:leader="none" w:pos="2566"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Rejection Right</w:t>
      </w:r>
      <w:r>
        <w:rPr>
          <w:rFonts w:ascii="Times New Roman" w:cs="Times New Roman" w:eastAsia="Times New Roman" w:hAnsi="Times New Roman"/>
          <w:sz w:val="20"/>
          <w:szCs w:val="20"/>
          <w:color w:val="auto"/>
        </w:rPr>
        <w:t xml:space="preserve">. Each Term Loan Lender may reject all (but not less than all) of its pro rata share of any mandatory prepayment (except in the case of any prepayment of Term Loans in accordance with </w:t>
      </w:r>
      <w:r>
        <w:rPr>
          <w:rFonts w:ascii="Times New Roman" w:cs="Times New Roman" w:eastAsia="Times New Roman" w:hAnsi="Times New Roman"/>
          <w:sz w:val="20"/>
          <w:szCs w:val="20"/>
          <w:u w:val="single" w:color="auto"/>
          <w:color w:val="auto"/>
        </w:rPr>
        <w:t>Section 4.4(b)(i)</w:t>
      </w:r>
      <w:r>
        <w:rPr>
          <w:rFonts w:ascii="Times New Roman" w:cs="Times New Roman" w:eastAsia="Times New Roman" w:hAnsi="Times New Roman"/>
          <w:sz w:val="20"/>
          <w:szCs w:val="20"/>
          <w:color w:val="auto"/>
        </w:rPr>
        <w:t xml:space="preserve"> with the proceeds of Refinancing Debt) (such declined amounts, the “</w:t>
      </w:r>
      <w:r>
        <w:rPr>
          <w:rFonts w:ascii="Times New Roman" w:cs="Times New Roman" w:eastAsia="Times New Roman" w:hAnsi="Times New Roman"/>
          <w:sz w:val="20"/>
          <w:szCs w:val="20"/>
          <w:u w:val="single" w:color="auto"/>
          <w:color w:val="auto"/>
        </w:rPr>
        <w:t>Declined Proceeds</w:t>
      </w:r>
      <w:r>
        <w:rPr>
          <w:rFonts w:ascii="Times New Roman" w:cs="Times New Roman" w:eastAsia="Times New Roman" w:hAnsi="Times New Roman"/>
          <w:sz w:val="20"/>
          <w:szCs w:val="20"/>
          <w:color w:val="auto"/>
        </w:rPr>
        <w:t xml:space="preserve">”) of Term Loans required to be made pursuant to </w:t>
      </w:r>
      <w:r>
        <w:rPr>
          <w:rFonts w:ascii="Times New Roman" w:cs="Times New Roman" w:eastAsia="Times New Roman" w:hAnsi="Times New Roman"/>
          <w:sz w:val="20"/>
          <w:szCs w:val="20"/>
          <w:u w:val="single" w:color="auto"/>
          <w:color w:val="auto"/>
        </w:rPr>
        <w:t>Section 4.4(b)</w:t>
      </w:r>
      <w:r>
        <w:rPr>
          <w:rFonts w:ascii="Times New Roman" w:cs="Times New Roman" w:eastAsia="Times New Roman" w:hAnsi="Times New Roman"/>
          <w:sz w:val="20"/>
          <w:szCs w:val="20"/>
          <w:color w:val="auto"/>
        </w:rPr>
        <w:t xml:space="preserve"> by providing written notice to the Administrative Agent no later than 5:00 p.m. one Business Day after the date of such Lender’s receipt of notice from the Administrative Agent regarding such prepayment. If a Lender fails to deliver a notice of rejection to the Administrative Agent within the time frame specified above, any such failure will be deemed an acceptance of the total amount of such mandatory prepayment of Term Loans. Any Declined Proceeds remaining after offering such Declined Proceeds to the Lenders in accordance with the terms hereof shall be retained by the Borrowers and used for any purpose not prohibited by this Agreement.</w:t>
      </w:r>
    </w:p>
    <w:p>
      <w:pPr>
        <w:spacing w:after="0" w:line="179" w:lineRule="exact"/>
        <w:rPr>
          <w:rFonts w:ascii="Times New Roman" w:cs="Times New Roman" w:eastAsia="Times New Roman" w:hAnsi="Times New Roman"/>
          <w:sz w:val="20"/>
          <w:szCs w:val="20"/>
          <w:color w:val="auto"/>
        </w:rPr>
      </w:pPr>
    </w:p>
    <w:p>
      <w:pPr>
        <w:jc w:val="both"/>
        <w:ind w:left="1320" w:firstLine="648"/>
        <w:spacing w:after="0" w:line="261" w:lineRule="auto"/>
        <w:tabs>
          <w:tab w:leader="none" w:pos="2567" w:val="left"/>
        </w:tabs>
        <w:numPr>
          <w:ilvl w:val="1"/>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Prepayment of SOFR Loans and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CDOR Rate</w:t>
      </w:r>
      <w:r>
        <w:rPr>
          <w:rFonts w:ascii="Times New Roman" w:cs="Times New Roman" w:eastAsia="Times New Roman" w:hAnsi="Times New Roman"/>
          <w:sz w:val="19"/>
          <w:szCs w:val="19"/>
          <w:color w:val="0000FF"/>
        </w:rPr>
        <w:t>Term CORRA</w:t>
      </w:r>
      <w:r>
        <w:rPr>
          <w:rFonts w:ascii="Times New Roman" w:cs="Times New Roman" w:eastAsia="Times New Roman" w:hAnsi="Times New Roman"/>
          <w:sz w:val="19"/>
          <w:szCs w:val="19"/>
          <w:color w:val="auto"/>
        </w:rPr>
        <w:t xml:space="preserve"> Loans. Each prepayment shall be accompanied by any amount required to be paid pursuant to </w:t>
      </w:r>
      <w:r>
        <w:rPr>
          <w:rFonts w:ascii="Times New Roman" w:cs="Times New Roman" w:eastAsia="Times New Roman" w:hAnsi="Times New Roman"/>
          <w:sz w:val="19"/>
          <w:szCs w:val="19"/>
          <w:u w:val="single" w:color="auto"/>
          <w:color w:val="auto"/>
        </w:rPr>
        <w:t>Section 5.9</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so long as no Default or Event of Default shall have occurred and be continuing, if any prepayment of SOFR Loans or </w:t>
      </w:r>
      <w:r>
        <w:rPr>
          <w:rFonts w:ascii="Times New Roman" w:cs="Times New Roman" w:eastAsia="Times New Roman" w:hAnsi="Times New Roman"/>
          <w:sz w:val="19"/>
          <w:szCs w:val="19"/>
          <w:color w:val="FF0000"/>
          <w:strike w:val="1"/>
        </w:rPr>
        <w:t>CDOR Rate</w:t>
      </w:r>
      <w:r>
        <w:rPr>
          <w:rFonts w:ascii="Times New Roman" w:cs="Times New Roman" w:eastAsia="Times New Roman" w:hAnsi="Times New Roman"/>
          <w:sz w:val="19"/>
          <w:szCs w:val="19"/>
          <w:u w:val="single" w:color="auto"/>
          <w:color w:val="0000FF"/>
        </w:rPr>
        <w:t>Term CORRA</w:t>
      </w:r>
      <w:r>
        <w:rPr>
          <w:rFonts w:ascii="Times New Roman" w:cs="Times New Roman" w:eastAsia="Times New Roman" w:hAnsi="Times New Roman"/>
          <w:sz w:val="19"/>
          <w:szCs w:val="19"/>
          <w:color w:val="auto"/>
        </w:rPr>
        <w:t xml:space="preserve"> Loans is required to be made under this </w:t>
      </w:r>
      <w:r>
        <w:rPr>
          <w:rFonts w:ascii="Times New Roman" w:cs="Times New Roman" w:eastAsia="Times New Roman" w:hAnsi="Times New Roman"/>
          <w:sz w:val="19"/>
          <w:szCs w:val="19"/>
          <w:u w:val="single" w:color="auto"/>
          <w:color w:val="auto"/>
        </w:rPr>
        <w:t>Section 4.4(b)</w:t>
      </w:r>
      <w:r>
        <w:rPr>
          <w:rFonts w:ascii="Times New Roman" w:cs="Times New Roman" w:eastAsia="Times New Roman" w:hAnsi="Times New Roman"/>
          <w:sz w:val="19"/>
          <w:szCs w:val="19"/>
          <w:color w:val="auto"/>
        </w:rPr>
        <w:t xml:space="preserve"> prior to the last day of the Interest Period therefor, in lieu of making any payment pursuant to this </w:t>
      </w:r>
      <w:r>
        <w:rPr>
          <w:rFonts w:ascii="Times New Roman" w:cs="Times New Roman" w:eastAsia="Times New Roman" w:hAnsi="Times New Roman"/>
          <w:sz w:val="19"/>
          <w:szCs w:val="19"/>
          <w:u w:val="single" w:color="auto"/>
          <w:color w:val="auto"/>
        </w:rPr>
        <w:t>Section 4.4(b)</w:t>
      </w:r>
      <w:r>
        <w:rPr>
          <w:rFonts w:ascii="Times New Roman" w:cs="Times New Roman" w:eastAsia="Times New Roman" w:hAnsi="Times New Roman"/>
          <w:sz w:val="19"/>
          <w:szCs w:val="19"/>
          <w:color w:val="auto"/>
        </w:rPr>
        <w:t xml:space="preserve"> in respect of any such SOFR Loan or </w:t>
      </w:r>
      <w:r>
        <w:rPr>
          <w:rFonts w:ascii="Times New Roman" w:cs="Times New Roman" w:eastAsia="Times New Roman" w:hAnsi="Times New Roman"/>
          <w:sz w:val="19"/>
          <w:szCs w:val="19"/>
          <w:color w:val="FF0000"/>
          <w:strike w:val="1"/>
        </w:rPr>
        <w:t>CDOR Rate Loans</w:t>
      </w:r>
      <w:r>
        <w:rPr>
          <w:rFonts w:ascii="Times New Roman" w:cs="Times New Roman" w:eastAsia="Times New Roman" w:hAnsi="Times New Roman"/>
          <w:sz w:val="19"/>
          <w:szCs w:val="19"/>
          <w:u w:val="single" w:color="auto"/>
          <w:color w:val="0000FF"/>
        </w:rPr>
        <w:t>Term CORRA Loan</w:t>
      </w:r>
      <w:r>
        <w:rPr>
          <w:rFonts w:ascii="Times New Roman" w:cs="Times New Roman" w:eastAsia="Times New Roman" w:hAnsi="Times New Roman"/>
          <w:sz w:val="19"/>
          <w:szCs w:val="19"/>
          <w:color w:val="auto"/>
        </w:rPr>
        <w:t xml:space="preserve"> prior to the last day of the Interest Period therefor, the applicable Borrower may, in its sole discretion, deposit an amount sufficient to make any such prepayment otherwise required to be made thereunder together with accrued interest to the last day of such Interest Period into an account held at, and subject to the sole control of, the Administrative Agent until the last day of such Interest Period, at which time the Administrative Agent shall be authorized (without any further action by or notice to or from the Borrowers or any other Credit Party) to apply such amount to the prepayment of such Term Loans in accordance with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4.4(b)</w:t>
      </w:r>
      <w:r>
        <w:rPr>
          <w:rFonts w:ascii="Times New Roman" w:cs="Times New Roman" w:eastAsia="Times New Roman" w:hAnsi="Times New Roman"/>
          <w:sz w:val="19"/>
          <w:szCs w:val="19"/>
          <w:color w:val="auto"/>
        </w:rPr>
        <w:t xml:space="preserve">. Upon the occurrence and during the continuance of any Default or Event of Default, the Administrative Agent shall also be authorized (without any further action by or notice to or from the Borrowers or any other Credit Party) to apply such amount to the prepayment of the outstanding Term Loans in accordance with the relevant provisions of this </w:t>
      </w:r>
      <w:r>
        <w:rPr>
          <w:rFonts w:ascii="Times New Roman" w:cs="Times New Roman" w:eastAsia="Times New Roman" w:hAnsi="Times New Roman"/>
          <w:sz w:val="19"/>
          <w:szCs w:val="19"/>
          <w:u w:val="single" w:color="auto"/>
          <w:color w:val="auto"/>
        </w:rPr>
        <w:t>Section 4.4(b)</w:t>
      </w:r>
      <w:r>
        <w:rPr>
          <w:rFonts w:ascii="Times New Roman" w:cs="Times New Roman" w:eastAsia="Times New Roman" w:hAnsi="Times New Roman"/>
          <w:sz w:val="19"/>
          <w:szCs w:val="19"/>
          <w:color w:val="auto"/>
        </w:rPr>
        <w:t>.</w:t>
      </w:r>
    </w:p>
    <w:p>
      <w:pPr>
        <w:spacing w:after="0" w:line="161" w:lineRule="exact"/>
        <w:rPr>
          <w:rFonts w:ascii="Times New Roman" w:cs="Times New Roman" w:eastAsia="Times New Roman" w:hAnsi="Times New Roman"/>
          <w:sz w:val="19"/>
          <w:szCs w:val="19"/>
          <w:color w:val="auto"/>
        </w:rPr>
      </w:pPr>
    </w:p>
    <w:p>
      <w:pPr>
        <w:ind w:left="2580" w:hanging="612"/>
        <w:spacing w:after="0"/>
        <w:tabs>
          <w:tab w:leader="none" w:pos="2580" w:val="left"/>
        </w:tabs>
        <w:numPr>
          <w:ilvl w:val="1"/>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Reborrowings</w:t>
      </w:r>
      <w:r>
        <w:rPr>
          <w:rFonts w:ascii="Times New Roman" w:cs="Times New Roman" w:eastAsia="Times New Roman" w:hAnsi="Times New Roman"/>
          <w:sz w:val="19"/>
          <w:szCs w:val="19"/>
          <w:color w:val="auto"/>
        </w:rPr>
        <w:t>. Amounts prepaid under the Term Loan pursuant to this Section may not be reborrowed.</w:t>
      </w:r>
    </w:p>
    <w:p>
      <w:pPr>
        <w:spacing w:after="0" w:line="236" w:lineRule="exact"/>
        <w:rPr>
          <w:rFonts w:ascii="Times New Roman" w:cs="Times New Roman" w:eastAsia="Times New Roman" w:hAnsi="Times New Roman"/>
          <w:sz w:val="19"/>
          <w:szCs w:val="19"/>
          <w:color w:val="auto"/>
        </w:rPr>
      </w:pPr>
    </w:p>
    <w:p>
      <w:pPr>
        <w:ind w:left="680" w:right="20" w:firstLine="646"/>
        <w:spacing w:after="0" w:line="263" w:lineRule="auto"/>
        <w:tabs>
          <w:tab w:leader="none" w:pos="1927"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Call Premium</w:t>
      </w:r>
      <w:r>
        <w:rPr>
          <w:rFonts w:ascii="Times New Roman" w:cs="Times New Roman" w:eastAsia="Times New Roman" w:hAnsi="Times New Roman"/>
          <w:sz w:val="20"/>
          <w:szCs w:val="20"/>
          <w:color w:val="auto"/>
        </w:rPr>
        <w:t>. In connection with any Repricing Transaction that is consummated in respect of all or any portion of the Initial Term Loans, during the six (6) month period following the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30">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122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20"/>
          </w:cols>
          <w:pgMar w:left="320" w:top="1440" w:right="459" w:bottom="1440" w:gutter="0" w:footer="0" w:header="0"/>
        </w:sectPr>
      </w:pPr>
    </w:p>
    <w:bookmarkStart w:id="271" w:name="page272"/>
    <w:bookmarkEnd w:id="271"/>
    <w:p>
      <w:pPr>
        <w:spacing w:after="0" w:line="95" w:lineRule="exact"/>
        <w:rPr>
          <w:sz w:val="20"/>
          <w:szCs w:val="20"/>
          <w:color w:val="auto"/>
        </w:rPr>
      </w:pPr>
    </w:p>
    <w:p>
      <w:pPr>
        <w:ind w:left="680"/>
        <w:spacing w:after="0" w:line="277" w:lineRule="auto"/>
        <w:rPr>
          <w:sz w:val="20"/>
          <w:szCs w:val="20"/>
          <w:color w:val="auto"/>
        </w:rPr>
      </w:pPr>
      <w:r>
        <w:rPr>
          <w:rFonts w:ascii="Times New Roman" w:cs="Times New Roman" w:eastAsia="Times New Roman" w:hAnsi="Times New Roman"/>
          <w:sz w:val="20"/>
          <w:szCs w:val="20"/>
          <w:color w:val="auto"/>
        </w:rPr>
        <w:t>Closing Date, the Borrower shall pay to the Administrative Agent, for the ratable benefit each Term Loan Lender, a fee equal to 1.0% of the aggregate principal amount of the Initial Term Loans of such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31">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123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272" w:name="page273"/>
    <w:bookmarkEnd w:id="272"/>
    <w:p>
      <w:pPr>
        <w:spacing w:after="0" w:line="20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Loan Lender subject to such Repricing Transaction (it being understood that any such fees under clause</w:t>
      </w:r>
    </w:p>
    <w:p>
      <w:pPr>
        <w:spacing w:after="0" w:line="6" w:lineRule="exact"/>
        <w:rPr>
          <w:sz w:val="20"/>
          <w:szCs w:val="20"/>
          <w:color w:val="auto"/>
        </w:rPr>
      </w:pPr>
    </w:p>
    <w:p>
      <w:pPr>
        <w:jc w:val="both"/>
        <w:ind w:left="680" w:right="40" w:firstLine="4"/>
        <w:spacing w:after="0" w:line="252" w:lineRule="auto"/>
        <w:tabs>
          <w:tab w:leader="none" w:pos="979"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of the definition of “Repricing Transaction” shall be paid to each Non-Consenting Lender that is replaced in such Repricing Transaction pursuant to </w:t>
      </w:r>
      <w:r>
        <w:rPr>
          <w:rFonts w:ascii="Times New Roman" w:cs="Times New Roman" w:eastAsia="Times New Roman" w:hAnsi="Times New Roman"/>
          <w:sz w:val="20"/>
          <w:szCs w:val="20"/>
          <w:u w:val="single" w:color="auto"/>
          <w:color w:val="auto"/>
        </w:rPr>
        <w:t>Section 5.12(b)</w:t>
      </w:r>
      <w:r>
        <w:rPr>
          <w:rFonts w:ascii="Times New Roman" w:cs="Times New Roman" w:eastAsia="Times New Roman" w:hAnsi="Times New Roman"/>
          <w:sz w:val="20"/>
          <w:szCs w:val="20"/>
          <w:color w:val="auto"/>
        </w:rPr>
        <w:t>). Such fees shall be due and payable within three (3) Business Days of the date of the effectiveness of such Repricing Transaction.</w:t>
      </w:r>
    </w:p>
    <w:p>
      <w:pPr>
        <w:spacing w:after="0" w:line="28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ARTICLE V GENERAL LOAN PROVISIONS</w:t>
      </w:r>
    </w:p>
    <w:p>
      <w:pPr>
        <w:spacing w:after="0" w:line="118" w:lineRule="exact"/>
        <w:rPr>
          <w:sz w:val="20"/>
          <w:szCs w:val="20"/>
          <w:color w:val="auto"/>
        </w:rPr>
      </w:pPr>
    </w:p>
    <w:p>
      <w:pPr>
        <w:ind w:left="1320"/>
        <w:spacing w:after="0"/>
        <w:tabs>
          <w:tab w:leader="none" w:pos="2620" w:val="left"/>
        </w:tabs>
        <w:rPr>
          <w:sz w:val="20"/>
          <w:szCs w:val="20"/>
          <w:color w:val="auto"/>
        </w:rPr>
      </w:pPr>
      <w:r>
        <w:rPr>
          <w:rFonts w:ascii="Times New Roman" w:cs="Times New Roman" w:eastAsia="Times New Roman" w:hAnsi="Times New Roman"/>
          <w:sz w:val="20"/>
          <w:szCs w:val="20"/>
          <w:color w:val="auto"/>
        </w:rPr>
        <w:t>SECTION 5.1</w:t>
      </w:r>
      <w:r>
        <w:rPr>
          <w:sz w:val="20"/>
          <w:szCs w:val="20"/>
          <w:color w:val="auto"/>
        </w:rPr>
        <w:tab/>
      </w:r>
      <w:r>
        <w:rPr>
          <w:rFonts w:ascii="Times New Roman" w:cs="Times New Roman" w:eastAsia="Times New Roman" w:hAnsi="Times New Roman"/>
          <w:sz w:val="19"/>
          <w:szCs w:val="19"/>
          <w:u w:val="single" w:color="auto"/>
          <w:color w:val="auto"/>
        </w:rPr>
        <w:t>Interest</w:t>
      </w:r>
      <w:r>
        <w:rPr>
          <w:rFonts w:ascii="Times New Roman" w:cs="Times New Roman" w:eastAsia="Times New Roman" w:hAnsi="Times New Roman"/>
          <w:sz w:val="19"/>
          <w:szCs w:val="19"/>
          <w:color w:val="auto"/>
        </w:rPr>
        <w:t>.</w:t>
      </w:r>
    </w:p>
    <w:p>
      <w:pPr>
        <w:spacing w:after="0" w:line="198" w:lineRule="exact"/>
        <w:rPr>
          <w:sz w:val="20"/>
          <w:szCs w:val="20"/>
          <w:color w:val="auto"/>
        </w:rPr>
      </w:pPr>
    </w:p>
    <w:p>
      <w:pPr>
        <w:ind w:left="680" w:right="40" w:firstLine="646"/>
        <w:spacing w:after="0" w:line="263" w:lineRule="auto"/>
        <w:tabs>
          <w:tab w:leader="none" w:pos="1927"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Interest Rate Options</w:t>
      </w:r>
      <w:r>
        <w:rPr>
          <w:rFonts w:ascii="Times New Roman" w:cs="Times New Roman" w:eastAsia="Times New Roman" w:hAnsi="Times New Roman"/>
          <w:sz w:val="20"/>
          <w:szCs w:val="20"/>
          <w:color w:val="auto"/>
        </w:rPr>
        <w:t>. Subject to the provisions of this Section, at the election of the US Borrowers or the Canadian Borrowers, as applicable:</w:t>
      </w:r>
    </w:p>
    <w:p>
      <w:pPr>
        <w:spacing w:after="0" w:line="178" w:lineRule="exact"/>
        <w:rPr>
          <w:rFonts w:ascii="Times New Roman" w:cs="Times New Roman" w:eastAsia="Times New Roman" w:hAnsi="Times New Roman"/>
          <w:sz w:val="20"/>
          <w:szCs w:val="20"/>
          <w:color w:val="auto"/>
        </w:rPr>
      </w:pPr>
    </w:p>
    <w:p>
      <w:pPr>
        <w:jc w:val="both"/>
        <w:ind w:left="1320" w:right="40" w:firstLine="648"/>
        <w:spacing w:after="0" w:line="250" w:lineRule="auto"/>
        <w:tabs>
          <w:tab w:leader="none" w:pos="2561" w:val="left"/>
        </w:tabs>
        <w:numPr>
          <w:ilvl w:val="2"/>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US Revolving Credit Loans and any Term Loans denominated in Dollars shall bear interest at (A) the Base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Margin or (B) Adjusted Term SOFR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Margin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Adjusted Term SOFR shall not be available until three (3) US Government Securities Business Days after the First Amendment Effective Date unless the US Borrowers have delivered to the Administrative Agent a letter in form and substance reasonably satisfactory to the Administrative Agent indemnifying the Lenders in the manner set forth in </w:t>
      </w:r>
      <w:r>
        <w:rPr>
          <w:rFonts w:ascii="Times New Roman" w:cs="Times New Roman" w:eastAsia="Times New Roman" w:hAnsi="Times New Roman"/>
          <w:sz w:val="20"/>
          <w:szCs w:val="20"/>
          <w:u w:val="single" w:color="auto"/>
          <w:color w:val="auto"/>
        </w:rPr>
        <w:t>Section 5.9</w:t>
      </w:r>
      <w:r>
        <w:rPr>
          <w:rFonts w:ascii="Times New Roman" w:cs="Times New Roman" w:eastAsia="Times New Roman" w:hAnsi="Times New Roman"/>
          <w:sz w:val="20"/>
          <w:szCs w:val="20"/>
          <w:color w:val="auto"/>
        </w:rPr>
        <w:t xml:space="preserve"> of this Agreement);</w:t>
      </w:r>
    </w:p>
    <w:p>
      <w:pPr>
        <w:spacing w:after="0" w:line="180" w:lineRule="exact"/>
        <w:rPr>
          <w:rFonts w:ascii="Times New Roman" w:cs="Times New Roman" w:eastAsia="Times New Roman" w:hAnsi="Times New Roman"/>
          <w:sz w:val="20"/>
          <w:szCs w:val="20"/>
          <w:color w:val="auto"/>
        </w:rPr>
      </w:pPr>
    </w:p>
    <w:p>
      <w:pPr>
        <w:ind w:left="2560" w:hanging="592"/>
        <w:spacing w:after="0"/>
        <w:tabs>
          <w:tab w:leader="none" w:pos="2560" w:val="left"/>
        </w:tabs>
        <w:numPr>
          <w:ilvl w:val="2"/>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Canadian Revolving Credit Loans </w:t>
      </w:r>
      <w:r>
        <w:rPr>
          <w:rFonts w:ascii="Times New Roman" w:cs="Times New Roman" w:eastAsia="Times New Roman" w:hAnsi="Times New Roman"/>
          <w:sz w:val="20"/>
          <w:szCs w:val="20"/>
          <w:color w:val="007F00"/>
          <w:strike w:val="1"/>
        </w:rPr>
        <w:t>and Term Loans denominated in Canadian Dollars</w:t>
      </w:r>
      <w:r>
        <w:rPr>
          <w:rFonts w:ascii="Times New Roman" w:cs="Times New Roman" w:eastAsia="Times New Roman" w:hAnsi="Times New Roman"/>
          <w:sz w:val="20"/>
          <w:szCs w:val="20"/>
          <w:color w:val="auto"/>
        </w:rPr>
        <w:t xml:space="preserve"> shall bear interest at</w:t>
      </w:r>
    </w:p>
    <w:p>
      <w:pPr>
        <w:spacing w:after="0" w:line="24" w:lineRule="exact"/>
        <w:rPr>
          <w:rFonts w:ascii="Times New Roman" w:cs="Times New Roman" w:eastAsia="Times New Roman" w:hAnsi="Times New Roman"/>
          <w:sz w:val="20"/>
          <w:szCs w:val="20"/>
          <w:color w:val="auto"/>
        </w:rPr>
      </w:pPr>
    </w:p>
    <w:p>
      <w:pPr>
        <w:jc w:val="both"/>
        <w:ind w:left="1320" w:firstLine="6"/>
        <w:spacing w:after="0" w:line="247" w:lineRule="auto"/>
        <w:tabs>
          <w:tab w:leader="none" w:pos="1646" w:val="left"/>
        </w:tabs>
        <w:numPr>
          <w:ilvl w:val="1"/>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Canadian Base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Margin or (B) the </w:t>
      </w:r>
      <w:r>
        <w:rPr>
          <w:rFonts w:ascii="Times New Roman" w:cs="Times New Roman" w:eastAsia="Times New Roman" w:hAnsi="Times New Roman"/>
          <w:sz w:val="20"/>
          <w:szCs w:val="20"/>
          <w:color w:val="FF0000"/>
          <w:strike w:val="1"/>
        </w:rPr>
        <w:t>CDOR Rate</w:t>
      </w:r>
      <w:r>
        <w:rPr>
          <w:rFonts w:ascii="Times New Roman" w:cs="Times New Roman" w:eastAsia="Times New Roman" w:hAnsi="Times New Roman"/>
          <w:sz w:val="20"/>
          <w:szCs w:val="20"/>
          <w:u w:val="single" w:color="auto"/>
          <w:color w:val="0000FF"/>
        </w:rPr>
        <w:t>Adjusted Term CORRA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Margin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t>
      </w:r>
      <w:r>
        <w:rPr>
          <w:rFonts w:ascii="Times New Roman" w:cs="Times New Roman" w:eastAsia="Times New Roman" w:hAnsi="Times New Roman"/>
          <w:sz w:val="20"/>
          <w:szCs w:val="20"/>
          <w:color w:val="FF0000"/>
          <w:strike w:val="1"/>
        </w:rPr>
        <w:t>the CDOR Rate</w:t>
      </w:r>
      <w:r>
        <w:rPr>
          <w:rFonts w:ascii="Times New Roman" w:cs="Times New Roman" w:eastAsia="Times New Roman" w:hAnsi="Times New Roman"/>
          <w:sz w:val="20"/>
          <w:szCs w:val="20"/>
          <w:u w:val="single" w:color="auto"/>
          <w:color w:val="0000FF"/>
        </w:rPr>
        <w:t>Adjusted Term CORRA</w:t>
      </w:r>
      <w:r>
        <w:rPr>
          <w:rFonts w:ascii="Times New Roman" w:cs="Times New Roman" w:eastAsia="Times New Roman" w:hAnsi="Times New Roman"/>
          <w:sz w:val="20"/>
          <w:szCs w:val="20"/>
          <w:color w:val="auto"/>
        </w:rPr>
        <w:t xml:space="preserve"> shall not be available until </w:t>
      </w:r>
      <w:r>
        <w:rPr>
          <w:rFonts w:ascii="Times New Roman" w:cs="Times New Roman" w:eastAsia="Times New Roman" w:hAnsi="Times New Roman"/>
          <w:sz w:val="20"/>
          <w:szCs w:val="20"/>
          <w:color w:val="FF0000"/>
          <w:strike w:val="1"/>
        </w:rPr>
        <w:t>four</w:t>
      </w:r>
      <w:r>
        <w:rPr>
          <w:rFonts w:ascii="Times New Roman" w:cs="Times New Roman" w:eastAsia="Times New Roman" w:hAnsi="Times New Roman"/>
          <w:sz w:val="20"/>
          <w:szCs w:val="20"/>
          <w:u w:val="single" w:color="auto"/>
          <w:color w:val="0000FF"/>
        </w:rPr>
        <w:t>three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4</w:t>
      </w:r>
      <w:r>
        <w:rPr>
          <w:rFonts w:ascii="Times New Roman" w:cs="Times New Roman" w:eastAsia="Times New Roman" w:hAnsi="Times New Roman"/>
          <w:sz w:val="20"/>
          <w:szCs w:val="20"/>
          <w:u w:val="single" w:color="auto"/>
          <w:color w:val="0000FF"/>
        </w:rPr>
        <w:t>3</w:t>
      </w:r>
      <w:r>
        <w:rPr>
          <w:rFonts w:ascii="Times New Roman" w:cs="Times New Roman" w:eastAsia="Times New Roman" w:hAnsi="Times New Roman"/>
          <w:sz w:val="20"/>
          <w:szCs w:val="20"/>
          <w:color w:val="auto"/>
        </w:rPr>
        <w:t xml:space="preserve">) Business Days after the </w:t>
      </w:r>
      <w:r>
        <w:rPr>
          <w:rFonts w:ascii="Times New Roman" w:cs="Times New Roman" w:eastAsia="Times New Roman" w:hAnsi="Times New Roman"/>
          <w:sz w:val="20"/>
          <w:szCs w:val="20"/>
          <w:color w:val="FF0000"/>
          <w:strike w:val="1"/>
        </w:rPr>
        <w:t>Closing</w:t>
      </w:r>
      <w:r>
        <w:rPr>
          <w:rFonts w:ascii="Times New Roman" w:cs="Times New Roman" w:eastAsia="Times New Roman" w:hAnsi="Times New Roman"/>
          <w:sz w:val="20"/>
          <w:szCs w:val="20"/>
          <w:u w:val="single" w:color="auto"/>
          <w:color w:val="0000FF"/>
        </w:rPr>
        <w:t>Fifth Amendment Effective</w:t>
      </w:r>
      <w:r>
        <w:rPr>
          <w:rFonts w:ascii="Times New Roman" w:cs="Times New Roman" w:eastAsia="Times New Roman" w:hAnsi="Times New Roman"/>
          <w:sz w:val="20"/>
          <w:szCs w:val="20"/>
          <w:color w:val="auto"/>
        </w:rPr>
        <w:t xml:space="preserve"> Date unless the Canadian Borrowers have delivered to the Administrative Agent a letter in form and substance reasonably satisfactory to the Administrative Agent indemnifying the Lenders in the manner set forth in </w:t>
      </w:r>
      <w:r>
        <w:rPr>
          <w:rFonts w:ascii="Times New Roman" w:cs="Times New Roman" w:eastAsia="Times New Roman" w:hAnsi="Times New Roman"/>
          <w:sz w:val="20"/>
          <w:szCs w:val="20"/>
          <w:u w:val="single" w:color="auto"/>
          <w:color w:val="auto"/>
        </w:rPr>
        <w:t>Section 5.9</w:t>
      </w:r>
      <w:r>
        <w:rPr>
          <w:rFonts w:ascii="Times New Roman" w:cs="Times New Roman" w:eastAsia="Times New Roman" w:hAnsi="Times New Roman"/>
          <w:sz w:val="20"/>
          <w:szCs w:val="20"/>
          <w:color w:val="auto"/>
        </w:rPr>
        <w:t xml:space="preserve"> of this Agreement);</w:t>
      </w:r>
    </w:p>
    <w:p>
      <w:pPr>
        <w:spacing w:after="0" w:line="180" w:lineRule="exact"/>
        <w:rPr>
          <w:rFonts w:ascii="Times New Roman" w:cs="Times New Roman" w:eastAsia="Times New Roman" w:hAnsi="Times New Roman"/>
          <w:sz w:val="20"/>
          <w:szCs w:val="20"/>
          <w:color w:val="auto"/>
        </w:rPr>
      </w:pPr>
    </w:p>
    <w:p>
      <w:pPr>
        <w:ind w:left="2560" w:hanging="592"/>
        <w:spacing w:after="0"/>
        <w:tabs>
          <w:tab w:leader="none" w:pos="2560" w:val="left"/>
        </w:tabs>
        <w:numPr>
          <w:ilvl w:val="2"/>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US Swingline Loans shall bear interest at the Base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Margin; and</w:t>
      </w:r>
    </w:p>
    <w:p>
      <w:pPr>
        <w:spacing w:after="0" w:line="224" w:lineRule="exact"/>
        <w:rPr>
          <w:rFonts w:ascii="Times New Roman" w:cs="Times New Roman" w:eastAsia="Times New Roman" w:hAnsi="Times New Roman"/>
          <w:sz w:val="20"/>
          <w:szCs w:val="20"/>
          <w:color w:val="auto"/>
        </w:rPr>
      </w:pPr>
    </w:p>
    <w:p>
      <w:pPr>
        <w:ind w:left="1320" w:right="40" w:firstLine="648"/>
        <w:spacing w:after="0" w:line="263" w:lineRule="auto"/>
        <w:tabs>
          <w:tab w:leader="none" w:pos="2566" w:val="left"/>
        </w:tabs>
        <w:numPr>
          <w:ilvl w:val="2"/>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Canadian Swingline Loans </w:t>
      </w:r>
      <w:r>
        <w:rPr>
          <w:rFonts w:ascii="Times New Roman" w:cs="Times New Roman" w:eastAsia="Times New Roman" w:hAnsi="Times New Roman"/>
          <w:sz w:val="20"/>
          <w:szCs w:val="20"/>
          <w:u w:val="single" w:color="auto"/>
          <w:color w:val="007F00"/>
        </w:rPr>
        <w:t>and Term Loans denominated in Canadian Dollars</w:t>
      </w:r>
      <w:r>
        <w:rPr>
          <w:rFonts w:ascii="Times New Roman" w:cs="Times New Roman" w:eastAsia="Times New Roman" w:hAnsi="Times New Roman"/>
          <w:sz w:val="20"/>
          <w:szCs w:val="20"/>
          <w:color w:val="auto"/>
        </w:rPr>
        <w:t xml:space="preserve"> shall bear interest at the Canadian Base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Margin.</w:t>
      </w:r>
    </w:p>
    <w:p>
      <w:pPr>
        <w:spacing w:after="0" w:line="178" w:lineRule="exact"/>
        <w:rPr>
          <w:sz w:val="20"/>
          <w:szCs w:val="20"/>
          <w:color w:val="auto"/>
        </w:rPr>
      </w:pPr>
    </w:p>
    <w:p>
      <w:pPr>
        <w:jc w:val="both"/>
        <w:ind w:left="680" w:firstLine="642"/>
        <w:spacing w:after="0" w:line="260" w:lineRule="auto"/>
        <w:rPr>
          <w:sz w:val="20"/>
          <w:szCs w:val="20"/>
          <w:color w:val="auto"/>
        </w:rPr>
      </w:pPr>
      <w:r>
        <w:rPr>
          <w:rFonts w:ascii="Times New Roman" w:cs="Times New Roman" w:eastAsia="Times New Roman" w:hAnsi="Times New Roman"/>
          <w:sz w:val="19"/>
          <w:szCs w:val="19"/>
          <w:color w:val="auto"/>
        </w:rPr>
        <w:t xml:space="preserve">The US Borrowers or the Canadian Borrowers, as applicable, shall select the rate of interest and Interest Period, if any, applicable to any Loan at the time a Notice of Borrowing is given or at the time a Notice of Conversion/Continuation is given pursuant to </w:t>
      </w:r>
      <w:r>
        <w:rPr>
          <w:rFonts w:ascii="Times New Roman" w:cs="Times New Roman" w:eastAsia="Times New Roman" w:hAnsi="Times New Roman"/>
          <w:sz w:val="19"/>
          <w:szCs w:val="19"/>
          <w:u w:val="single" w:color="auto"/>
          <w:color w:val="auto"/>
        </w:rPr>
        <w:t>Section 5.2</w:t>
      </w:r>
      <w:r>
        <w:rPr>
          <w:rFonts w:ascii="Times New Roman" w:cs="Times New Roman" w:eastAsia="Times New Roman" w:hAnsi="Times New Roman"/>
          <w:sz w:val="19"/>
          <w:szCs w:val="19"/>
          <w:color w:val="auto"/>
        </w:rPr>
        <w:t xml:space="preserve">. Any US Revolving Credit Loan or Term Loan denominated in Dollars or any portion thereof as to which a US Borrower has not duly specified an interest rate as provided herein shall be deemed a Base Rate Loan. Any Canadian Revolving Credit Loan or Term Loan denominated in Canadian Dollars or any portion thereof as to which a Canadian Borrower has not duly specified an interest rate as provided herein shall be deemed a Canadian Base Rate Loan. Subject to </w:t>
      </w:r>
      <w:r>
        <w:rPr>
          <w:rFonts w:ascii="Times New Roman" w:cs="Times New Roman" w:eastAsia="Times New Roman" w:hAnsi="Times New Roman"/>
          <w:sz w:val="19"/>
          <w:szCs w:val="19"/>
          <w:u w:val="single" w:color="auto"/>
          <w:color w:val="auto"/>
        </w:rPr>
        <w:t>Section 5.1(b)</w:t>
      </w:r>
      <w:r>
        <w:rPr>
          <w:rFonts w:ascii="Times New Roman" w:cs="Times New Roman" w:eastAsia="Times New Roman" w:hAnsi="Times New Roman"/>
          <w:sz w:val="19"/>
          <w:szCs w:val="19"/>
          <w:color w:val="auto"/>
        </w:rPr>
        <w:t xml:space="preserve">, any SOFR Loan or </w:t>
      </w:r>
      <w:r>
        <w:rPr>
          <w:rFonts w:ascii="Times New Roman" w:cs="Times New Roman" w:eastAsia="Times New Roman" w:hAnsi="Times New Roman"/>
          <w:sz w:val="19"/>
          <w:szCs w:val="19"/>
          <w:color w:val="FF0000"/>
          <w:strike w:val="1"/>
        </w:rPr>
        <w:t>CDOR Rate</w:t>
      </w:r>
      <w:r>
        <w:rPr>
          <w:rFonts w:ascii="Times New Roman" w:cs="Times New Roman" w:eastAsia="Times New Roman" w:hAnsi="Times New Roman"/>
          <w:sz w:val="19"/>
          <w:szCs w:val="19"/>
          <w:u w:val="single" w:color="auto"/>
          <w:color w:val="0000FF"/>
        </w:rPr>
        <w:t>Term CORRA</w:t>
      </w:r>
      <w:r>
        <w:rPr>
          <w:rFonts w:ascii="Times New Roman" w:cs="Times New Roman" w:eastAsia="Times New Roman" w:hAnsi="Times New Roman"/>
          <w:sz w:val="19"/>
          <w:szCs w:val="19"/>
          <w:color w:val="auto"/>
        </w:rPr>
        <w:t xml:space="preserve"> Loan or any portion thereof as to which the applicable Borrower has not duly specified an Interest Period as provided herein shall be deemed a SOFR Loan or a </w:t>
      </w:r>
      <w:r>
        <w:rPr>
          <w:rFonts w:ascii="Times New Roman" w:cs="Times New Roman" w:eastAsia="Times New Roman" w:hAnsi="Times New Roman"/>
          <w:sz w:val="19"/>
          <w:szCs w:val="19"/>
          <w:color w:val="FF0000"/>
          <w:strike w:val="1"/>
        </w:rPr>
        <w:t>CDOR Rate</w:t>
      </w:r>
      <w:r>
        <w:rPr>
          <w:rFonts w:ascii="Times New Roman" w:cs="Times New Roman" w:eastAsia="Times New Roman" w:hAnsi="Times New Roman"/>
          <w:sz w:val="19"/>
          <w:szCs w:val="19"/>
          <w:u w:val="single" w:color="auto"/>
          <w:color w:val="0000FF"/>
        </w:rPr>
        <w:t>Term CORRA</w:t>
      </w:r>
      <w:r>
        <w:rPr>
          <w:rFonts w:ascii="Times New Roman" w:cs="Times New Roman" w:eastAsia="Times New Roman" w:hAnsi="Times New Roman"/>
          <w:sz w:val="19"/>
          <w:szCs w:val="19"/>
          <w:color w:val="auto"/>
        </w:rPr>
        <w:t xml:space="preserve"> Loan with an Interest Period of one</w:t>
      </w:r>
    </w:p>
    <w:p>
      <w:pPr>
        <w:spacing w:after="0" w:line="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(1) month.</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32">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124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273" w:name="page274"/>
    <w:bookmarkEnd w:id="273"/>
    <w:p>
      <w:pPr>
        <w:spacing w:after="0" w:line="95" w:lineRule="exact"/>
        <w:rPr>
          <w:sz w:val="20"/>
          <w:szCs w:val="20"/>
          <w:color w:val="auto"/>
        </w:rPr>
      </w:pPr>
    </w:p>
    <w:p>
      <w:pPr>
        <w:jc w:val="both"/>
        <w:ind w:left="680" w:firstLine="646"/>
        <w:spacing w:after="0" w:line="257" w:lineRule="auto"/>
        <w:tabs>
          <w:tab w:leader="none" w:pos="1925"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 Rate</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xml:space="preserve">, (i) immediately upon the occurrence and during the continuance of an Event of Default under </w:t>
      </w:r>
      <w:r>
        <w:rPr>
          <w:rFonts w:ascii="Times New Roman" w:cs="Times New Roman" w:eastAsia="Times New Roman" w:hAnsi="Times New Roman"/>
          <w:sz w:val="20"/>
          <w:szCs w:val="20"/>
          <w:u w:val="single" w:color="auto"/>
          <w:color w:val="auto"/>
        </w:rPr>
        <w:t>Section 10.1(a)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(j)</w:t>
      </w:r>
      <w:r>
        <w:rPr>
          <w:rFonts w:ascii="Times New Roman" w:cs="Times New Roman" w:eastAsia="Times New Roman" w:hAnsi="Times New Roman"/>
          <w:sz w:val="20"/>
          <w:szCs w:val="20"/>
          <w:color w:val="auto"/>
        </w:rPr>
        <w:t>, or (ii) at the election of the Required Lenders (or the Administrative Agent at the direction of the Required Lenders), upon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33">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125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060"/>
          </w:cols>
          <w:pgMar w:left="320" w:top="1440" w:right="519" w:bottom="1440" w:gutter="0" w:footer="0" w:header="0"/>
        </w:sectPr>
      </w:pPr>
    </w:p>
    <w:bookmarkStart w:id="274" w:name="page275"/>
    <w:bookmarkEnd w:id="274"/>
    <w:p>
      <w:pPr>
        <w:spacing w:after="0" w:line="202" w:lineRule="exact"/>
        <w:rPr>
          <w:sz w:val="20"/>
          <w:szCs w:val="20"/>
          <w:color w:val="auto"/>
        </w:rPr>
      </w:pPr>
    </w:p>
    <w:p>
      <w:pPr>
        <w:ind w:left="680" w:right="20"/>
        <w:spacing w:after="0" w:line="247" w:lineRule="auto"/>
        <w:rPr>
          <w:sz w:val="20"/>
          <w:szCs w:val="20"/>
          <w:color w:val="auto"/>
        </w:rPr>
      </w:pPr>
      <w:r>
        <w:rPr>
          <w:rFonts w:ascii="Times New Roman" w:cs="Times New Roman" w:eastAsia="Times New Roman" w:hAnsi="Times New Roman"/>
          <w:sz w:val="20"/>
          <w:szCs w:val="20"/>
          <w:color w:val="auto"/>
        </w:rPr>
        <w:t xml:space="preserve">occurrence and during the continuance of any other Event of Default, (A) the Borrowers shall no longer have the option to request SOFR Loans, </w:t>
      </w:r>
      <w:r>
        <w:rPr>
          <w:rFonts w:ascii="Times New Roman" w:cs="Times New Roman" w:eastAsia="Times New Roman" w:hAnsi="Times New Roman"/>
          <w:sz w:val="20"/>
          <w:szCs w:val="20"/>
          <w:color w:val="FF0000"/>
          <w:strike w:val="1"/>
        </w:rPr>
        <w:t>CDOR Rate</w:t>
      </w:r>
      <w:r>
        <w:rPr>
          <w:rFonts w:ascii="Times New Roman" w:cs="Times New Roman" w:eastAsia="Times New Roman" w:hAnsi="Times New Roman"/>
          <w:sz w:val="20"/>
          <w:szCs w:val="20"/>
          <w:u w:val="single" w:color="auto"/>
          <w:color w:val="0000FF"/>
        </w:rPr>
        <w:t>Term CORRA</w:t>
      </w:r>
      <w:r>
        <w:rPr>
          <w:rFonts w:ascii="Times New Roman" w:cs="Times New Roman" w:eastAsia="Times New Roman" w:hAnsi="Times New Roman"/>
          <w:sz w:val="20"/>
          <w:szCs w:val="20"/>
          <w:color w:val="auto"/>
        </w:rPr>
        <w:t xml:space="preserve"> Loans, Swingline Loans or Letters of Credit, (B) all outstanding SOFR Loans shall bear interest at a rate per annum of two percent (2%) in excess of the rate (including the Applicable Margin) then applicable to SOFR Loans until the end of the applicable Interest Period and thereafter at a rate equal to two percent (2%) in excess of the rate (including the Applicable Margin) then applicable to Base Rate Loans, (C) all outstanding </w:t>
      </w:r>
      <w:r>
        <w:rPr>
          <w:rFonts w:ascii="Times New Roman" w:cs="Times New Roman" w:eastAsia="Times New Roman" w:hAnsi="Times New Roman"/>
          <w:sz w:val="20"/>
          <w:szCs w:val="20"/>
          <w:color w:val="FF0000"/>
          <w:strike w:val="1"/>
        </w:rPr>
        <w:t>CDOR Rate</w:t>
      </w:r>
      <w:r>
        <w:rPr>
          <w:rFonts w:ascii="Times New Roman" w:cs="Times New Roman" w:eastAsia="Times New Roman" w:hAnsi="Times New Roman"/>
          <w:sz w:val="20"/>
          <w:szCs w:val="20"/>
          <w:u w:val="single" w:color="auto"/>
          <w:color w:val="0000FF"/>
        </w:rPr>
        <w:t>Term CORRA</w:t>
      </w:r>
      <w:r>
        <w:rPr>
          <w:rFonts w:ascii="Times New Roman" w:cs="Times New Roman" w:eastAsia="Times New Roman" w:hAnsi="Times New Roman"/>
          <w:sz w:val="20"/>
          <w:szCs w:val="20"/>
          <w:color w:val="auto"/>
        </w:rPr>
        <w:t xml:space="preserve"> Loans shall bear interest at a rate per annum of two percent (2%) in excess of the rate (including the Applicable Margin) then applicable to </w:t>
      </w:r>
      <w:r>
        <w:rPr>
          <w:rFonts w:ascii="Times New Roman" w:cs="Times New Roman" w:eastAsia="Times New Roman" w:hAnsi="Times New Roman"/>
          <w:sz w:val="20"/>
          <w:szCs w:val="20"/>
          <w:color w:val="FF0000"/>
          <w:strike w:val="1"/>
        </w:rPr>
        <w:t>CDOR Rate</w:t>
      </w:r>
      <w:r>
        <w:rPr>
          <w:rFonts w:ascii="Times New Roman" w:cs="Times New Roman" w:eastAsia="Times New Roman" w:hAnsi="Times New Roman"/>
          <w:sz w:val="20"/>
          <w:szCs w:val="20"/>
          <w:u w:val="single" w:color="auto"/>
          <w:color w:val="0000FF"/>
        </w:rPr>
        <w:t>Term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CORRA</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Loans until the end of the applicable Interest Period and thereafter at a rate equal to two percent (2%) in excess of the rate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(including the Applicable Margin) then applicable to Canadian Base Rate Loans, (D) all outstanding Base Rate Loans and other US Obligations arising hereunder or under any other Loan Document shall bear interest at a rate per annum equal to two percent (2%) in excess of the rate (including the Applicable Margin) then applicable to Base Rate Loans or such other US Obligations arising hereunder or under any other Loan Document, (E) all outstanding Canadian Base Rate Loans and other Canadian Obligations arising hereunder or under any other Loan Document shall bear interest at a rate per annum equal to two percent (2%) in excess of the rate (including the Applicable Margin) then applicable to Canadian Base Rate Loans or such other Canadian Obligations arising hereunder or under any other Loan Document, and (F) all accrued and unpaid interest shall be due and payable on demand of the Administrative Agent. Interest shall continue to accrue on the Obligations after the filing by or against any Borrower of any petition seeking any relief in bankruptcy or under any Debtor Relief Law.</w:t>
      </w:r>
    </w:p>
    <w:p>
      <w:pPr>
        <w:spacing w:after="0" w:line="172" w:lineRule="exact"/>
        <w:rPr>
          <w:sz w:val="20"/>
          <w:szCs w:val="20"/>
          <w:color w:val="auto"/>
        </w:rPr>
      </w:pPr>
    </w:p>
    <w:p>
      <w:pPr>
        <w:ind w:left="1960" w:hanging="633"/>
        <w:spacing w:after="0"/>
        <w:tabs>
          <w:tab w:leader="none" w:pos="196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Interest Payment and Computation</w:t>
      </w:r>
      <w:r>
        <w:rPr>
          <w:rFonts w:ascii="Times New Roman" w:cs="Times New Roman" w:eastAsia="Times New Roman" w:hAnsi="Times New Roman"/>
          <w:sz w:val="20"/>
          <w:szCs w:val="20"/>
          <w:color w:val="auto"/>
        </w:rPr>
        <w:t>.</w:t>
      </w:r>
    </w:p>
    <w:p>
      <w:pPr>
        <w:spacing w:after="0" w:line="211" w:lineRule="exact"/>
        <w:rPr>
          <w:rFonts w:ascii="Times New Roman" w:cs="Times New Roman" w:eastAsia="Times New Roman" w:hAnsi="Times New Roman"/>
          <w:sz w:val="20"/>
          <w:szCs w:val="20"/>
          <w:color w:val="auto"/>
        </w:rPr>
      </w:pPr>
    </w:p>
    <w:p>
      <w:pPr>
        <w:jc w:val="both"/>
        <w:ind w:left="1320" w:right="60" w:firstLine="648"/>
        <w:spacing w:after="0" w:line="250" w:lineRule="auto"/>
        <w:tabs>
          <w:tab w:leader="none" w:pos="2561"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Interest on (A) each Base Rate Loan and each Canadian Base Rate Loan shall be due and payable in arrears on the last Business Day of each calendar quarter commencing December 31, 2021; (B) each US Swingline Loan and each Canadian Swingline Loan shall be due and payable in arrears on the last Business Day of each calendar quarter commencing December 31, 2021; and (C) each SOFR Loan and </w:t>
      </w:r>
      <w:r>
        <w:rPr>
          <w:rFonts w:ascii="Times New Roman" w:cs="Times New Roman" w:eastAsia="Times New Roman" w:hAnsi="Times New Roman"/>
          <w:sz w:val="20"/>
          <w:szCs w:val="20"/>
          <w:color w:val="FF0000"/>
          <w:strike w:val="1"/>
        </w:rPr>
        <w:t>CDOR Rate</w:t>
      </w:r>
      <w:r>
        <w:rPr>
          <w:rFonts w:ascii="Times New Roman" w:cs="Times New Roman" w:eastAsia="Times New Roman" w:hAnsi="Times New Roman"/>
          <w:sz w:val="20"/>
          <w:szCs w:val="20"/>
          <w:u w:val="single" w:color="auto"/>
          <w:color w:val="0000FF"/>
        </w:rPr>
        <w:t>Term CORRA</w:t>
      </w:r>
      <w:r>
        <w:rPr>
          <w:rFonts w:ascii="Times New Roman" w:cs="Times New Roman" w:eastAsia="Times New Roman" w:hAnsi="Times New Roman"/>
          <w:sz w:val="20"/>
          <w:szCs w:val="20"/>
          <w:color w:val="auto"/>
        </w:rPr>
        <w:t xml:space="preserve"> Loan shall be due and payable on the last day of each Interest Period applicable thereto, and </w:t>
      </w:r>
      <w:r>
        <w:rPr>
          <w:rFonts w:ascii="Times New Roman" w:cs="Times New Roman" w:eastAsia="Times New Roman" w:hAnsi="Times New Roman"/>
          <w:sz w:val="20"/>
          <w:szCs w:val="20"/>
          <w:color w:val="FF0000"/>
          <w:strike w:val="1"/>
        </w:rPr>
        <w:t>if</w:t>
      </w:r>
      <w:r>
        <w:rPr>
          <w:rFonts w:ascii="Times New Roman" w:cs="Times New Roman" w:eastAsia="Times New Roman" w:hAnsi="Times New Roman"/>
          <w:sz w:val="20"/>
          <w:szCs w:val="20"/>
          <w:u w:val="single" w:color="auto"/>
          <w:color w:val="0000FF"/>
        </w:rPr>
        <w:t>in the case of any SOFR Loan where</w:t>
      </w:r>
      <w:r>
        <w:rPr>
          <w:rFonts w:ascii="Times New Roman" w:cs="Times New Roman" w:eastAsia="Times New Roman" w:hAnsi="Times New Roman"/>
          <w:sz w:val="20"/>
          <w:szCs w:val="20"/>
          <w:color w:val="auto"/>
        </w:rPr>
        <w:t xml:space="preserve"> such Interest Period extends over three (3) months, at the end of each three</w:t>
      </w:r>
    </w:p>
    <w:p>
      <w:pPr>
        <w:spacing w:after="0" w:line="3" w:lineRule="exact"/>
        <w:rPr>
          <w:sz w:val="20"/>
          <w:szCs w:val="20"/>
          <w:color w:val="auto"/>
        </w:rPr>
      </w:pPr>
    </w:p>
    <w:p>
      <w:pPr>
        <w:jc w:val="both"/>
        <w:ind w:left="1320" w:firstLine="5"/>
        <w:spacing w:after="0" w:line="253" w:lineRule="auto"/>
        <w:rPr>
          <w:sz w:val="20"/>
          <w:szCs w:val="20"/>
          <w:color w:val="auto"/>
        </w:rPr>
      </w:pPr>
      <w:r>
        <w:rPr>
          <w:sz w:val="1"/>
          <w:szCs w:val="1"/>
          <w:color w:val="auto"/>
        </w:rPr>
        <w:drawing>
          <wp:inline distT="0" distB="0" distL="0" distR="0">
            <wp:extent cx="17145" cy="135890"/>
            <wp:effectExtent l="0" t="0" r="0" b="0"/>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34">
                      <a:extLst>
                        <a:ext uri="{28A0092B-C50C-407E-A947-70E740481C1C}"/>
                      </a:extLst>
                    </a:blip>
                    <a:srcRect/>
                    <a:stretch>
                      <a:fillRect/>
                    </a:stretch>
                  </pic:blipFill>
                  <pic:spPr bwMode="auto">
                    <a:xfrm>
                      <a:off x="0" y="0"/>
                      <a:ext cx="17145" cy="135890"/>
                    </a:xfrm>
                    <a:prstGeom prst="rect">
                      <a:avLst/>
                    </a:prstGeom>
                    <a:noFill/>
                    <a:ln>
                      <a:noFill/>
                    </a:ln>
                  </pic:spPr>
                </pic:pic>
              </a:graphicData>
            </a:graphic>
          </wp:inline>
        </w:drawing>
        <w:drawing>
          <wp:inline distT="0" distB="0" distL="0" distR="0">
            <wp:extent cx="8255" cy="135890"/>
            <wp:effectExtent l="0" t="0" r="0" b="0"/>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35">
                      <a:extLst>
                        <a:ext uri="{28A0092B-C50C-407E-A947-70E740481C1C}"/>
                      </a:extLst>
                    </a:blip>
                    <a:srcRect/>
                    <a:stretch>
                      <a:fillRect/>
                    </a:stretch>
                  </pic:blipFill>
                  <pic:spPr bwMode="auto">
                    <a:xfrm>
                      <a:off x="0" y="0"/>
                      <a:ext cx="8255" cy="13589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(3) month interval during such Interest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in the event of any repayment or prepayment of any SOFR Loan </w:t>
      </w:r>
      <w:r>
        <w:rPr>
          <w:rFonts w:ascii="Times New Roman" w:cs="Times New Roman" w:eastAsia="Times New Roman" w:hAnsi="Times New Roman"/>
          <w:sz w:val="20"/>
          <w:szCs w:val="20"/>
          <w:color w:val="0000FF"/>
        </w:rPr>
        <w:t>or Term CORRA Loan</w:t>
      </w:r>
      <w:r>
        <w:rPr>
          <w:rFonts w:ascii="Times New Roman" w:cs="Times New Roman" w:eastAsia="Times New Roman" w:hAnsi="Times New Roman"/>
          <w:sz w:val="20"/>
          <w:szCs w:val="20"/>
          <w:color w:val="auto"/>
        </w:rPr>
        <w:t xml:space="preserve">, accrued interest on the principal amount repaid or prepaid shall be payable on the date of such repayment or prepayment and (ii) in the event of any conversion of any SOFR </w:t>
      </w:r>
      <w:r>
        <w:rPr>
          <w:rFonts w:ascii="Times New Roman" w:cs="Times New Roman" w:eastAsia="Times New Roman" w:hAnsi="Times New Roman"/>
          <w:sz w:val="20"/>
          <w:szCs w:val="20"/>
          <w:u w:val="single" w:color="auto"/>
          <w:color w:val="0000FF"/>
        </w:rPr>
        <w:t>Loan or Term CORRA</w:t>
      </w:r>
      <w:r>
        <w:rPr>
          <w:rFonts w:ascii="Times New Roman" w:cs="Times New Roman" w:eastAsia="Times New Roman" w:hAnsi="Times New Roman"/>
          <w:sz w:val="20"/>
          <w:szCs w:val="20"/>
          <w:color w:val="auto"/>
        </w:rPr>
        <w:t xml:space="preserve"> Loan prior to the end of the Interest Period therefor, accrued interest on such Loan shall be payable on the effective date of such conversion. All computations of interest for Base Rate Loans when the Base Rate is determined by the Prime Rate, all computations of interest for Canadian Base Rate Loans and all computations of interest for </w:t>
      </w:r>
      <w:r>
        <w:rPr>
          <w:rFonts w:ascii="Times New Roman" w:cs="Times New Roman" w:eastAsia="Times New Roman" w:hAnsi="Times New Roman"/>
          <w:sz w:val="20"/>
          <w:szCs w:val="20"/>
          <w:color w:val="FF0000"/>
          <w:strike w:val="1"/>
        </w:rPr>
        <w:t>CDOR Rate</w:t>
      </w:r>
      <w:r>
        <w:rPr>
          <w:rFonts w:ascii="Times New Roman" w:cs="Times New Roman" w:eastAsia="Times New Roman" w:hAnsi="Times New Roman"/>
          <w:sz w:val="20"/>
          <w:szCs w:val="20"/>
          <w:u w:val="single" w:color="auto"/>
          <w:color w:val="0000FF"/>
        </w:rPr>
        <w:t>Term CORRA</w:t>
      </w:r>
      <w:r>
        <w:rPr>
          <w:rFonts w:ascii="Times New Roman" w:cs="Times New Roman" w:eastAsia="Times New Roman" w:hAnsi="Times New Roman"/>
          <w:sz w:val="20"/>
          <w:szCs w:val="20"/>
          <w:color w:val="auto"/>
        </w:rPr>
        <w:t xml:space="preserve"> Loans shall be made on the basis of a year of 365 or 366 days, as applicable, and actual days elapsed. All other computations of fees and interest provided hereunder shall be made on the basis of a 360-day year and actual days elapsed (which results in more fees or interest, as applicable, being paid than if computed on the basis of a 365/366-day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1097280</wp:posOffset>
            </wp:positionH>
            <wp:positionV relativeFrom="paragraph">
              <wp:posOffset>-1079500</wp:posOffset>
            </wp:positionV>
            <wp:extent cx="11734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36">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spacing w:after="0" w:line="155" w:lineRule="exact"/>
        <w:rPr>
          <w:sz w:val="20"/>
          <w:szCs w:val="20"/>
          <w:color w:val="auto"/>
        </w:rPr>
      </w:pPr>
    </w:p>
    <w:p>
      <w:pPr>
        <w:jc w:val="both"/>
        <w:ind w:left="1320" w:right="20" w:firstLine="648"/>
        <w:spacing w:after="0" w:line="250" w:lineRule="auto"/>
        <w:tabs>
          <w:tab w:leader="none" w:pos="2562"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Whenever any amount is payable under this Agreement or any other Loan Document by the Canadian Borrowers as interest or as a fee which requires the calculation of an amount using a percentage per annum, each party to this Agreement acknowledges and agrees that such amount shall be calculated as of the date payment is due without application of the “deemed reinvestment principle” or the “effective yield method” (e.g., when interest is calculated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37">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126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20"/>
          </w:cols>
          <w:pgMar w:left="320" w:top="1440" w:right="459" w:bottom="1440" w:gutter="0" w:footer="0" w:header="0"/>
        </w:sectPr>
      </w:pPr>
    </w:p>
    <w:bookmarkStart w:id="275" w:name="page276"/>
    <w:bookmarkEnd w:id="275"/>
    <w:p>
      <w:pPr>
        <w:spacing w:after="0" w:line="81" w:lineRule="exact"/>
        <w:rPr>
          <w:sz w:val="20"/>
          <w:szCs w:val="20"/>
          <w:color w:val="auto"/>
        </w:rPr>
      </w:pPr>
    </w:p>
    <w:p>
      <w:pPr>
        <w:jc w:val="right"/>
        <w:ind w:right="399"/>
        <w:spacing w:after="0"/>
        <w:rPr>
          <w:sz w:val="20"/>
          <w:szCs w:val="20"/>
          <w:color w:val="auto"/>
        </w:rPr>
      </w:pPr>
      <w:r>
        <w:rPr>
          <w:rFonts w:ascii="Times New Roman" w:cs="Times New Roman" w:eastAsia="Times New Roman" w:hAnsi="Times New Roman"/>
          <w:sz w:val="20"/>
          <w:szCs w:val="20"/>
          <w:color w:val="auto"/>
        </w:rPr>
        <w:t>and payable monthly, the rate of interest payable per month is 1/12 of the stated rate of interest per annum).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38">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127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0139"/>
          </w:cols>
          <w:pgMar w:left="320" w:top="1440" w:right="1440" w:bottom="1440" w:gutter="0" w:footer="0" w:header="0"/>
        </w:sectPr>
      </w:pPr>
    </w:p>
    <w:bookmarkStart w:id="276" w:name="page277"/>
    <w:bookmarkEnd w:id="276"/>
    <w:p>
      <w:pPr>
        <w:spacing w:after="0" w:line="200" w:lineRule="exact"/>
        <w:rPr>
          <w:sz w:val="20"/>
          <w:szCs w:val="20"/>
          <w:color w:val="auto"/>
        </w:rPr>
      </w:pPr>
    </w:p>
    <w:p>
      <w:pPr>
        <w:jc w:val="both"/>
        <w:ind w:left="1320" w:firstLine="648"/>
        <w:spacing w:after="0" w:line="251" w:lineRule="auto"/>
        <w:tabs>
          <w:tab w:leader="none" w:pos="2563" w:val="left"/>
        </w:tabs>
        <w:numPr>
          <w:ilvl w:val="1"/>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the purposes of the </w:t>
      </w:r>
      <w:r>
        <w:rPr>
          <w:rFonts w:ascii="Times New Roman" w:cs="Times New Roman" w:eastAsia="Times New Roman" w:hAnsi="Times New Roman"/>
          <w:sz w:val="20"/>
          <w:szCs w:val="20"/>
          <w:i w:val="1"/>
          <w:iCs w:val="1"/>
          <w:color w:val="auto"/>
        </w:rPr>
        <w:t>Interest Act</w:t>
      </w:r>
      <w:r>
        <w:rPr>
          <w:rFonts w:ascii="Times New Roman" w:cs="Times New Roman" w:eastAsia="Times New Roman" w:hAnsi="Times New Roman"/>
          <w:sz w:val="20"/>
          <w:szCs w:val="20"/>
          <w:color w:val="auto"/>
        </w:rPr>
        <w:t xml:space="preserve"> (Canada) and disclosure under such Act, whenever interest to be paid under this Agreement or any other Loan Document is to be calculated on the basis of a year of 365 days or any other period of time that is less than a calendar year, the yearly rate of interest to which the rate determined pursuant to such calculation is equivalent is the rate so determined multiplied by the actual number of days in the calendar year in which the same is to be ascertained and divided by either 365 or such other period of time, as the case may be.</w:t>
      </w:r>
    </w:p>
    <w:p>
      <w:pPr>
        <w:spacing w:after="0" w:line="176" w:lineRule="exact"/>
        <w:rPr>
          <w:rFonts w:ascii="Times New Roman" w:cs="Times New Roman" w:eastAsia="Times New Roman" w:hAnsi="Times New Roman"/>
          <w:sz w:val="20"/>
          <w:szCs w:val="20"/>
          <w:color w:val="auto"/>
        </w:rPr>
      </w:pPr>
    </w:p>
    <w:p>
      <w:pPr>
        <w:ind w:left="1960" w:hanging="633"/>
        <w:spacing w:after="0"/>
        <w:tabs>
          <w:tab w:leader="none" w:pos="1960"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Maximum Rate</w:t>
      </w:r>
      <w:r>
        <w:rPr>
          <w:rFonts w:ascii="Times New Roman" w:cs="Times New Roman" w:eastAsia="Times New Roman" w:hAnsi="Times New Roman"/>
          <w:sz w:val="20"/>
          <w:szCs w:val="20"/>
          <w:color w:val="auto"/>
        </w:rPr>
        <w:t>.</w:t>
      </w:r>
    </w:p>
    <w:p>
      <w:pPr>
        <w:spacing w:after="0" w:line="224" w:lineRule="exact"/>
        <w:rPr>
          <w:rFonts w:ascii="Times New Roman" w:cs="Times New Roman" w:eastAsia="Times New Roman" w:hAnsi="Times New Roman"/>
          <w:sz w:val="20"/>
          <w:szCs w:val="20"/>
          <w:color w:val="auto"/>
        </w:rPr>
      </w:pPr>
    </w:p>
    <w:p>
      <w:pPr>
        <w:jc w:val="both"/>
        <w:ind w:left="1320" w:firstLine="648"/>
        <w:spacing w:after="0" w:line="248" w:lineRule="auto"/>
        <w:tabs>
          <w:tab w:leader="none" w:pos="2561"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no contingency or event whatsoever shall the aggregate of all amounts deemed interest under this Agreement charged or collected pursuant to the terms of this Agreement exceed the highest rate permissible under any Applicable Law which a court of competent jurisdiction shall, in a final determination, deem applicable hereto. In the event that such a court determines that the Lenders have charged or received interest hereunder in excess of the highest applicable rate, the rate in effect hereunder shall automatically be reduced to the maximum rate permitted by Applicable Law and the Lenders shall at the Administrative Agent’s option</w:t>
      </w:r>
    </w:p>
    <w:p>
      <w:pPr>
        <w:jc w:val="both"/>
        <w:ind w:left="1320" w:right="40"/>
        <w:spacing w:after="0" w:line="24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promptly refund to the applicable Borrowers any interest received by the Lenders in excess of the maximum lawful rate or (B) apply such excess to the principal balance of the US Obligations or the Canadian Obligations, as applicable. It is the intent hereof that the Borrowers not pay or contract to pay, and that neither the Administrative Agent nor any Lender receive or contract to receive, directly or indirectly in any manner whatsoever, interest in excess of that which may be paid by the applicable Borrower under Applicable Law.</w:t>
      </w:r>
    </w:p>
    <w:p>
      <w:pPr>
        <w:spacing w:after="0" w:line="167" w:lineRule="exact"/>
        <w:rPr>
          <w:rFonts w:ascii="Times New Roman" w:cs="Times New Roman" w:eastAsia="Times New Roman" w:hAnsi="Times New Roman"/>
          <w:sz w:val="20"/>
          <w:szCs w:val="20"/>
          <w:color w:val="auto"/>
        </w:rPr>
      </w:pPr>
    </w:p>
    <w:p>
      <w:pPr>
        <w:jc w:val="both"/>
        <w:ind w:left="1320" w:right="20" w:firstLine="648"/>
        <w:spacing w:after="0" w:line="262" w:lineRule="auto"/>
        <w:tabs>
          <w:tab w:leader="none" w:pos="2562" w:val="left"/>
        </w:tabs>
        <w:numPr>
          <w:ilvl w:val="1"/>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provision of this Agreement or of any of the other Loan Documents would obligate the Canadian Borrowers or any other Canadian Credit Party to make any payment of interest or other amount payable to any Lender, in an amount or calculated at a rate which would result in a receipt by such Lender of interest at a criminal rate (as such terms are construed under the Criminal Code (Canada)) then, notwithstanding such provisions, such amount or rate shall be deemed to have been adjusted with retroactive effect to the maximum amount or rate of interest, as the case may be, as would not be so prohibited by law or so result in a receipt by such Lender of interest at a criminal rate, such adjustment to be effected, to</w:t>
      </w:r>
    </w:p>
    <w:p>
      <w:pPr>
        <w:spacing w:after="0" w:line="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the extent necessary, as follows:</w:t>
      </w:r>
    </w:p>
    <w:p>
      <w:pPr>
        <w:spacing w:after="0" w:line="5" w:lineRule="exact"/>
        <w:rPr>
          <w:sz w:val="20"/>
          <w:szCs w:val="20"/>
          <w:color w:val="auto"/>
        </w:rPr>
      </w:pPr>
    </w:p>
    <w:p>
      <w:pPr>
        <w:jc w:val="both"/>
        <w:ind w:left="1320" w:right="20" w:firstLine="6"/>
        <w:spacing w:after="0" w:line="245" w:lineRule="auto"/>
        <w:tabs>
          <w:tab w:leader="none" w:pos="1913"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firstly, by reducing the amount or rate of interest required to be paid to such Lender on Canadian Revolving Credit Loans or Canadian Swingline Loans, as applicable, and (B) thereafter, by reducing any fees, commissions, premiums and other amounts required to be paid to such Lender, which would constitute “interest” for purposes of Section 347 of the Criminal Code (Canada). Any amount or rate of interest referred to in this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shall be determined in accordance with generally accepted actuarial practices and principles as an effective annual rate of interest over the term that the applicable Canadian Revolving Credit Loan or Canadian Swingline Loan remains outstanding on the assumption that any charges, fees or expenses that fall within the meaning of “interest” (as defined in the Criminal Code (Canada)) shall, if they relate to a specific period of time, be pro-rated over that period of time and otherwise be pro-rated over the period from the Closing Date to the date set out in clause (a) of the definition of “Revolving Credit Maturity Date” and, in the event of a dispute, a certificate of a Fellow of the Canadian Institute of Actuaries appointed by Administrative Agent shall be conclusive for the purposes of such determination.</w:t>
      </w:r>
    </w:p>
    <w:p>
      <w:pPr>
        <w:spacing w:after="0" w:line="191" w:lineRule="exact"/>
        <w:rPr>
          <w:sz w:val="20"/>
          <w:szCs w:val="20"/>
          <w:color w:val="auto"/>
        </w:rPr>
      </w:pPr>
    </w:p>
    <w:p>
      <w:pPr>
        <w:ind w:left="680" w:right="40" w:firstLine="646"/>
        <w:spacing w:after="0" w:line="263" w:lineRule="auto"/>
        <w:tabs>
          <w:tab w:leader="none" w:pos="1927"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Term SOFR </w:t>
      </w:r>
      <w:r>
        <w:rPr>
          <w:rFonts w:ascii="Times New Roman" w:cs="Times New Roman" w:eastAsia="Times New Roman" w:hAnsi="Times New Roman"/>
          <w:sz w:val="20"/>
          <w:szCs w:val="20"/>
          <w:color w:val="0000FF"/>
        </w:rPr>
        <w:t>and Term CORRA</w:t>
      </w:r>
      <w:r>
        <w:rPr>
          <w:rFonts w:ascii="Times New Roman" w:cs="Times New Roman" w:eastAsia="Times New Roman" w:hAnsi="Times New Roman"/>
          <w:sz w:val="20"/>
          <w:szCs w:val="20"/>
          <w:color w:val="auto"/>
        </w:rPr>
        <w:t xml:space="preserve"> Benchmark Replacement Conforming Changes. In connection with the use or administration of Term SOFR </w:t>
      </w:r>
      <w:r>
        <w:rPr>
          <w:rFonts w:ascii="Times New Roman" w:cs="Times New Roman" w:eastAsia="Times New Roman" w:hAnsi="Times New Roman"/>
          <w:sz w:val="20"/>
          <w:szCs w:val="20"/>
          <w:color w:val="0000FF"/>
        </w:rPr>
        <w:t>and Term CORRA</w:t>
      </w:r>
      <w:r>
        <w:rPr>
          <w:rFonts w:ascii="Times New Roman" w:cs="Times New Roman" w:eastAsia="Times New Roman" w:hAnsi="Times New Roman"/>
          <w:sz w:val="20"/>
          <w:szCs w:val="20"/>
          <w:color w:val="auto"/>
        </w:rPr>
        <w:t>,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1922780</wp:posOffset>
            </wp:positionH>
            <wp:positionV relativeFrom="paragraph">
              <wp:posOffset>-41910</wp:posOffset>
            </wp:positionV>
            <wp:extent cx="96266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39">
                      <a:extLst>
                        <a:ext uri="{28A0092B-C50C-407E-A947-70E740481C1C}"/>
                      </a:extLst>
                    </a:blip>
                    <a:srcRect/>
                    <a:stretch>
                      <a:fillRect/>
                    </a:stretch>
                  </pic:blipFill>
                  <pic:spPr bwMode="auto">
                    <a:xfrm>
                      <a:off x="0" y="0"/>
                      <a:ext cx="9626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40">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128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277" w:name="page278"/>
    <w:bookmarkEnd w:id="277"/>
    <w:p>
      <w:pPr>
        <w:spacing w:after="0" w:line="81" w:lineRule="exact"/>
        <w:rPr>
          <w:sz w:val="20"/>
          <w:szCs w:val="20"/>
          <w:color w:val="auto"/>
        </w:rPr>
      </w:pPr>
    </w:p>
    <w:p>
      <w:pPr>
        <w:ind w:left="680"/>
        <w:spacing w:after="0" w:line="263" w:lineRule="auto"/>
        <w:rPr>
          <w:sz w:val="20"/>
          <w:szCs w:val="20"/>
          <w:color w:val="auto"/>
        </w:rPr>
      </w:pPr>
      <w:r>
        <w:rPr>
          <w:rFonts w:ascii="Times New Roman" w:cs="Times New Roman" w:eastAsia="Times New Roman" w:hAnsi="Times New Roman"/>
          <w:sz w:val="20"/>
          <w:szCs w:val="20"/>
          <w:color w:val="auto"/>
        </w:rPr>
        <w:t>(in consultation with Centuri) will have the right to make Benchmark Replacement Conforming Changes from time to time and, notwithstanding anything to the contrary herein or in any other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41">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129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060"/>
          </w:cols>
          <w:pgMar w:left="320" w:top="1440" w:right="519" w:bottom="1440" w:gutter="0" w:footer="0" w:header="0"/>
        </w:sectPr>
      </w:pPr>
    </w:p>
    <w:bookmarkStart w:id="278" w:name="page279"/>
    <w:bookmarkEnd w:id="278"/>
    <w:p>
      <w:pPr>
        <w:spacing w:after="0" w:line="202" w:lineRule="exact"/>
        <w:rPr>
          <w:sz w:val="20"/>
          <w:szCs w:val="20"/>
          <w:color w:val="auto"/>
        </w:rPr>
      </w:pPr>
    </w:p>
    <w:p>
      <w:pPr>
        <w:jc w:val="both"/>
        <w:ind w:left="680" w:right="20"/>
        <w:spacing w:after="0" w:line="250" w:lineRule="auto"/>
        <w:rPr>
          <w:sz w:val="20"/>
          <w:szCs w:val="20"/>
          <w:color w:val="auto"/>
        </w:rPr>
      </w:pPr>
      <w:r>
        <w:rPr>
          <w:rFonts w:ascii="Times New Roman" w:cs="Times New Roman" w:eastAsia="Times New Roman" w:hAnsi="Times New Roman"/>
          <w:sz w:val="20"/>
          <w:szCs w:val="20"/>
          <w:color w:val="auto"/>
        </w:rPr>
        <w:t xml:space="preserve">any amendments implementing such Benchmark Replacement Conforming Changes will become effective without any further action or consent of any other party to this Agreement or any other Loan Document. The Administrative Agent will promptly notify the US Borrower and the Lenders of the effectiveness of any Benchmark Replacement Conforming Changes in connection with the use or administration of Term SOFR </w:t>
      </w:r>
      <w:r>
        <w:rPr>
          <w:rFonts w:ascii="Times New Roman" w:cs="Times New Roman" w:eastAsia="Times New Roman" w:hAnsi="Times New Roman"/>
          <w:sz w:val="20"/>
          <w:szCs w:val="20"/>
          <w:color w:val="0000FF"/>
        </w:rPr>
        <w:t>and Term CORRA</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-33020</wp:posOffset>
            </wp:positionV>
            <wp:extent cx="96266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42">
                      <a:extLst>
                        <a:ext uri="{28A0092B-C50C-407E-A947-70E740481C1C}"/>
                      </a:extLst>
                    </a:blip>
                    <a:srcRect/>
                    <a:stretch>
                      <a:fillRect/>
                    </a:stretch>
                  </pic:blipFill>
                  <pic:spPr bwMode="auto">
                    <a:xfrm>
                      <a:off x="0" y="0"/>
                      <a:ext cx="962660" cy="8255"/>
                    </a:xfrm>
                    <a:prstGeom prst="rect">
                      <a:avLst/>
                    </a:prstGeom>
                    <a:noFill/>
                  </pic:spPr>
                </pic:pic>
              </a:graphicData>
            </a:graphic>
          </wp:anchor>
        </w:drawing>
      </w:r>
    </w:p>
    <w:p>
      <w:pPr>
        <w:spacing w:after="0" w:line="172" w:lineRule="exact"/>
        <w:rPr>
          <w:sz w:val="20"/>
          <w:szCs w:val="20"/>
          <w:color w:val="auto"/>
        </w:rPr>
      </w:pPr>
    </w:p>
    <w:p>
      <w:pPr>
        <w:ind w:left="680" w:right="140" w:firstLine="642"/>
        <w:spacing w:after="0" w:line="263" w:lineRule="auto"/>
        <w:rPr>
          <w:sz w:val="20"/>
          <w:szCs w:val="20"/>
          <w:color w:val="auto"/>
        </w:rPr>
      </w:pPr>
      <w:r>
        <w:rPr>
          <w:rFonts w:ascii="Times New Roman" w:cs="Times New Roman" w:eastAsia="Times New Roman" w:hAnsi="Times New Roman"/>
          <w:sz w:val="20"/>
          <w:szCs w:val="20"/>
          <w:color w:val="auto"/>
        </w:rPr>
        <w:t xml:space="preserve">SECTION 5.2 </w:t>
      </w:r>
      <w:r>
        <w:rPr>
          <w:rFonts w:ascii="Times New Roman" w:cs="Times New Roman" w:eastAsia="Times New Roman" w:hAnsi="Times New Roman"/>
          <w:sz w:val="20"/>
          <w:szCs w:val="20"/>
          <w:u w:val="single" w:color="auto"/>
          <w:color w:val="auto"/>
        </w:rPr>
        <w:t>Notice and Manner of Conversion or Continuation of Loans</w:t>
      </w:r>
      <w:r>
        <w:rPr>
          <w:rFonts w:ascii="Times New Roman" w:cs="Times New Roman" w:eastAsia="Times New Roman" w:hAnsi="Times New Roman"/>
          <w:sz w:val="20"/>
          <w:szCs w:val="20"/>
          <w:color w:val="auto"/>
        </w:rPr>
        <w:t>. Provided that no Default or Event of Default has occurred and is then continuing:</w:t>
      </w:r>
    </w:p>
    <w:p>
      <w:pPr>
        <w:spacing w:after="0" w:line="178" w:lineRule="exact"/>
        <w:rPr>
          <w:sz w:val="20"/>
          <w:szCs w:val="20"/>
          <w:color w:val="auto"/>
        </w:rPr>
      </w:pPr>
    </w:p>
    <w:p>
      <w:pPr>
        <w:ind w:left="680" w:right="20" w:firstLine="646"/>
        <w:spacing w:after="0" w:line="251" w:lineRule="auto"/>
        <w:tabs>
          <w:tab w:leader="none" w:pos="1927" w:val="left"/>
        </w:tabs>
        <w:numPr>
          <w:ilvl w:val="1"/>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 Borrowers shall have the option to (i) convert at any time all or any portion of any outstanding Base Rate Loans (other than US Swingline Loans) in a principal amount equal to</w:t>
      </w:r>
    </w:p>
    <w:p>
      <w:pPr>
        <w:spacing w:after="0" w:line="1" w:lineRule="exact"/>
        <w:rPr>
          <w:rFonts w:ascii="Times New Roman" w:cs="Times New Roman" w:eastAsia="Times New Roman" w:hAnsi="Times New Roman"/>
          <w:sz w:val="20"/>
          <w:szCs w:val="20"/>
          <w:color w:val="auto"/>
        </w:rPr>
      </w:pPr>
    </w:p>
    <w:p>
      <w:pPr>
        <w:ind w:left="6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$3,000,000 or any whole multiple of $500,000 in excess thereof into one or more SOFR Loans, and</w:t>
      </w:r>
    </w:p>
    <w:p>
      <w:pPr>
        <w:spacing w:after="0" w:line="5" w:lineRule="exact"/>
        <w:rPr>
          <w:rFonts w:ascii="Times New Roman" w:cs="Times New Roman" w:eastAsia="Times New Roman" w:hAnsi="Times New Roman"/>
          <w:sz w:val="20"/>
          <w:szCs w:val="20"/>
          <w:color w:val="auto"/>
        </w:rPr>
      </w:pPr>
    </w:p>
    <w:p>
      <w:pPr>
        <w:jc w:val="both"/>
        <w:ind w:left="680" w:right="20" w:firstLine="4"/>
        <w:spacing w:after="0" w:line="245" w:lineRule="auto"/>
        <w:tabs>
          <w:tab w:leader="none" w:pos="969"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expiration of any Interest Period, (A) convert all or any part of its outstanding SOFR Loans in a principal amount equal to $1,000,000 or a whole multiple of $100,000 in excess thereof into Base Rate Loans (other than Swingline Loans) or (B) continue such SOFR Loans as SOFR Loans; and</w:t>
      </w:r>
    </w:p>
    <w:p>
      <w:pPr>
        <w:spacing w:after="0" w:line="183" w:lineRule="exact"/>
        <w:rPr>
          <w:rFonts w:ascii="Times New Roman" w:cs="Times New Roman" w:eastAsia="Times New Roman" w:hAnsi="Times New Roman"/>
          <w:sz w:val="20"/>
          <w:szCs w:val="20"/>
          <w:color w:val="auto"/>
        </w:rPr>
      </w:pPr>
    </w:p>
    <w:p>
      <w:pPr>
        <w:jc w:val="both"/>
        <w:ind w:left="680" w:firstLine="646"/>
        <w:spacing w:after="0" w:line="250" w:lineRule="auto"/>
        <w:tabs>
          <w:tab w:leader="none" w:pos="1925" w:val="left"/>
        </w:tabs>
        <w:numPr>
          <w:ilvl w:val="1"/>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Canadian Borrowers shall have the option to (i) convert at any time all or any portion of any outstanding Canadian Base Rate Loans (other than Canadian Swingline Loans </w:t>
      </w:r>
      <w:r>
        <w:rPr>
          <w:rFonts w:ascii="Times New Roman" w:cs="Times New Roman" w:eastAsia="Times New Roman" w:hAnsi="Times New Roman"/>
          <w:sz w:val="20"/>
          <w:szCs w:val="20"/>
          <w:color w:val="0000FF"/>
        </w:rPr>
        <w:t>and Term Loans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denominated in Canadian Dollars</w:t>
      </w:r>
      <w:r>
        <w:rPr>
          <w:rFonts w:ascii="Times New Roman" w:cs="Times New Roman" w:eastAsia="Times New Roman" w:hAnsi="Times New Roman"/>
          <w:sz w:val="20"/>
          <w:szCs w:val="20"/>
          <w:color w:val="auto"/>
        </w:rPr>
        <w:t xml:space="preserve">) in a principal amount equal to C$1,000,000 or any whole multiple of C$100,000 in excess thereof into one or more </w:t>
      </w:r>
      <w:r>
        <w:rPr>
          <w:rFonts w:ascii="Times New Roman" w:cs="Times New Roman" w:eastAsia="Times New Roman" w:hAnsi="Times New Roman"/>
          <w:sz w:val="20"/>
          <w:szCs w:val="20"/>
          <w:color w:val="FF0000"/>
          <w:strike w:val="1"/>
        </w:rPr>
        <w:t>CDOR Rate</w:t>
      </w:r>
      <w:r>
        <w:rPr>
          <w:rFonts w:ascii="Times New Roman" w:cs="Times New Roman" w:eastAsia="Times New Roman" w:hAnsi="Times New Roman"/>
          <w:sz w:val="20"/>
          <w:szCs w:val="20"/>
          <w:u w:val="single" w:color="auto"/>
          <w:color w:val="0000FF"/>
        </w:rPr>
        <w:t>Term CORRA</w:t>
      </w:r>
      <w:r>
        <w:rPr>
          <w:rFonts w:ascii="Times New Roman" w:cs="Times New Roman" w:eastAsia="Times New Roman" w:hAnsi="Times New Roman"/>
          <w:sz w:val="20"/>
          <w:szCs w:val="20"/>
          <w:color w:val="auto"/>
        </w:rPr>
        <w:t xml:space="preserve"> Loans and (ii) upon the expiration of any Interest Period for such </w:t>
      </w:r>
      <w:r>
        <w:rPr>
          <w:rFonts w:ascii="Times New Roman" w:cs="Times New Roman" w:eastAsia="Times New Roman" w:hAnsi="Times New Roman"/>
          <w:sz w:val="20"/>
          <w:szCs w:val="20"/>
          <w:color w:val="FF0000"/>
          <w:strike w:val="1"/>
        </w:rPr>
        <w:t>CDOR Rate</w:t>
      </w:r>
      <w:r>
        <w:rPr>
          <w:rFonts w:ascii="Times New Roman" w:cs="Times New Roman" w:eastAsia="Times New Roman" w:hAnsi="Times New Roman"/>
          <w:sz w:val="20"/>
          <w:szCs w:val="20"/>
          <w:u w:val="single" w:color="auto"/>
          <w:color w:val="0000FF"/>
        </w:rPr>
        <w:t>Term CORRA</w:t>
      </w:r>
      <w:r>
        <w:rPr>
          <w:rFonts w:ascii="Times New Roman" w:cs="Times New Roman" w:eastAsia="Times New Roman" w:hAnsi="Times New Roman"/>
          <w:sz w:val="20"/>
          <w:szCs w:val="20"/>
          <w:color w:val="auto"/>
        </w:rPr>
        <w:t xml:space="preserve"> Loans, (A) convert all or any part of its outstanding </w:t>
      </w:r>
      <w:r>
        <w:rPr>
          <w:rFonts w:ascii="Times New Roman" w:cs="Times New Roman" w:eastAsia="Times New Roman" w:hAnsi="Times New Roman"/>
          <w:sz w:val="20"/>
          <w:szCs w:val="20"/>
          <w:color w:val="FF0000"/>
          <w:strike w:val="1"/>
        </w:rPr>
        <w:t>CDOR Rate</w:t>
      </w:r>
      <w:r>
        <w:rPr>
          <w:rFonts w:ascii="Times New Roman" w:cs="Times New Roman" w:eastAsia="Times New Roman" w:hAnsi="Times New Roman"/>
          <w:sz w:val="20"/>
          <w:szCs w:val="20"/>
          <w:u w:val="single" w:color="auto"/>
          <w:color w:val="0000FF"/>
        </w:rPr>
        <w:t>Term CORRA</w:t>
      </w:r>
      <w:r>
        <w:rPr>
          <w:rFonts w:ascii="Times New Roman" w:cs="Times New Roman" w:eastAsia="Times New Roman" w:hAnsi="Times New Roman"/>
          <w:sz w:val="20"/>
          <w:szCs w:val="20"/>
          <w:color w:val="auto"/>
        </w:rPr>
        <w:t xml:space="preserve"> Loans in a principal amount equal to C$1,000,000 or a whole multiple of C$100,000 in excess thereof into Canadian Base Rate Loans (other than Canadian Swingline Loans) or (B) continue such </w:t>
      </w:r>
      <w:r>
        <w:rPr>
          <w:rFonts w:ascii="Times New Roman" w:cs="Times New Roman" w:eastAsia="Times New Roman" w:hAnsi="Times New Roman"/>
          <w:sz w:val="20"/>
          <w:szCs w:val="20"/>
          <w:color w:val="FF0000"/>
          <w:strike w:val="1"/>
        </w:rPr>
        <w:t>CDOR Rate</w:t>
      </w:r>
      <w:r>
        <w:rPr>
          <w:rFonts w:ascii="Times New Roman" w:cs="Times New Roman" w:eastAsia="Times New Roman" w:hAnsi="Times New Roman"/>
          <w:sz w:val="20"/>
          <w:szCs w:val="20"/>
          <w:u w:val="single" w:color="auto"/>
          <w:color w:val="0000FF"/>
        </w:rPr>
        <w:t>Term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CORRA</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Loans as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CDOR Rate</w:t>
      </w:r>
      <w:r>
        <w:rPr>
          <w:rFonts w:ascii="Times New Roman" w:cs="Times New Roman" w:eastAsia="Times New Roman" w:hAnsi="Times New Roman"/>
          <w:sz w:val="20"/>
          <w:szCs w:val="20"/>
          <w:u w:val="single" w:color="auto"/>
          <w:color w:val="0000FF"/>
        </w:rPr>
        <w:t>Term CORRA</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3734435</wp:posOffset>
            </wp:positionH>
            <wp:positionV relativeFrom="paragraph">
              <wp:posOffset>-777875</wp:posOffset>
            </wp:positionV>
            <wp:extent cx="84645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43">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162" w:lineRule="exact"/>
        <w:rPr>
          <w:sz w:val="20"/>
          <w:szCs w:val="20"/>
          <w:color w:val="auto"/>
        </w:rPr>
      </w:pPr>
    </w:p>
    <w:p>
      <w:pPr>
        <w:jc w:val="both"/>
        <w:ind w:left="680" w:right="20"/>
        <w:spacing w:after="0" w:line="251" w:lineRule="auto"/>
        <w:rPr>
          <w:sz w:val="20"/>
          <w:szCs w:val="20"/>
          <w:color w:val="auto"/>
        </w:rPr>
      </w:pPr>
      <w:r>
        <w:rPr>
          <w:rFonts w:ascii="Times New Roman" w:cs="Times New Roman" w:eastAsia="Times New Roman" w:hAnsi="Times New Roman"/>
          <w:sz w:val="20"/>
          <w:szCs w:val="20"/>
          <w:color w:val="auto"/>
        </w:rPr>
        <w:t xml:space="preserve">Whenever any Borrower desires to convert or continue Loans as provided above, such Borrower shall give the Administrative Agent irrevocable prior written notice in the form attached as </w:t>
      </w:r>
      <w:r>
        <w:rPr>
          <w:rFonts w:ascii="Times New Roman" w:cs="Times New Roman" w:eastAsia="Times New Roman" w:hAnsi="Times New Roman"/>
          <w:sz w:val="20"/>
          <w:szCs w:val="20"/>
          <w:b w:val="1"/>
          <w:bCs w:val="1"/>
          <w:i w:val="1"/>
          <w:iCs w:val="1"/>
          <w:color w:val="auto"/>
        </w:rPr>
        <w:t>Exhibit E</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u w:val="single" w:color="auto"/>
          <w:color w:val="auto"/>
        </w:rPr>
        <w:t>Notice of Conversion/Continuation</w:t>
      </w:r>
      <w:r>
        <w:rPr>
          <w:rFonts w:ascii="Times New Roman" w:cs="Times New Roman" w:eastAsia="Times New Roman" w:hAnsi="Times New Roman"/>
          <w:sz w:val="20"/>
          <w:szCs w:val="20"/>
          <w:color w:val="auto"/>
        </w:rPr>
        <w:t>”) not later than 11:00 a.m. three (3) Business Days before (or three</w:t>
      </w:r>
    </w:p>
    <w:p>
      <w:pPr>
        <w:spacing w:after="0" w:line="1" w:lineRule="exact"/>
        <w:rPr>
          <w:sz w:val="20"/>
          <w:szCs w:val="20"/>
          <w:color w:val="auto"/>
        </w:rPr>
      </w:pPr>
    </w:p>
    <w:p>
      <w:pPr>
        <w:jc w:val="both"/>
        <w:ind w:left="680" w:firstLine="4"/>
        <w:spacing w:after="0" w:line="244" w:lineRule="auto"/>
        <w:tabs>
          <w:tab w:leader="none" w:pos="958"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US Government Securities Business Days before the day of a proposed conversion to or continuation of SOFR Loans </w:t>
      </w:r>
      <w:r>
        <w:rPr>
          <w:rFonts w:ascii="Times New Roman" w:cs="Times New Roman" w:eastAsia="Times New Roman" w:hAnsi="Times New Roman"/>
          <w:sz w:val="20"/>
          <w:szCs w:val="20"/>
          <w:color w:val="FF0000"/>
        </w:rPr>
        <w:t>or four (4</w:t>
      </w:r>
      <w:r>
        <w:rPr>
          <w:rFonts w:ascii="Times New Roman" w:cs="Times New Roman" w:eastAsia="Times New Roman" w:hAnsi="Times New Roman"/>
          <w:sz w:val="20"/>
          <w:szCs w:val="20"/>
          <w:color w:val="007F00"/>
          <w:strike w:val="1"/>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07F00"/>
          <w:strike w:val="1"/>
        </w:rPr>
        <w:t>Business Days</w:t>
      </w:r>
      <w:r>
        <w:rPr>
          <w:rFonts w:ascii="Times New Roman" w:cs="Times New Roman" w:eastAsia="Times New Roman" w:hAnsi="Times New Roman"/>
          <w:sz w:val="20"/>
          <w:szCs w:val="20"/>
          <w:color w:val="007F00"/>
        </w:rPr>
        <w:t xml:space="preserve"> </w:t>
      </w:r>
      <w:r>
        <w:rPr>
          <w:rFonts w:ascii="Times New Roman" w:cs="Times New Roman" w:eastAsia="Times New Roman" w:hAnsi="Times New Roman"/>
          <w:sz w:val="20"/>
          <w:szCs w:val="20"/>
          <w:color w:val="FF0000"/>
          <w:strike w:val="1"/>
        </w:rPr>
        <w:t>before the day of a proposed conversion to or continuation of CDOR Rate Loans</w:t>
      </w:r>
      <w:r>
        <w:rPr>
          <w:rFonts w:ascii="Times New Roman" w:cs="Times New Roman" w:eastAsia="Times New Roman" w:hAnsi="Times New Roman"/>
          <w:sz w:val="20"/>
          <w:szCs w:val="20"/>
          <w:color w:val="000000"/>
        </w:rPr>
        <w:t>) the day on which a proposed</w:t>
      </w:r>
      <w:r>
        <w:rPr>
          <w:rFonts w:ascii="Times New Roman" w:cs="Times New Roman" w:eastAsia="Times New Roman" w:hAnsi="Times New Roman"/>
          <w:sz w:val="20"/>
          <w:szCs w:val="20"/>
          <w:color w:val="007F00"/>
        </w:rPr>
        <w:t xml:space="preserve"> </w:t>
      </w:r>
      <w:r>
        <w:rPr>
          <w:rFonts w:ascii="Times New Roman" w:cs="Times New Roman" w:eastAsia="Times New Roman" w:hAnsi="Times New Roman"/>
          <w:sz w:val="20"/>
          <w:szCs w:val="20"/>
          <w:color w:val="000000"/>
        </w:rPr>
        <w:t xml:space="preserve">conversion or continuation of such Loan is to be effective specifying (A) the Loans to be converted or continued, and, in the case of any SOFR Loan or </w:t>
      </w:r>
      <w:r>
        <w:rPr>
          <w:rFonts w:ascii="Times New Roman" w:cs="Times New Roman" w:eastAsia="Times New Roman" w:hAnsi="Times New Roman"/>
          <w:sz w:val="20"/>
          <w:szCs w:val="20"/>
          <w:color w:val="FF0000"/>
          <w:strike w:val="1"/>
        </w:rPr>
        <w:t>CDOR Rate</w:t>
      </w:r>
      <w:r>
        <w:rPr>
          <w:rFonts w:ascii="Times New Roman" w:cs="Times New Roman" w:eastAsia="Times New Roman" w:hAnsi="Times New Roman"/>
          <w:sz w:val="20"/>
          <w:szCs w:val="20"/>
          <w:u w:val="single" w:color="auto"/>
          <w:color w:val="0000FF"/>
        </w:rPr>
        <w:t>Term CORRA</w:t>
      </w:r>
      <w:r>
        <w:rPr>
          <w:rFonts w:ascii="Times New Roman" w:cs="Times New Roman" w:eastAsia="Times New Roman" w:hAnsi="Times New Roman"/>
          <w:sz w:val="20"/>
          <w:szCs w:val="20"/>
          <w:color w:val="000000"/>
        </w:rPr>
        <w:t xml:space="preserve"> Loan to be converted or continued, the last day of the Interest Period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6471920</wp:posOffset>
            </wp:positionH>
            <wp:positionV relativeFrom="paragraph">
              <wp:posOffset>-519430</wp:posOffset>
            </wp:positionV>
            <wp:extent cx="51625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44">
                      <a:extLst>
                        <a:ext uri="{28A0092B-C50C-407E-A947-70E740481C1C}"/>
                      </a:extLst>
                    </a:blip>
                    <a:srcRect/>
                    <a:stretch>
                      <a:fillRect/>
                    </a:stretch>
                  </pic:blipFill>
                  <pic:spPr bwMode="auto">
                    <a:xfrm>
                      <a:off x="0" y="0"/>
                      <a:ext cx="516255" cy="8255"/>
                    </a:xfrm>
                    <a:prstGeom prst="rect">
                      <a:avLst/>
                    </a:prstGeom>
                    <a:noFill/>
                  </pic:spPr>
                </pic:pic>
              </a:graphicData>
            </a:graphic>
          </wp:anchor>
        </w:drawing>
      </w:r>
    </w:p>
    <w:p>
      <w:pPr>
        <w:ind w:left="680" w:right="40" w:firstLine="4"/>
        <w:spacing w:after="0" w:line="245" w:lineRule="auto"/>
        <w:tabs>
          <w:tab w:leader="none" w:pos="1276"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effective date of such conversion or continuation (which shall be a Business Day), (C) the principal amount of such Loans to be converted or continued, and (D) the Interest Period to be applicable to such converted or continued SOFR Loan or </w:t>
      </w:r>
      <w:r>
        <w:rPr>
          <w:rFonts w:ascii="Times New Roman" w:cs="Times New Roman" w:eastAsia="Times New Roman" w:hAnsi="Times New Roman"/>
          <w:sz w:val="20"/>
          <w:szCs w:val="20"/>
          <w:color w:val="FF0000"/>
          <w:strike w:val="1"/>
        </w:rPr>
        <w:t>CDOR Rate</w:t>
      </w:r>
      <w:r>
        <w:rPr>
          <w:rFonts w:ascii="Times New Roman" w:cs="Times New Roman" w:eastAsia="Times New Roman" w:hAnsi="Times New Roman"/>
          <w:sz w:val="20"/>
          <w:szCs w:val="20"/>
          <w:u w:val="single" w:color="auto"/>
          <w:color w:val="0000FF"/>
        </w:rPr>
        <w:t>Term CORRA</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Loan. If the applicable Borrower fails to give a timely Notice of Conversion/Continuation prior to the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end of the Interest Period for any SOFR Loan or </w:t>
      </w:r>
      <w:r>
        <w:rPr>
          <w:rFonts w:ascii="Times New Roman" w:cs="Times New Roman" w:eastAsia="Times New Roman" w:hAnsi="Times New Roman"/>
          <w:sz w:val="20"/>
          <w:szCs w:val="20"/>
          <w:color w:val="FF0000"/>
          <w:strike w:val="1"/>
        </w:rPr>
        <w:t>CDOR Rate</w:t>
      </w:r>
      <w:r>
        <w:rPr>
          <w:rFonts w:ascii="Times New Roman" w:cs="Times New Roman" w:eastAsia="Times New Roman" w:hAnsi="Times New Roman"/>
          <w:sz w:val="20"/>
          <w:szCs w:val="20"/>
          <w:u w:val="single" w:color="auto"/>
          <w:color w:val="0000FF"/>
        </w:rPr>
        <w:t>Term CORRA</w:t>
      </w:r>
      <w:r>
        <w:rPr>
          <w:rFonts w:ascii="Times New Roman" w:cs="Times New Roman" w:eastAsia="Times New Roman" w:hAnsi="Times New Roman"/>
          <w:sz w:val="20"/>
          <w:szCs w:val="20"/>
          <w:color w:val="000000"/>
        </w:rPr>
        <w:t xml:space="preserve"> Loan, then the applicable SOFR Loan or </w:t>
      </w:r>
      <w:r>
        <w:rPr>
          <w:rFonts w:ascii="Times New Roman" w:cs="Times New Roman" w:eastAsia="Times New Roman" w:hAnsi="Times New Roman"/>
          <w:sz w:val="20"/>
          <w:szCs w:val="20"/>
          <w:color w:val="FF0000"/>
          <w:strike w:val="1"/>
        </w:rPr>
        <w:t>CDOR</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FF0000"/>
          <w:strike w:val="1"/>
        </w:rPr>
        <w:t>Rate</w:t>
      </w:r>
      <w:r>
        <w:rPr>
          <w:rFonts w:ascii="Times New Roman" w:cs="Times New Roman" w:eastAsia="Times New Roman" w:hAnsi="Times New Roman"/>
          <w:sz w:val="20"/>
          <w:szCs w:val="20"/>
          <w:u w:val="single" w:color="auto"/>
          <w:color w:val="0000FF"/>
        </w:rPr>
        <w:t>Term CORRA</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Loan shall automatically continue as a SOFR Loan or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CDOR Rate</w:t>
      </w:r>
      <w:r>
        <w:rPr>
          <w:rFonts w:ascii="Times New Roman" w:cs="Times New Roman" w:eastAsia="Times New Roman" w:hAnsi="Times New Roman"/>
          <w:sz w:val="20"/>
          <w:szCs w:val="20"/>
          <w:u w:val="single" w:color="auto"/>
          <w:color w:val="0000FF"/>
        </w:rPr>
        <w:t>Term CORRA</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Loan (in each case having the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same Interest Period as the then expiring Interest Period), as applicable. Any such automatic continuation shall be effective as of the last day of the Interest Period then in effect with respect to the applicable SOFR Loan or </w:t>
      </w:r>
      <w:r>
        <w:rPr>
          <w:rFonts w:ascii="Times New Roman" w:cs="Times New Roman" w:eastAsia="Times New Roman" w:hAnsi="Times New Roman"/>
          <w:sz w:val="20"/>
          <w:szCs w:val="20"/>
          <w:color w:val="FF0000"/>
          <w:strike w:val="1"/>
        </w:rPr>
        <w:t>CDOR Rate</w:t>
      </w:r>
      <w:r>
        <w:rPr>
          <w:rFonts w:ascii="Times New Roman" w:cs="Times New Roman" w:eastAsia="Times New Roman" w:hAnsi="Times New Roman"/>
          <w:sz w:val="20"/>
          <w:szCs w:val="20"/>
          <w:u w:val="single" w:color="auto"/>
          <w:color w:val="0000FF"/>
        </w:rPr>
        <w:t>Term CORRA</w:t>
      </w:r>
      <w:r>
        <w:rPr>
          <w:rFonts w:ascii="Times New Roman" w:cs="Times New Roman" w:eastAsia="Times New Roman" w:hAnsi="Times New Roman"/>
          <w:sz w:val="20"/>
          <w:szCs w:val="20"/>
          <w:color w:val="000000"/>
        </w:rPr>
        <w:t xml:space="preserve"> Loan. If the applicable Borrower requests a conversion to, or continuation of, SOFR Loans or </w:t>
      </w:r>
      <w:r>
        <w:rPr>
          <w:rFonts w:ascii="Times New Roman" w:cs="Times New Roman" w:eastAsia="Times New Roman" w:hAnsi="Times New Roman"/>
          <w:sz w:val="20"/>
          <w:szCs w:val="20"/>
          <w:color w:val="FF0000"/>
          <w:strike w:val="1"/>
        </w:rPr>
        <w:t>CDOR Rate Loans</w:t>
      </w:r>
      <w:r>
        <w:rPr>
          <w:rFonts w:ascii="Times New Roman" w:cs="Times New Roman" w:eastAsia="Times New Roman" w:hAnsi="Times New Roman"/>
          <w:sz w:val="20"/>
          <w:szCs w:val="20"/>
          <w:u w:val="single" w:color="auto"/>
          <w:color w:val="0000FF"/>
        </w:rPr>
        <w:t>Term CORRA Loan</w:t>
      </w:r>
      <w:r>
        <w:rPr>
          <w:rFonts w:ascii="Times New Roman" w:cs="Times New Roman" w:eastAsia="Times New Roman" w:hAnsi="Times New Roman"/>
          <w:sz w:val="20"/>
          <w:szCs w:val="20"/>
          <w:color w:val="000000"/>
        </w:rPr>
        <w:t xml:space="preserve">, but fails to specify an Interest Period, it will be deemed to have specified an Interest Period of one month in the case of a conversion and an Interest Period that is the same as the then expiring Interest Period in the case of a continuation. Notwithstanding anything to the contrary herein, a Swingline Loan may not be converted to a SOFR Loan or </w:t>
      </w:r>
      <w:r>
        <w:rPr>
          <w:rFonts w:ascii="Times New Roman" w:cs="Times New Roman" w:eastAsia="Times New Roman" w:hAnsi="Times New Roman"/>
          <w:sz w:val="20"/>
          <w:szCs w:val="20"/>
          <w:color w:val="FF0000"/>
          <w:strike w:val="1"/>
        </w:rPr>
        <w:t>CDOR Rate</w:t>
      </w:r>
      <w:r>
        <w:rPr>
          <w:rFonts w:ascii="Times New Roman" w:cs="Times New Roman" w:eastAsia="Times New Roman" w:hAnsi="Times New Roman"/>
          <w:sz w:val="20"/>
          <w:szCs w:val="20"/>
          <w:u w:val="single" w:color="auto"/>
          <w:color w:val="0000FF"/>
        </w:rPr>
        <w:t>Term CORRA</w:t>
      </w:r>
      <w:r>
        <w:rPr>
          <w:rFonts w:ascii="Times New Roman" w:cs="Times New Roman" w:eastAsia="Times New Roman" w:hAnsi="Times New Roman"/>
          <w:sz w:val="20"/>
          <w:szCs w:val="20"/>
          <w:color w:val="000000"/>
        </w:rPr>
        <w:t xml:space="preserve"> Loan. The Administrative Agent shall promptly notify the affected Lenders of such Notice of Conversion/Continuation.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45">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130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080"/>
          </w:cols>
          <w:pgMar w:left="320" w:top="1440" w:right="499" w:bottom="1440" w:gutter="0" w:footer="0" w:header="0"/>
        </w:sectPr>
      </w:pPr>
    </w:p>
    <w:bookmarkStart w:id="279" w:name="page280"/>
    <w:bookmarkEnd w:id="279"/>
    <w:p>
      <w:pPr>
        <w:spacing w:after="0" w:line="202" w:lineRule="exact"/>
        <w:rPr>
          <w:sz w:val="20"/>
          <w:szCs w:val="20"/>
          <w:color w:val="auto"/>
        </w:rPr>
      </w:pPr>
    </w:p>
    <w:p>
      <w:pPr>
        <w:ind w:left="1320"/>
        <w:spacing w:after="0"/>
        <w:tabs>
          <w:tab w:leader="none" w:pos="2620" w:val="left"/>
        </w:tabs>
        <w:rPr>
          <w:sz w:val="20"/>
          <w:szCs w:val="20"/>
          <w:color w:val="auto"/>
        </w:rPr>
      </w:pPr>
      <w:r>
        <w:rPr>
          <w:rFonts w:ascii="Times New Roman" w:cs="Times New Roman" w:eastAsia="Times New Roman" w:hAnsi="Times New Roman"/>
          <w:sz w:val="20"/>
          <w:szCs w:val="20"/>
          <w:color w:val="auto"/>
        </w:rPr>
        <w:t>SECTION 5.3</w:t>
      </w:r>
      <w:r>
        <w:rPr>
          <w:sz w:val="20"/>
          <w:szCs w:val="20"/>
          <w:color w:val="auto"/>
        </w:rPr>
        <w:tab/>
      </w: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jc w:val="both"/>
        <w:ind w:left="680" w:right="20" w:firstLine="646"/>
        <w:spacing w:after="0" w:line="248" w:lineRule="auto"/>
        <w:tabs>
          <w:tab w:leader="none" w:pos="1927"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Commitment Fee</w:t>
      </w:r>
      <w:r>
        <w:rPr>
          <w:rFonts w:ascii="Times New Roman" w:cs="Times New Roman" w:eastAsia="Times New Roman" w:hAnsi="Times New Roman"/>
          <w:sz w:val="20"/>
          <w:szCs w:val="20"/>
          <w:color w:val="auto"/>
        </w:rPr>
        <w:t xml:space="preserve">. Commencing on the Closing Date, subject to </w:t>
      </w:r>
      <w:r>
        <w:rPr>
          <w:rFonts w:ascii="Times New Roman" w:cs="Times New Roman" w:eastAsia="Times New Roman" w:hAnsi="Times New Roman"/>
          <w:sz w:val="20"/>
          <w:szCs w:val="20"/>
          <w:u w:val="single" w:color="auto"/>
          <w:color w:val="auto"/>
        </w:rPr>
        <w:t>Section 5.15(a)(iii)(A)</w:t>
      </w:r>
      <w:r>
        <w:rPr>
          <w:rFonts w:ascii="Times New Roman" w:cs="Times New Roman" w:eastAsia="Times New Roman" w:hAnsi="Times New Roman"/>
          <w:sz w:val="20"/>
          <w:szCs w:val="20"/>
          <w:color w:val="auto"/>
        </w:rPr>
        <w:t>, the US Borrowers shall pay to the Administrative Agent, for the account of the Revolving Credit Lenders, a non-refundable commitment fee (the “</w:t>
      </w:r>
      <w:r>
        <w:rPr>
          <w:rFonts w:ascii="Times New Roman" w:cs="Times New Roman" w:eastAsia="Times New Roman" w:hAnsi="Times New Roman"/>
          <w:sz w:val="20"/>
          <w:szCs w:val="20"/>
          <w:u w:val="single" w:color="auto"/>
          <w:color w:val="auto"/>
        </w:rPr>
        <w:t>Commitment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Fee</w:t>
      </w:r>
      <w:r>
        <w:rPr>
          <w:rFonts w:ascii="Times New Roman" w:cs="Times New Roman" w:eastAsia="Times New Roman" w:hAnsi="Times New Roman"/>
          <w:sz w:val="20"/>
          <w:szCs w:val="20"/>
          <w:color w:val="auto"/>
        </w:rPr>
        <w:t xml:space="preserve">”) at a rate per annum equal to the Applicable Margin on the average daily unused portion of the Revolving Credit Commitment of the Revolving Credit Lenders (other than the Defaulting Lenders, if 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amount of outstanding Swingline Loans shall not be considered usage of the Revolving Credit Commitment for the purpose of calculating the Commitment Fee. The Commitment Fee shall be payable in arrears on the last Business Day of each calendar quarter during the term of this Agreement commencing December 31, 2021 and ending on the date upon which all Obligations (other than contingent indemnification obligations not then due) arising under the Revolving Credit Facility shall have been indefeasibly and irrevocably paid and satisfied in full, all Letters of Credit have been terminated or expired (or been Cash Collateralized) and the Revolving Credit Commitment has been terminated. The Commitment Fee shall be distributed by the Administrative Agent to the Revolving Credit Lenders (other than any Defaulting Lender)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in accordance with such Revolving Credit Lenders’ respective Revolving Credit Commitment Percentages.</w:t>
      </w:r>
    </w:p>
    <w:p>
      <w:pPr>
        <w:spacing w:after="0" w:line="170" w:lineRule="exact"/>
        <w:rPr>
          <w:rFonts w:ascii="Times New Roman" w:cs="Times New Roman" w:eastAsia="Times New Roman" w:hAnsi="Times New Roman"/>
          <w:sz w:val="20"/>
          <w:szCs w:val="20"/>
          <w:color w:val="auto"/>
        </w:rPr>
      </w:pPr>
    </w:p>
    <w:p>
      <w:pPr>
        <w:jc w:val="both"/>
        <w:ind w:left="680" w:right="40" w:firstLine="646"/>
        <w:spacing w:after="0" w:line="257" w:lineRule="auto"/>
        <w:tabs>
          <w:tab w:leader="none" w:pos="1925"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Fees</w:t>
      </w:r>
      <w:r>
        <w:rPr>
          <w:rFonts w:ascii="Times New Roman" w:cs="Times New Roman" w:eastAsia="Times New Roman" w:hAnsi="Times New Roman"/>
          <w:sz w:val="20"/>
          <w:szCs w:val="20"/>
          <w:color w:val="auto"/>
        </w:rPr>
        <w:t>. The Borrowers shall pay to the Arrangers and the Administrative Agent for their own respective accounts fees in the amounts and at the times specified in any Fee Letter as applicable. The Borrowers shall pay to the Lenders such fees as shall have been separately agreed upon in writing in the amounts and at the times so specified.</w:t>
      </w:r>
    </w:p>
    <w:p>
      <w:pPr>
        <w:spacing w:after="0" w:line="184" w:lineRule="exact"/>
        <w:rPr>
          <w:sz w:val="20"/>
          <w:szCs w:val="20"/>
          <w:color w:val="auto"/>
        </w:rPr>
      </w:pPr>
    </w:p>
    <w:p>
      <w:pPr>
        <w:ind w:left="1320"/>
        <w:spacing w:after="0"/>
        <w:tabs>
          <w:tab w:leader="none" w:pos="2620" w:val="left"/>
        </w:tabs>
        <w:rPr>
          <w:sz w:val="20"/>
          <w:szCs w:val="20"/>
          <w:color w:val="auto"/>
        </w:rPr>
      </w:pPr>
      <w:r>
        <w:rPr>
          <w:rFonts w:ascii="Times New Roman" w:cs="Times New Roman" w:eastAsia="Times New Roman" w:hAnsi="Times New Roman"/>
          <w:sz w:val="20"/>
          <w:szCs w:val="20"/>
          <w:color w:val="auto"/>
        </w:rPr>
        <w:t>SECTION 5.4</w:t>
      </w:r>
      <w:r>
        <w:rPr>
          <w:sz w:val="20"/>
          <w:szCs w:val="20"/>
          <w:color w:val="auto"/>
        </w:rPr>
        <w:tab/>
      </w:r>
      <w:r>
        <w:rPr>
          <w:rFonts w:ascii="Times New Roman" w:cs="Times New Roman" w:eastAsia="Times New Roman" w:hAnsi="Times New Roman"/>
          <w:sz w:val="19"/>
          <w:szCs w:val="19"/>
          <w:u w:val="single" w:color="auto"/>
          <w:color w:val="auto"/>
        </w:rPr>
        <w:t>Manner of Payment</w:t>
      </w:r>
      <w:r>
        <w:rPr>
          <w:rFonts w:ascii="Times New Roman" w:cs="Times New Roman" w:eastAsia="Times New Roman" w:hAnsi="Times New Roman"/>
          <w:sz w:val="19"/>
          <w:szCs w:val="19"/>
          <w:color w:val="auto"/>
        </w:rPr>
        <w:t>.</w:t>
      </w:r>
    </w:p>
    <w:p>
      <w:pPr>
        <w:spacing w:after="0" w:line="211" w:lineRule="exact"/>
        <w:rPr>
          <w:sz w:val="20"/>
          <w:szCs w:val="20"/>
          <w:color w:val="auto"/>
        </w:rPr>
      </w:pPr>
    </w:p>
    <w:p>
      <w:pPr>
        <w:jc w:val="both"/>
        <w:ind w:left="680" w:firstLine="646"/>
        <w:spacing w:after="0" w:line="247" w:lineRule="auto"/>
        <w:tabs>
          <w:tab w:leader="none" w:pos="1927"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made by the Borrowers</w:t>
      </w:r>
      <w:r>
        <w:rPr>
          <w:rFonts w:ascii="Times New Roman" w:cs="Times New Roman" w:eastAsia="Times New Roman" w:hAnsi="Times New Roman"/>
          <w:sz w:val="20"/>
          <w:szCs w:val="20"/>
          <w:color w:val="auto"/>
        </w:rPr>
        <w:t xml:space="preserve">. Each payment by a Borrower on account of the principal of or interest on the Loans or of any fee, commission or other amounts (including the Reimbursement Obligations) payable to the Lenders under this Agreement shall be made not later than 1:00 p.m. on the date specified for payment under this Agreement to the Administrative Agent at the Administrative Agent’s Office for the account of the Lenders entitled to such payment, in immediately available funds and shall be made without any set off, counterclaim or deduction whatsoever. Any payment received after such time but before 2:00 p.m. on such day shall be deemed a payment on such date for the purposes of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but for all other purposes shall be deemed to have been made on the next succeeding Business Day. Any payment received after 2:00 p.m. shall be deemed to have been made on the next succeeding Business Day for all purposes. Upon receipt by the Administrative Agent of each such payment, the Administrative Agent shall distribute to each such Lender at its address for notices set forth herein its Commitment Percentage in respect of the relevant Credit Facility (or other applicable share as provided herein) of such payment and shall wire advice of the amount of such credit to each Lender. Each payment to the Administrative Agent on account of the principal of or interest on the Swingline Loans or of any fee, commission or other amounts payable to the applicable Swingline Lender shall be made in like manner, but for the account of the applicable Swingline Lender. Each payment to the Administrative Agent of any Issuing Lender’s fees or L/C Participants’ commissions shall be made in like manner, but for the account of such Issuing Lender or the L/C Participants, as the case may be. Each payment to the Administrative Agent of Administrative Agent’s fees or expenses shall be made for the account of the Administrative Agent and any amount payable to any Lender under </w:t>
      </w:r>
      <w:r>
        <w:rPr>
          <w:rFonts w:ascii="Times New Roman" w:cs="Times New Roman" w:eastAsia="Times New Roman" w:hAnsi="Times New Roman"/>
          <w:sz w:val="20"/>
          <w:szCs w:val="20"/>
          <w:u w:val="single" w:color="auto"/>
          <w:color w:val="auto"/>
        </w:rPr>
        <w:t>Sections 5.9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12.3</w:t>
      </w:r>
      <w:r>
        <w:rPr>
          <w:rFonts w:ascii="Times New Roman" w:cs="Times New Roman" w:eastAsia="Times New Roman" w:hAnsi="Times New Roman"/>
          <w:sz w:val="20"/>
          <w:szCs w:val="20"/>
          <w:color w:val="auto"/>
        </w:rPr>
        <w:t xml:space="preserve"> shall be paid to the Administrative Agent for the account of the applicable Lender. Subject to the definition of Interest Period, if any payment under this Agreement shall be specified to be made upon a day which is not a Business Day, it shall be made on the next succeeding day which is a Business Day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46">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131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280" w:name="page281"/>
    <w:bookmarkEnd w:id="280"/>
    <w:p>
      <w:pPr>
        <w:spacing w:after="0" w:line="9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auto"/>
        </w:rPr>
        <w:t>and such extension of time shall in such case be included in computing any interest if payable along with such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47">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132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0139"/>
          </w:cols>
          <w:pgMar w:left="320" w:top="1440" w:right="1440" w:bottom="1440" w:gutter="0" w:footer="0" w:header="0"/>
        </w:sectPr>
      </w:pPr>
    </w:p>
    <w:bookmarkStart w:id="281" w:name="page282"/>
    <w:bookmarkEnd w:id="281"/>
    <w:p>
      <w:pPr>
        <w:spacing w:after="0" w:line="202" w:lineRule="exact"/>
        <w:rPr>
          <w:sz w:val="20"/>
          <w:szCs w:val="20"/>
          <w:color w:val="auto"/>
        </w:rPr>
      </w:pPr>
    </w:p>
    <w:p>
      <w:pPr>
        <w:ind w:left="680" w:right="40" w:firstLine="646"/>
        <w:spacing w:after="0" w:line="263" w:lineRule="auto"/>
        <w:tabs>
          <w:tab w:leader="none" w:pos="1925"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Lenders</w:t>
      </w:r>
      <w:r>
        <w:rPr>
          <w:rFonts w:ascii="Times New Roman" w:cs="Times New Roman" w:eastAsia="Times New Roman" w:hAnsi="Times New Roman"/>
          <w:sz w:val="20"/>
          <w:szCs w:val="20"/>
          <w:color w:val="auto"/>
        </w:rPr>
        <w:t xml:space="preserve">. Notwithstanding the foregoing, if there exists a Defaulting Lender each payment by any Borrower to such Defaulting Lender hereunder shall be applied in accordance with </w:t>
      </w:r>
      <w:r>
        <w:rPr>
          <w:rFonts w:ascii="Times New Roman" w:cs="Times New Roman" w:eastAsia="Times New Roman" w:hAnsi="Times New Roman"/>
          <w:sz w:val="20"/>
          <w:szCs w:val="20"/>
          <w:u w:val="single" w:color="auto"/>
          <w:color w:val="auto"/>
        </w:rPr>
        <w:t>Section 5.15(a)(ii)</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ind w:left="1320"/>
        <w:spacing w:after="0"/>
        <w:tabs>
          <w:tab w:leader="none" w:pos="2620" w:val="left"/>
        </w:tabs>
        <w:rPr>
          <w:sz w:val="20"/>
          <w:szCs w:val="20"/>
          <w:color w:val="auto"/>
        </w:rPr>
      </w:pPr>
      <w:r>
        <w:rPr>
          <w:rFonts w:ascii="Times New Roman" w:cs="Times New Roman" w:eastAsia="Times New Roman" w:hAnsi="Times New Roman"/>
          <w:sz w:val="20"/>
          <w:szCs w:val="20"/>
          <w:color w:val="auto"/>
        </w:rPr>
        <w:t>SECTION 5.5</w:t>
      </w:r>
      <w:r>
        <w:rPr>
          <w:sz w:val="20"/>
          <w:szCs w:val="20"/>
          <w:color w:val="auto"/>
        </w:rPr>
        <w:tab/>
      </w:r>
      <w:r>
        <w:rPr>
          <w:rFonts w:ascii="Times New Roman" w:cs="Times New Roman" w:eastAsia="Times New Roman" w:hAnsi="Times New Roman"/>
          <w:sz w:val="19"/>
          <w:szCs w:val="19"/>
          <w:u w:val="single" w:color="auto"/>
          <w:color w:val="auto"/>
        </w:rPr>
        <w:t>Evidence of Indebtedness</w:t>
      </w:r>
      <w:r>
        <w:rPr>
          <w:rFonts w:ascii="Times New Roman" w:cs="Times New Roman" w:eastAsia="Times New Roman" w:hAnsi="Times New Roman"/>
          <w:sz w:val="19"/>
          <w:szCs w:val="19"/>
          <w:color w:val="auto"/>
        </w:rPr>
        <w:t>.</w:t>
      </w:r>
    </w:p>
    <w:p>
      <w:pPr>
        <w:spacing w:after="0" w:line="211" w:lineRule="exact"/>
        <w:rPr>
          <w:sz w:val="20"/>
          <w:szCs w:val="20"/>
          <w:color w:val="auto"/>
        </w:rPr>
      </w:pPr>
    </w:p>
    <w:p>
      <w:pPr>
        <w:jc w:val="both"/>
        <w:ind w:left="680" w:firstLine="646"/>
        <w:spacing w:after="0" w:line="261" w:lineRule="auto"/>
        <w:tabs>
          <w:tab w:leader="none" w:pos="1927"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Extensions of Credit</w:t>
      </w:r>
      <w:r>
        <w:rPr>
          <w:rFonts w:ascii="Times New Roman" w:cs="Times New Roman" w:eastAsia="Times New Roman" w:hAnsi="Times New Roman"/>
          <w:sz w:val="19"/>
          <w:szCs w:val="19"/>
          <w:color w:val="auto"/>
        </w:rPr>
        <w:t>. The Extensions of Credit made by each Lender and each Issuing Lender shall be evidenced by one or more accounts or records maintained by such Lender or such Issuing Lender and by the Administrative Agent in the ordinary course of business. The accounts or records maintained by the Administrative Agent and each Lender or the applicable Issuing Lender shall be conclusive absent manifest error of the amount of the Extensions of Credit made by the Lenders or such Issuing Lender to the applicable Borrowers and their applicable respective Subsidiaries and the interest and 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Lender or any Issuing Lender and the accounts and records of the Administrative Agent in respect of such matters, the accounts and records of the Administrative Agent shall control in the absence of manifest error. Upon the request of any Lender made through the Administrative Agent, the applicable Borrower shall execute and deliver to such Lender (through the Administrative Agent) a US Revolving Credit Note, Canadian Revolving Credit Note, a US Term Loan Note, a Canadian Term Loan Note, US Swingline Note and/or Canadian Swingline Note, as applicable, which shall evidence such Lender’s Revolving Credit Loans, Term Loans and/or Swingline Loans, as applicable, in addition to such accounts or records. Each Lender may attach schedules to its Notes and endorse thereon the date, amount and maturity of its Loans and payments with respect thereto.</w:t>
      </w:r>
    </w:p>
    <w:p>
      <w:pPr>
        <w:spacing w:after="0" w:line="164" w:lineRule="exact"/>
        <w:rPr>
          <w:rFonts w:ascii="Times New Roman" w:cs="Times New Roman" w:eastAsia="Times New Roman" w:hAnsi="Times New Roman"/>
          <w:sz w:val="19"/>
          <w:szCs w:val="19"/>
          <w:color w:val="auto"/>
        </w:rPr>
      </w:pPr>
    </w:p>
    <w:p>
      <w:pPr>
        <w:jc w:val="both"/>
        <w:ind w:left="680" w:firstLine="646"/>
        <w:spacing w:after="0" w:line="250" w:lineRule="auto"/>
        <w:tabs>
          <w:tab w:leader="none" w:pos="1925"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Participations</w:t>
      </w:r>
      <w:r>
        <w:rPr>
          <w:rFonts w:ascii="Times New Roman" w:cs="Times New Roman" w:eastAsia="Times New Roman" w:hAnsi="Times New Roman"/>
          <w:sz w:val="20"/>
          <w:szCs w:val="20"/>
          <w:color w:val="auto"/>
        </w:rPr>
        <w:t>. In addition to the accounts and records referred to in subsection (a), each Revolving Credit Lender and the Administrative Agent shall maintain in accordance with its usual practice accounts or records evidencing the purchases and sales by such Revolving Credit Lender of participations in Letters of Credit and Swingline Loans. In the event of any conflict between the accounts and records maintained by the Administrative Agent and the accounts and records of any Revolving Credit Lender in respect of such matters, the accounts and records of the Administrative Agent shall control in the absence of manifest error.</w:t>
      </w:r>
    </w:p>
    <w:p>
      <w:pPr>
        <w:spacing w:after="0" w:line="181" w:lineRule="exact"/>
        <w:rPr>
          <w:sz w:val="20"/>
          <w:szCs w:val="20"/>
          <w:color w:val="auto"/>
        </w:rPr>
      </w:pPr>
    </w:p>
    <w:p>
      <w:pPr>
        <w:jc w:val="both"/>
        <w:ind w:left="680" w:right="40" w:firstLine="642"/>
        <w:spacing w:after="0" w:line="248" w:lineRule="auto"/>
        <w:rPr>
          <w:sz w:val="20"/>
          <w:szCs w:val="20"/>
          <w:color w:val="auto"/>
        </w:rPr>
      </w:pPr>
      <w:r>
        <w:rPr>
          <w:rFonts w:ascii="Times New Roman" w:cs="Times New Roman" w:eastAsia="Times New Roman" w:hAnsi="Times New Roman"/>
          <w:sz w:val="20"/>
          <w:szCs w:val="20"/>
          <w:color w:val="auto"/>
        </w:rPr>
        <w:t xml:space="preserve">SECTION 5.6 </w:t>
      </w:r>
      <w:r>
        <w:rPr>
          <w:rFonts w:ascii="Times New Roman" w:cs="Times New Roman" w:eastAsia="Times New Roman" w:hAnsi="Times New Roman"/>
          <w:sz w:val="20"/>
          <w:szCs w:val="20"/>
          <w:u w:val="single" w:color="auto"/>
          <w:color w:val="auto"/>
        </w:rPr>
        <w:t>Sharing of Payments by Lenders</w:t>
      </w:r>
      <w:r>
        <w:rPr>
          <w:rFonts w:ascii="Times New Roman" w:cs="Times New Roman" w:eastAsia="Times New Roman" w:hAnsi="Times New Roman"/>
          <w:sz w:val="20"/>
          <w:szCs w:val="20"/>
          <w:color w:val="auto"/>
        </w:rPr>
        <w:t xml:space="preserve">. If any Lender shall, by exercising any right of setoff or counterclaim or otherwise, obtain payment in respect of any principal of or interest on any of its Loans or other obligations hereunder resulting in such Lender’s receiving payment of a proportion of the aggregate amount of its Loans and accrued interest thereon or other such obligations (other than pursuant to </w:t>
      </w:r>
      <w:r>
        <w:rPr>
          <w:rFonts w:ascii="Times New Roman" w:cs="Times New Roman" w:eastAsia="Times New Roman" w:hAnsi="Times New Roman"/>
          <w:sz w:val="20"/>
          <w:szCs w:val="20"/>
          <w:u w:val="single" w:color="auto"/>
          <w:color w:val="auto"/>
        </w:rPr>
        <w:t>Sections 5.9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12.3</w:t>
      </w:r>
      <w:r>
        <w:rPr>
          <w:rFonts w:ascii="Times New Roman" w:cs="Times New Roman" w:eastAsia="Times New Roman" w:hAnsi="Times New Roman"/>
          <w:sz w:val="20"/>
          <w:szCs w:val="20"/>
          <w:color w:val="auto"/>
        </w:rPr>
        <w:t xml:space="preserve">) greater than its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share thereof as provided herein, then the Lender receiving such greater proportion shall (a) notify the Administrative Agent of such fact, and (b) purchase (for cash at face value) participations in the Loans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85" w:lineRule="exact"/>
        <w:rPr>
          <w:sz w:val="20"/>
          <w:szCs w:val="20"/>
          <w:color w:val="auto"/>
        </w:rPr>
      </w:pPr>
    </w:p>
    <w:p>
      <w:pPr>
        <w:jc w:val="both"/>
        <w:ind w:left="1320" w:right="40" w:firstLine="648"/>
        <w:spacing w:after="0" w:line="264" w:lineRule="auto"/>
        <w:tabs>
          <w:tab w:leader="none" w:pos="2561"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such participations are purchased and all or any portion of the payment giving rise thereto is recovered, such participations shall be rescinded and the purchase price restored to the extent of such recovery, without interest, and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48">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133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282" w:name="page283"/>
    <w:bookmarkEnd w:id="282"/>
    <w:p>
      <w:pPr>
        <w:spacing w:after="0" w:line="95" w:lineRule="exact"/>
        <w:rPr>
          <w:sz w:val="20"/>
          <w:szCs w:val="20"/>
          <w:color w:val="auto"/>
        </w:rPr>
      </w:pPr>
    </w:p>
    <w:p>
      <w:pPr>
        <w:jc w:val="both"/>
        <w:ind w:left="1320" w:firstLine="648"/>
        <w:spacing w:after="0" w:line="257" w:lineRule="auto"/>
        <w:tabs>
          <w:tab w:leader="none" w:pos="2562"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this paragraph shall not be construed to apply to (A) any payment made by the Borrowers pursuant to and in accordance with the express terms of this Agreement (including the application of funds arising from the existence of a Defaulting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49">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134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060"/>
          </w:cols>
          <w:pgMar w:left="320" w:top="1440" w:right="519" w:bottom="1440" w:gutter="0" w:footer="0" w:header="0"/>
        </w:sectPr>
      </w:pPr>
    </w:p>
    <w:bookmarkStart w:id="283" w:name="page284"/>
    <w:bookmarkEnd w:id="283"/>
    <w:p>
      <w:pPr>
        <w:spacing w:after="0" w:line="202" w:lineRule="exact"/>
        <w:rPr>
          <w:sz w:val="20"/>
          <w:szCs w:val="20"/>
          <w:color w:val="auto"/>
        </w:rPr>
      </w:pPr>
    </w:p>
    <w:p>
      <w:pPr>
        <w:jc w:val="both"/>
        <w:ind w:left="1320"/>
        <w:spacing w:after="0" w:line="250" w:lineRule="auto"/>
        <w:rPr>
          <w:sz w:val="20"/>
          <w:szCs w:val="20"/>
          <w:color w:val="auto"/>
        </w:rPr>
      </w:pPr>
      <w:r>
        <w:rPr>
          <w:rFonts w:ascii="Times New Roman" w:cs="Times New Roman" w:eastAsia="Times New Roman" w:hAnsi="Times New Roman"/>
          <w:sz w:val="20"/>
          <w:szCs w:val="20"/>
          <w:color w:val="auto"/>
        </w:rPr>
        <w:t xml:space="preserve">Lender), (B) the application of Cash Collateral provided for in </w:t>
      </w:r>
      <w:r>
        <w:rPr>
          <w:rFonts w:ascii="Times New Roman" w:cs="Times New Roman" w:eastAsia="Times New Roman" w:hAnsi="Times New Roman"/>
          <w:sz w:val="20"/>
          <w:szCs w:val="20"/>
          <w:u w:val="single" w:color="auto"/>
          <w:color w:val="auto"/>
        </w:rPr>
        <w:t>Section 5.14</w:t>
      </w:r>
      <w:r>
        <w:rPr>
          <w:rFonts w:ascii="Times New Roman" w:cs="Times New Roman" w:eastAsia="Times New Roman" w:hAnsi="Times New Roman"/>
          <w:sz w:val="20"/>
          <w:szCs w:val="20"/>
          <w:color w:val="auto"/>
        </w:rPr>
        <w:t xml:space="preserve"> or (C) any payment obtained by a Lender as consideration for the assignment of or sale of a participation in any of its Loans or participations in Swingline Loans and Letters of Credit to any assignee or participant, other than to any of the Consolidated Companies or their Affiliates (as to which this </w:t>
      </w:r>
      <w:r>
        <w:rPr>
          <w:rFonts w:ascii="Times New Roman" w:cs="Times New Roman" w:eastAsia="Times New Roman" w:hAnsi="Times New Roman"/>
          <w:sz w:val="20"/>
          <w:szCs w:val="20"/>
          <w:u w:val="single" w:color="auto"/>
          <w:color w:val="auto"/>
        </w:rPr>
        <w:t>Section 5.6</w:t>
      </w:r>
      <w:r>
        <w:rPr>
          <w:rFonts w:ascii="Times New Roman" w:cs="Times New Roman" w:eastAsia="Times New Roman" w:hAnsi="Times New Roman"/>
          <w:sz w:val="20"/>
          <w:szCs w:val="20"/>
          <w:color w:val="auto"/>
        </w:rPr>
        <w:t xml:space="preserve"> shall apply).</w:t>
      </w:r>
    </w:p>
    <w:p>
      <w:pPr>
        <w:spacing w:after="0" w:line="192" w:lineRule="exact"/>
        <w:rPr>
          <w:sz w:val="20"/>
          <w:szCs w:val="20"/>
          <w:color w:val="auto"/>
        </w:rPr>
      </w:pPr>
    </w:p>
    <w:p>
      <w:pPr>
        <w:jc w:val="both"/>
        <w:ind w:left="680" w:right="40"/>
        <w:spacing w:after="0" w:line="250" w:lineRule="auto"/>
        <w:rPr>
          <w:sz w:val="20"/>
          <w:szCs w:val="20"/>
          <w:color w:val="auto"/>
        </w:rPr>
      </w:pPr>
      <w:r>
        <w:rPr>
          <w:rFonts w:ascii="Times New Roman" w:cs="Times New Roman" w:eastAsia="Times New Roman" w:hAnsi="Times New Roman"/>
          <w:sz w:val="20"/>
          <w:szCs w:val="20"/>
          <w:color w:val="auto"/>
        </w:rPr>
        <w:t>Each Credit Party consents to the foregoing and agrees, to the extent it may effectively do so under Applicable Law, that any Lender acquiring a participation pursuant to the foregoing arrangements may exercise against each Credit Party rights of setoff and counterclaim with respect to such participation as fully as if such Lender were a direct creditor of each Credit Party in the amount of such participation.</w:t>
      </w:r>
    </w:p>
    <w:p>
      <w:pPr>
        <w:spacing w:after="0" w:line="19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 xml:space="preserve">SECTION 5.7 </w:t>
      </w:r>
      <w:r>
        <w:rPr>
          <w:rFonts w:ascii="Times New Roman" w:cs="Times New Roman" w:eastAsia="Times New Roman" w:hAnsi="Times New Roman"/>
          <w:sz w:val="20"/>
          <w:szCs w:val="20"/>
          <w:u w:val="single" w:color="auto"/>
          <w:color w:val="auto"/>
        </w:rPr>
        <w:t>Administrative Agent’s Clawback</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jc w:val="both"/>
        <w:ind w:left="680" w:right="20" w:firstLine="646"/>
        <w:spacing w:after="0" w:line="246" w:lineRule="auto"/>
        <w:tabs>
          <w:tab w:leader="none" w:pos="1927"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Funding by Lenders; Presumption by Administrative Agent</w:t>
      </w:r>
      <w:r>
        <w:rPr>
          <w:rFonts w:ascii="Times New Roman" w:cs="Times New Roman" w:eastAsia="Times New Roman" w:hAnsi="Times New Roman"/>
          <w:sz w:val="20"/>
          <w:szCs w:val="20"/>
          <w:color w:val="auto"/>
        </w:rPr>
        <w:t xml:space="preserve">. Unless the Administrative Agent shall have received notice from a Lender (i) in the case of Base Rate Loans, not later than 12:00 noon on the date of any proposed borrowing, (ii) in the case of Canadian Revolving Credit Loans, not later than 12:00 noon one (1) Business Day before the date of any proposed borrowing and (iii) otherwise,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20"/>
          <w:szCs w:val="20"/>
          <w:u w:val="single" w:color="auto"/>
          <w:color w:val="auto"/>
        </w:rPr>
        <w:t>Sections 2.3(b)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4.2</w:t>
      </w:r>
      <w:r>
        <w:rPr>
          <w:rFonts w:ascii="Times New Roman" w:cs="Times New Roman" w:eastAsia="Times New Roman" w:hAnsi="Times New Roman"/>
          <w:sz w:val="20"/>
          <w:szCs w:val="20"/>
          <w:color w:val="auto"/>
        </w:rPr>
        <w:t xml:space="preserve"> and may, in reliance upon such assumption, make available to the applicable Borrower a corresponding amount. In such event, if a Lender has not in fact made its share of the applicable borrowing available to the Administrative Agent, then the applicable Lender and the applicable Borrower severally agree to pay to the Administrative Agent forthwith on demand such corresponding amount with interest thereon, for each day from and including the date such amount is made available to the applicable Borrower to but excluding the date of payment to the Administrative Agent, (A) in the case of a payment to be made by such Lender, (1) with respect to any Loan denominated in Dollars, at the greater of (x) the daily average Federal Funds Rate and (y) a rate determined by the Administrative Agent in accordance with banking industry rules on interbank compensation and (2) with respect to any Loan denominated in Canadian Dollars, at the greater of (x) a rate equal to the Administrative Agent’s aggregate marginal cost (including the cost of maintaining any required reserves or deposit insurance and of any fees, penalties, overdraft charges or other costs or expenses incurred by the Administrative Agent as a result of the failure to deliver funds hereunder) of carrying such amount and (y) a rate determined by the Administrative Agent in accordance with banking industry rules on interbank compensation and (B) in the case of a payment to be made by such Borrower, (1) with respect to any Loan denominated in Dollars, the Base Rate and (2) with respect to any Loan denominated in Canadian Dollars, the Canadian Base Rate. If the applicable Borrower and such Lender shall pay such interest to the Administrative Agent for the same or an overlapping period, the Administrative Agent shall promptly remit to such Borrower the amount of such interest paid by such Borrower for such period. If such Lender pays its share of the applicable borrowing to the Administrative Agent, then the amount so paid shall constitute such Lender’s Loan included in such borrowing. Any payment by any Borrower shall be without prejudice to any claim such Borrower may have against a Lender that shall have failed to make such payment to the Administrative Agent.</w:t>
      </w:r>
    </w:p>
    <w:p>
      <w:pPr>
        <w:spacing w:after="0" w:line="186" w:lineRule="exact"/>
        <w:rPr>
          <w:rFonts w:ascii="Times New Roman" w:cs="Times New Roman" w:eastAsia="Times New Roman" w:hAnsi="Times New Roman"/>
          <w:sz w:val="20"/>
          <w:szCs w:val="20"/>
          <w:color w:val="auto"/>
        </w:rPr>
      </w:pPr>
    </w:p>
    <w:p>
      <w:pPr>
        <w:jc w:val="both"/>
        <w:ind w:left="680" w:right="40" w:firstLine="646"/>
        <w:spacing w:after="0" w:line="250" w:lineRule="auto"/>
        <w:tabs>
          <w:tab w:leader="none" w:pos="1925"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by the Borrowers; Presumptions by Administrative Agent</w:t>
      </w:r>
      <w:r>
        <w:rPr>
          <w:rFonts w:ascii="Times New Roman" w:cs="Times New Roman" w:eastAsia="Times New Roman" w:hAnsi="Times New Roman"/>
          <w:sz w:val="20"/>
          <w:szCs w:val="20"/>
          <w:color w:val="auto"/>
        </w:rPr>
        <w:t>. Unless the Administrative Agent shall have received notice from the applicable Borrower prior to the date on which any payment is due to the Administrative Agent for the account of the Lenders, any Issuing Lender or any Swingline Lender hereunder that the applicable Borrower will not make such payment, the Administrative Agent may assume that such Borrower has made such payment on such date in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50">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135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284" w:name="page285"/>
    <w:bookmarkEnd w:id="284"/>
    <w:p>
      <w:pPr>
        <w:spacing w:after="0" w:line="68" w:lineRule="exact"/>
        <w:rPr>
          <w:sz w:val="20"/>
          <w:szCs w:val="20"/>
          <w:color w:val="auto"/>
        </w:rPr>
      </w:pPr>
    </w:p>
    <w:p>
      <w:pPr>
        <w:ind w:left="680"/>
        <w:spacing w:after="0" w:line="277" w:lineRule="auto"/>
        <w:rPr>
          <w:sz w:val="20"/>
          <w:szCs w:val="20"/>
          <w:color w:val="auto"/>
        </w:rPr>
      </w:pPr>
      <w:r>
        <w:rPr>
          <w:rFonts w:ascii="Times New Roman" w:cs="Times New Roman" w:eastAsia="Times New Roman" w:hAnsi="Times New Roman"/>
          <w:sz w:val="20"/>
          <w:szCs w:val="20"/>
          <w:color w:val="auto"/>
        </w:rPr>
        <w:t>accordance herewith and may, in reliance upon such assumption, distribute to the Lenders, such Issuing Lender or such Swingline Lender, as the case may be, the amount due. In such event, if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51">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136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060"/>
          </w:cols>
          <w:pgMar w:left="320" w:top="1440" w:right="519" w:bottom="1440" w:gutter="0" w:footer="0" w:header="0"/>
        </w:sectPr>
      </w:pPr>
    </w:p>
    <w:bookmarkStart w:id="285" w:name="page286"/>
    <w:bookmarkEnd w:id="285"/>
    <w:p>
      <w:pPr>
        <w:spacing w:after="0" w:line="202" w:lineRule="exact"/>
        <w:rPr>
          <w:sz w:val="20"/>
          <w:szCs w:val="20"/>
          <w:color w:val="auto"/>
        </w:rPr>
      </w:pPr>
    </w:p>
    <w:p>
      <w:pPr>
        <w:jc w:val="both"/>
        <w:ind w:left="680"/>
        <w:spacing w:after="0" w:line="248" w:lineRule="auto"/>
        <w:rPr>
          <w:sz w:val="20"/>
          <w:szCs w:val="20"/>
          <w:color w:val="auto"/>
        </w:rPr>
      </w:pPr>
      <w:r>
        <w:rPr>
          <w:rFonts w:ascii="Times New Roman" w:cs="Times New Roman" w:eastAsia="Times New Roman" w:hAnsi="Times New Roman"/>
          <w:sz w:val="20"/>
          <w:szCs w:val="20"/>
          <w:color w:val="auto"/>
        </w:rPr>
        <w:t>Borrower has not in fact made such payment, then each of the Lenders, each Issuing Lender or each Swingline Lender, as the case maybe, severally agrees to repay to the Administrative Agent forthwith on demand the amount so distributed to such Lender, Issuing Lender or Swingline Lender, with interest thereon, for each day from and including the date such amount is distributed to it to but excluding the date of payment to the Administrative Agent, (i) with respect to any Extension of Credit (other than any Canadian Revolving Credit Loan, any Canadian Swingline Loan and, to the extent applicable, any Incremental Term Loan made to the Canadian Borrowers), at the greater of the Federal Funds Rate and a rate determined by the Administrative Agent in accordance with banking industry rules on interbank compensation and (ii) with respect to any Canadian Revolving Credit Loan, any Canadian Swingline Loan and, to the extent applicable, any Incremental Term Loan made to the Canadian Borrowers, at a rate equal to the Administrative Agent’s aggregate marginal cost (including the cost of maintaining any required reserves or deposit insurance and of any fees, penalties, overdraft charges or other costs or expenses incurred by the Administrative Agent as a result of the failure to deliver funds hereunder) of carrying such amount.</w:t>
      </w:r>
    </w:p>
    <w:p>
      <w:pPr>
        <w:spacing w:after="0" w:line="168" w:lineRule="exact"/>
        <w:rPr>
          <w:sz w:val="20"/>
          <w:szCs w:val="20"/>
          <w:color w:val="auto"/>
        </w:rPr>
      </w:pPr>
    </w:p>
    <w:p>
      <w:pPr>
        <w:jc w:val="both"/>
        <w:ind w:left="680" w:right="20" w:firstLine="646"/>
        <w:spacing w:after="0" w:line="250" w:lineRule="auto"/>
        <w:tabs>
          <w:tab w:leader="none" w:pos="1927"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Nature of Obligations of Lenders Regarding Extensions of Credit</w:t>
      </w:r>
      <w:r>
        <w:rPr>
          <w:rFonts w:ascii="Times New Roman" w:cs="Times New Roman" w:eastAsia="Times New Roman" w:hAnsi="Times New Roman"/>
          <w:sz w:val="20"/>
          <w:szCs w:val="20"/>
          <w:color w:val="auto"/>
        </w:rPr>
        <w:t xml:space="preserve">. The obligations of the Lenders under this Agreement to make the Loans and issue or participate in Letters of Credit and to make payments under this Section, </w:t>
      </w:r>
      <w:r>
        <w:rPr>
          <w:rFonts w:ascii="Times New Roman" w:cs="Times New Roman" w:eastAsia="Times New Roman" w:hAnsi="Times New Roman"/>
          <w:sz w:val="20"/>
          <w:szCs w:val="20"/>
          <w:u w:val="single" w:color="auto"/>
          <w:color w:val="auto"/>
        </w:rPr>
        <w:t>Section 5.11(e)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11.11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12.3(c)</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12.7</w:t>
      </w:r>
      <w:r>
        <w:rPr>
          <w:rFonts w:ascii="Times New Roman" w:cs="Times New Roman" w:eastAsia="Times New Roman" w:hAnsi="Times New Roman"/>
          <w:sz w:val="20"/>
          <w:szCs w:val="20"/>
          <w:color w:val="auto"/>
        </w:rPr>
        <w:t>, as applicable, are several and are not joint or joint and several. The failure of any Lender to make available its Commitment Percentage of any Loan requested by any Borrower shall not relieve it or any other Lender of its obligation, if any, hereunder to make its Commitment Percentage of such Loan available on the borrowing date, but no Lender shall be responsible for the failure of any other Lender to make its Commitment Percentage of such Loan available on the borrowing date.</w:t>
      </w:r>
    </w:p>
    <w:p>
      <w:pPr>
        <w:spacing w:after="0" w:line="182" w:lineRule="exact"/>
        <w:rPr>
          <w:sz w:val="20"/>
          <w:szCs w:val="20"/>
          <w:color w:val="auto"/>
        </w:rPr>
      </w:pPr>
    </w:p>
    <w:p>
      <w:pPr>
        <w:ind w:left="1320"/>
        <w:spacing w:after="0"/>
        <w:tabs>
          <w:tab w:leader="none" w:pos="2620" w:val="left"/>
        </w:tabs>
        <w:rPr>
          <w:sz w:val="20"/>
          <w:szCs w:val="20"/>
          <w:color w:val="auto"/>
        </w:rPr>
      </w:pPr>
      <w:r>
        <w:rPr>
          <w:rFonts w:ascii="Times New Roman" w:cs="Times New Roman" w:eastAsia="Times New Roman" w:hAnsi="Times New Roman"/>
          <w:sz w:val="20"/>
          <w:szCs w:val="20"/>
          <w:color w:val="auto"/>
        </w:rPr>
        <w:t>SECTION 5.8</w:t>
      </w:r>
      <w:r>
        <w:rPr>
          <w:sz w:val="20"/>
          <w:szCs w:val="20"/>
          <w:color w:val="auto"/>
        </w:rPr>
        <w:tab/>
      </w:r>
      <w:r>
        <w:rPr>
          <w:rFonts w:ascii="Times New Roman" w:cs="Times New Roman" w:eastAsia="Times New Roman" w:hAnsi="Times New Roman"/>
          <w:sz w:val="19"/>
          <w:szCs w:val="19"/>
          <w:color w:val="auto"/>
        </w:rPr>
        <w:t>Changed Circumstances.</w:t>
      </w:r>
    </w:p>
    <w:p>
      <w:pPr>
        <w:spacing w:after="0" w:line="211" w:lineRule="exact"/>
        <w:rPr>
          <w:sz w:val="20"/>
          <w:szCs w:val="20"/>
          <w:color w:val="auto"/>
        </w:rPr>
      </w:pPr>
    </w:p>
    <w:p>
      <w:pPr>
        <w:jc w:val="both"/>
        <w:ind w:left="680" w:right="60" w:firstLine="646"/>
        <w:spacing w:after="0" w:line="254" w:lineRule="auto"/>
        <w:tabs>
          <w:tab w:leader="none" w:pos="1927"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Circumstances Affecting SOFR 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rPr>
        <w:t>CDOR Rate</w:t>
      </w:r>
      <w:r>
        <w:rPr>
          <w:rFonts w:ascii="Times New Roman" w:cs="Times New Roman" w:eastAsia="Times New Roman" w:hAnsi="Times New Roman"/>
          <w:sz w:val="20"/>
          <w:szCs w:val="20"/>
          <w:color w:val="0000FF"/>
        </w:rPr>
        <w:t>Term CORRA</w:t>
      </w:r>
      <w:r>
        <w:rPr>
          <w:rFonts w:ascii="Times New Roman" w:cs="Times New Roman" w:eastAsia="Times New Roman" w:hAnsi="Times New Roman"/>
          <w:sz w:val="20"/>
          <w:szCs w:val="20"/>
          <w:color w:val="auto"/>
        </w:rPr>
        <w:t xml:space="preserve"> Availability. Subject to clause (c) below, in connection with any request for (x) a SOFR Loan (or a Base Rate Loan as to which the interest rate is determined with reference to Adjusted Term SOFR) or a conversion to or continuation thereof or (y) a </w:t>
      </w:r>
      <w:r>
        <w:rPr>
          <w:rFonts w:ascii="Times New Roman" w:cs="Times New Roman" w:eastAsia="Times New Roman" w:hAnsi="Times New Roman"/>
          <w:sz w:val="20"/>
          <w:szCs w:val="20"/>
          <w:color w:val="FF0000"/>
          <w:strike w:val="1"/>
        </w:rPr>
        <w:t>CDOR Rate</w:t>
      </w:r>
      <w:r>
        <w:rPr>
          <w:rFonts w:ascii="Times New Roman" w:cs="Times New Roman" w:eastAsia="Times New Roman" w:hAnsi="Times New Roman"/>
          <w:sz w:val="20"/>
          <w:szCs w:val="20"/>
          <w:u w:val="single" w:color="auto"/>
          <w:color w:val="0000FF"/>
        </w:rPr>
        <w:t>Term CORRA</w:t>
      </w:r>
      <w:r>
        <w:rPr>
          <w:rFonts w:ascii="Times New Roman" w:cs="Times New Roman" w:eastAsia="Times New Roman" w:hAnsi="Times New Roman"/>
          <w:sz w:val="20"/>
          <w:szCs w:val="20"/>
          <w:color w:val="auto"/>
        </w:rPr>
        <w:t xml:space="preserve"> Loan (or a Canadian Base Rate Loan as to which the interest rate is determined with reference to </w:t>
      </w:r>
      <w:r>
        <w:rPr>
          <w:rFonts w:ascii="Times New Roman" w:cs="Times New Roman" w:eastAsia="Times New Roman" w:hAnsi="Times New Roman"/>
          <w:sz w:val="20"/>
          <w:szCs w:val="20"/>
          <w:color w:val="FF0000"/>
          <w:strike w:val="1"/>
        </w:rPr>
        <w:t>the CDOR Rate</w:t>
      </w:r>
      <w:r>
        <w:rPr>
          <w:rFonts w:ascii="Times New Roman" w:cs="Times New Roman" w:eastAsia="Times New Roman" w:hAnsi="Times New Roman"/>
          <w:sz w:val="20"/>
          <w:szCs w:val="20"/>
          <w:u w:val="single" w:color="auto"/>
          <w:color w:val="0000FF"/>
        </w:rPr>
        <w:t>Adjusted Term CORRA</w:t>
      </w:r>
      <w:r>
        <w:rPr>
          <w:rFonts w:ascii="Times New Roman" w:cs="Times New Roman" w:eastAsia="Times New Roman" w:hAnsi="Times New Roman"/>
          <w:sz w:val="20"/>
          <w:szCs w:val="20"/>
          <w:color w:val="auto"/>
        </w:rPr>
        <w:t xml:space="preserve"> or a conversion thereof) or otherwise, if for any reason</w:t>
      </w:r>
    </w:p>
    <w:p>
      <w:pPr>
        <w:spacing w:after="0" w:line="173" w:lineRule="exact"/>
        <w:rPr>
          <w:rFonts w:ascii="Times New Roman" w:cs="Times New Roman" w:eastAsia="Times New Roman" w:hAnsi="Times New Roman"/>
          <w:sz w:val="20"/>
          <w:szCs w:val="20"/>
          <w:color w:val="auto"/>
        </w:rPr>
      </w:pPr>
    </w:p>
    <w:p>
      <w:pPr>
        <w:jc w:val="both"/>
        <w:ind w:left="1320" w:right="20" w:firstLine="648"/>
        <w:spacing w:after="0" w:line="267" w:lineRule="auto"/>
        <w:tabs>
          <w:tab w:leader="none" w:pos="2561" w:val="left"/>
        </w:tabs>
        <w:numPr>
          <w:ilvl w:val="1"/>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Administrative Agent shall determine (which determination shall be conclusive and binding absent manifest error) that reasonable and adequate means do not exist for ascertaining (A) Adjusted Term SOFR for the applicable Interest Period with respect to a proposed SOFR Loan on or prior to the first date of such Interest Period or (B) </w:t>
      </w:r>
      <w:r>
        <w:rPr>
          <w:rFonts w:ascii="Times New Roman" w:cs="Times New Roman" w:eastAsia="Times New Roman" w:hAnsi="Times New Roman"/>
          <w:sz w:val="19"/>
          <w:szCs w:val="19"/>
          <w:color w:val="FF0000"/>
          <w:strike w:val="1"/>
        </w:rPr>
        <w:t>the CDOR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Rate</w:t>
      </w:r>
      <w:r>
        <w:rPr>
          <w:rFonts w:ascii="Times New Roman" w:cs="Times New Roman" w:eastAsia="Times New Roman" w:hAnsi="Times New Roman"/>
          <w:sz w:val="19"/>
          <w:szCs w:val="19"/>
          <w:u w:val="single" w:color="auto"/>
          <w:color w:val="0000FF"/>
        </w:rPr>
        <w:t>Term CORRA</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for such Interest Period with respect to a proposed</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FF0000"/>
          <w:strike w:val="1"/>
        </w:rPr>
        <w:t>CDOR Rate</w:t>
      </w:r>
      <w:r>
        <w:rPr>
          <w:rFonts w:ascii="Times New Roman" w:cs="Times New Roman" w:eastAsia="Times New Roman" w:hAnsi="Times New Roman"/>
          <w:sz w:val="19"/>
          <w:szCs w:val="19"/>
          <w:u w:val="single" w:color="auto"/>
          <w:color w:val="0000FF"/>
        </w:rPr>
        <w:t>Term CORRA</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Loan (or any Canadian</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Base Rate Loan as to which the interest rate is determined with reference to </w:t>
      </w:r>
      <w:r>
        <w:rPr>
          <w:rFonts w:ascii="Times New Roman" w:cs="Times New Roman" w:eastAsia="Times New Roman" w:hAnsi="Times New Roman"/>
          <w:sz w:val="19"/>
          <w:szCs w:val="19"/>
          <w:color w:val="FF0000"/>
          <w:strike w:val="1"/>
        </w:rPr>
        <w:t>the CDOR Rate</w:t>
      </w:r>
      <w:r>
        <w:rPr>
          <w:rFonts w:ascii="Times New Roman" w:cs="Times New Roman" w:eastAsia="Times New Roman" w:hAnsi="Times New Roman"/>
          <w:sz w:val="19"/>
          <w:szCs w:val="19"/>
          <w:u w:val="single" w:color="auto"/>
          <w:color w:val="0000FF"/>
        </w:rPr>
        <w:t>Adjusted Term CORRA</w:t>
      </w:r>
      <w:r>
        <w:rPr>
          <w:rFonts w:ascii="Times New Roman" w:cs="Times New Roman" w:eastAsia="Times New Roman" w:hAnsi="Times New Roman"/>
          <w:sz w:val="19"/>
          <w:szCs w:val="19"/>
          <w:color w:val="000000"/>
        </w:rPr>
        <w:t>), or</w:t>
      </w:r>
    </w:p>
    <w:p>
      <w:pPr>
        <w:spacing w:after="0" w:line="162" w:lineRule="exact"/>
        <w:rPr>
          <w:rFonts w:ascii="Times New Roman" w:cs="Times New Roman" w:eastAsia="Times New Roman" w:hAnsi="Times New Roman"/>
          <w:sz w:val="19"/>
          <w:szCs w:val="19"/>
          <w:color w:val="auto"/>
        </w:rPr>
      </w:pPr>
    </w:p>
    <w:p>
      <w:pPr>
        <w:jc w:val="both"/>
        <w:ind w:left="1320" w:right="40" w:firstLine="648"/>
        <w:spacing w:after="0" w:line="264" w:lineRule="auto"/>
        <w:tabs>
          <w:tab w:leader="none" w:pos="2562" w:val="left"/>
        </w:tabs>
        <w:numPr>
          <w:ilvl w:val="1"/>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Required Lenders shall determine (which determination shall be conclusive and binding absent manifest error) that the Adjusted Term SOFR or </w:t>
      </w:r>
      <w:r>
        <w:rPr>
          <w:rFonts w:ascii="Times New Roman" w:cs="Times New Roman" w:eastAsia="Times New Roman" w:hAnsi="Times New Roman"/>
          <w:sz w:val="20"/>
          <w:szCs w:val="20"/>
          <w:color w:val="FF0000"/>
          <w:strike w:val="1"/>
        </w:rPr>
        <w:t>CDOR Rate</w:t>
      </w:r>
      <w:r>
        <w:rPr>
          <w:rFonts w:ascii="Times New Roman" w:cs="Times New Roman" w:eastAsia="Times New Roman" w:hAnsi="Times New Roman"/>
          <w:sz w:val="20"/>
          <w:szCs w:val="20"/>
          <w:u w:val="single" w:color="auto"/>
          <w:color w:val="0000FF"/>
        </w:rPr>
        <w:t>Adjusted Term CORRA</w:t>
      </w:r>
      <w:r>
        <w:rPr>
          <w:rFonts w:ascii="Times New Roman" w:cs="Times New Roman" w:eastAsia="Times New Roman" w:hAnsi="Times New Roman"/>
          <w:sz w:val="20"/>
          <w:szCs w:val="20"/>
          <w:color w:val="auto"/>
        </w:rPr>
        <w:t>, as applicable, does not adequately and fairly reflect the cost to such Lenders of making or maintaining such Loans during such Interest Period,</w:t>
      </w:r>
    </w:p>
    <w:p>
      <w:pPr>
        <w:spacing w:after="0" w:line="164" w:lineRule="exact"/>
        <w:rPr>
          <w:sz w:val="20"/>
          <w:szCs w:val="20"/>
          <w:color w:val="auto"/>
        </w:rPr>
      </w:pPr>
    </w:p>
    <w:p>
      <w:pPr>
        <w:jc w:val="both"/>
        <w:ind w:left="680"/>
        <w:spacing w:after="0" w:line="257" w:lineRule="auto"/>
        <w:rPr>
          <w:sz w:val="20"/>
          <w:szCs w:val="20"/>
          <w:color w:val="auto"/>
        </w:rPr>
      </w:pPr>
      <w:r>
        <w:rPr>
          <w:rFonts w:ascii="Times New Roman" w:cs="Times New Roman" w:eastAsia="Times New Roman" w:hAnsi="Times New Roman"/>
          <w:sz w:val="20"/>
          <w:szCs w:val="20"/>
          <w:color w:val="auto"/>
        </w:rPr>
        <w:t>then, in each case, the Administrative Agent shall promptly give notice thereof to Centuri. Thereafter, until the Administrative Agent notifies Centuri that such circumstances no longer exist, the obligation of the Lenders to make SOFR Loans (or Base Rate Loans as to which the interest rate is determined with</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52">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137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20"/>
          </w:cols>
          <w:pgMar w:left="320" w:top="1440" w:right="459" w:bottom="1440" w:gutter="0" w:footer="0" w:header="0"/>
        </w:sectPr>
      </w:pPr>
    </w:p>
    <w:bookmarkStart w:id="286" w:name="page287"/>
    <w:bookmarkEnd w:id="286"/>
    <w:p>
      <w:pPr>
        <w:spacing w:after="0" w:line="95" w:lineRule="exact"/>
        <w:rPr>
          <w:sz w:val="20"/>
          <w:szCs w:val="20"/>
          <w:color w:val="auto"/>
        </w:rPr>
      </w:pPr>
    </w:p>
    <w:p>
      <w:pPr>
        <w:ind w:left="680"/>
        <w:spacing w:after="0" w:line="277" w:lineRule="auto"/>
        <w:rPr>
          <w:sz w:val="20"/>
          <w:szCs w:val="20"/>
          <w:color w:val="auto"/>
        </w:rPr>
      </w:pPr>
      <w:r>
        <w:rPr>
          <w:rFonts w:ascii="Times New Roman" w:cs="Times New Roman" w:eastAsia="Times New Roman" w:hAnsi="Times New Roman"/>
          <w:sz w:val="20"/>
          <w:szCs w:val="20"/>
          <w:color w:val="auto"/>
        </w:rPr>
        <w:t xml:space="preserve">reference to Adjusted Term SOFR) or </w:t>
      </w:r>
      <w:r>
        <w:rPr>
          <w:rFonts w:ascii="Times New Roman" w:cs="Times New Roman" w:eastAsia="Times New Roman" w:hAnsi="Times New Roman"/>
          <w:sz w:val="20"/>
          <w:szCs w:val="20"/>
          <w:color w:val="FF0000"/>
          <w:strike w:val="1"/>
        </w:rPr>
        <w:t>CDOR Rate</w:t>
      </w:r>
      <w:r>
        <w:rPr>
          <w:rFonts w:ascii="Times New Roman" w:cs="Times New Roman" w:eastAsia="Times New Roman" w:hAnsi="Times New Roman"/>
          <w:sz w:val="20"/>
          <w:szCs w:val="20"/>
          <w:u w:val="single" w:color="auto"/>
          <w:color w:val="0000FF"/>
        </w:rPr>
        <w:t>Term CORRA</w:t>
      </w:r>
      <w:r>
        <w:rPr>
          <w:rFonts w:ascii="Times New Roman" w:cs="Times New Roman" w:eastAsia="Times New Roman" w:hAnsi="Times New Roman"/>
          <w:sz w:val="20"/>
          <w:szCs w:val="20"/>
          <w:color w:val="auto"/>
        </w:rPr>
        <w:t xml:space="preserve"> Loans (or Canadian Base Rate Loans as to which the interest rate is determined with reference to </w:t>
      </w:r>
      <w:r>
        <w:rPr>
          <w:rFonts w:ascii="Times New Roman" w:cs="Times New Roman" w:eastAsia="Times New Roman" w:hAnsi="Times New Roman"/>
          <w:sz w:val="20"/>
          <w:szCs w:val="20"/>
          <w:color w:val="FF0000"/>
          <w:strike w:val="1"/>
        </w:rPr>
        <w:t>CDOR</w:t>
      </w:r>
      <w:r>
        <w:rPr>
          <w:rFonts w:ascii="Times New Roman" w:cs="Times New Roman" w:eastAsia="Times New Roman" w:hAnsi="Times New Roman"/>
          <w:sz w:val="20"/>
          <w:szCs w:val="20"/>
          <w:u w:val="single" w:color="auto"/>
          <w:color w:val="0000FF"/>
        </w:rPr>
        <w:t>Adjusted Term CORRA</w:t>
      </w:r>
      <w:r>
        <w:rPr>
          <w:rFonts w:ascii="Times New Roman" w:cs="Times New Roman" w:eastAsia="Times New Roman" w:hAnsi="Times New Roman"/>
          <w:sz w:val="20"/>
          <w:szCs w:val="20"/>
          <w:color w:val="auto"/>
        </w:rPr>
        <w:t>),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53">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138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287" w:name="page288"/>
    <w:bookmarkEnd w:id="287"/>
    <w:p>
      <w:pPr>
        <w:spacing w:after="0" w:line="202" w:lineRule="exact"/>
        <w:rPr>
          <w:sz w:val="20"/>
          <w:szCs w:val="20"/>
          <w:color w:val="auto"/>
        </w:rPr>
      </w:pPr>
    </w:p>
    <w:p>
      <w:pPr>
        <w:jc w:val="both"/>
        <w:ind w:left="680"/>
        <w:spacing w:after="0" w:line="246" w:lineRule="auto"/>
        <w:rPr>
          <w:sz w:val="20"/>
          <w:szCs w:val="20"/>
          <w:color w:val="auto"/>
        </w:rPr>
      </w:pPr>
      <w:r>
        <w:rPr>
          <w:rFonts w:ascii="Times New Roman" w:cs="Times New Roman" w:eastAsia="Times New Roman" w:hAnsi="Times New Roman"/>
          <w:sz w:val="20"/>
          <w:szCs w:val="20"/>
          <w:color w:val="auto"/>
        </w:rPr>
        <w:t xml:space="preserve">and the right of any Borrower to convert any Loan to or continue any Loan as a SOFR Loan (or a Base Rate Loan as to which the interest rate is determined with reference to Adjusted Term SOFR) or a </w:t>
      </w:r>
      <w:r>
        <w:rPr>
          <w:rFonts w:ascii="Times New Roman" w:cs="Times New Roman" w:eastAsia="Times New Roman" w:hAnsi="Times New Roman"/>
          <w:sz w:val="20"/>
          <w:szCs w:val="20"/>
          <w:color w:val="FF0000"/>
          <w:strike w:val="1"/>
        </w:rPr>
        <w:t>CDOR Rate</w:t>
      </w:r>
      <w:r>
        <w:rPr>
          <w:rFonts w:ascii="Times New Roman" w:cs="Times New Roman" w:eastAsia="Times New Roman" w:hAnsi="Times New Roman"/>
          <w:sz w:val="20"/>
          <w:szCs w:val="20"/>
          <w:u w:val="single" w:color="auto"/>
          <w:color w:val="0000FF"/>
        </w:rPr>
        <w:t>Term CORRA</w:t>
      </w:r>
      <w:r>
        <w:rPr>
          <w:rFonts w:ascii="Times New Roman" w:cs="Times New Roman" w:eastAsia="Times New Roman" w:hAnsi="Times New Roman"/>
          <w:sz w:val="20"/>
          <w:szCs w:val="20"/>
          <w:color w:val="auto"/>
        </w:rPr>
        <w:t xml:space="preserve"> Loan (or Canadian Base Rate Loan as to which the interest rate is determined with reference to </w:t>
      </w:r>
      <w:r>
        <w:rPr>
          <w:rFonts w:ascii="Times New Roman" w:cs="Times New Roman" w:eastAsia="Times New Roman" w:hAnsi="Times New Roman"/>
          <w:sz w:val="20"/>
          <w:szCs w:val="20"/>
          <w:color w:val="FF0000"/>
          <w:strike w:val="1"/>
        </w:rPr>
        <w:t>CDOR</w:t>
      </w:r>
      <w:r>
        <w:rPr>
          <w:rFonts w:ascii="Times New Roman" w:cs="Times New Roman" w:eastAsia="Times New Roman" w:hAnsi="Times New Roman"/>
          <w:sz w:val="20"/>
          <w:szCs w:val="20"/>
          <w:u w:val="single" w:color="auto"/>
          <w:color w:val="0000FF"/>
        </w:rPr>
        <w:t>Adjusted Term CORRA</w:t>
      </w:r>
      <w:r>
        <w:rPr>
          <w:rFonts w:ascii="Times New Roman" w:cs="Times New Roman" w:eastAsia="Times New Roman" w:hAnsi="Times New Roman"/>
          <w:sz w:val="20"/>
          <w:szCs w:val="20"/>
          <w:color w:val="auto"/>
        </w:rPr>
        <w:t xml:space="preserve">), as applicable, shall be suspended, and (i) in the case of SOFR Loans, the applicable Borrower shall either (A) repay in full (or cause to be repaid in full) the then outstanding principal amount of each such SOFR Loan made to it together with accrued interest thereon (subject to </w:t>
      </w:r>
      <w:r>
        <w:rPr>
          <w:rFonts w:ascii="Times New Roman" w:cs="Times New Roman" w:eastAsia="Times New Roman" w:hAnsi="Times New Roman"/>
          <w:sz w:val="20"/>
          <w:szCs w:val="20"/>
          <w:u w:val="single" w:color="auto"/>
          <w:color w:val="auto"/>
        </w:rPr>
        <w:t>Section 5.1(d)</w:t>
      </w:r>
      <w:r>
        <w:rPr>
          <w:rFonts w:ascii="Times New Roman" w:cs="Times New Roman" w:eastAsia="Times New Roman" w:hAnsi="Times New Roman"/>
          <w:sz w:val="20"/>
          <w:szCs w:val="20"/>
          <w:color w:val="auto"/>
        </w:rPr>
        <w:t xml:space="preserve">), on the last day of the then current Interest Period applicable to such SOFR Loan; or (B) convert the then outstanding principal amount of each such SOFR Loan made to it to a Base Rate Loan as to which the interest rate is not determined by reference to Adjusted Term SOFR as of the last day of such Interest Period; (ii) in the case of Base Rate Loans as to which the interest rate is determined by reference to Adjusted Term SOFR (as applicable), the US Borrowers shall convert the then outstanding principal amount of each such Loan to a Base Rate Loan as to which the interest rate is not determined by reference to Adjusted Term SOFR (as applicable) as of the last day of such Interest Period; or (iii) in the case of </w:t>
      </w:r>
      <w:r>
        <w:rPr>
          <w:rFonts w:ascii="Times New Roman" w:cs="Times New Roman" w:eastAsia="Times New Roman" w:hAnsi="Times New Roman"/>
          <w:sz w:val="20"/>
          <w:szCs w:val="20"/>
          <w:color w:val="FF0000"/>
          <w:strike w:val="1"/>
        </w:rPr>
        <w:t>CDOR Rate</w:t>
      </w:r>
      <w:r>
        <w:rPr>
          <w:rFonts w:ascii="Times New Roman" w:cs="Times New Roman" w:eastAsia="Times New Roman" w:hAnsi="Times New Roman"/>
          <w:sz w:val="20"/>
          <w:szCs w:val="20"/>
          <w:u w:val="single" w:color="auto"/>
          <w:color w:val="0000FF"/>
        </w:rPr>
        <w:t>Term CORRA</w:t>
      </w:r>
      <w:r>
        <w:rPr>
          <w:rFonts w:ascii="Times New Roman" w:cs="Times New Roman" w:eastAsia="Times New Roman" w:hAnsi="Times New Roman"/>
          <w:sz w:val="20"/>
          <w:szCs w:val="20"/>
          <w:color w:val="auto"/>
        </w:rPr>
        <w:t xml:space="preserve"> Loans (or Canadian Base Rate Loans as to which the interest rate is determined by reference to </w:t>
      </w:r>
      <w:r>
        <w:rPr>
          <w:rFonts w:ascii="Times New Roman" w:cs="Times New Roman" w:eastAsia="Times New Roman" w:hAnsi="Times New Roman"/>
          <w:sz w:val="20"/>
          <w:szCs w:val="20"/>
          <w:color w:val="FF0000"/>
          <w:strike w:val="1"/>
        </w:rPr>
        <w:t>the CDOR Rate</w:t>
      </w:r>
      <w:r>
        <w:rPr>
          <w:rFonts w:ascii="Times New Roman" w:cs="Times New Roman" w:eastAsia="Times New Roman" w:hAnsi="Times New Roman"/>
          <w:sz w:val="20"/>
          <w:szCs w:val="20"/>
          <w:u w:val="single" w:color="auto"/>
          <w:color w:val="0000FF"/>
        </w:rPr>
        <w:t>Adjusted Term CORRA</w:t>
      </w:r>
      <w:r>
        <w:rPr>
          <w:rFonts w:ascii="Times New Roman" w:cs="Times New Roman" w:eastAsia="Times New Roman" w:hAnsi="Times New Roman"/>
          <w:sz w:val="20"/>
          <w:szCs w:val="20"/>
          <w:color w:val="auto"/>
        </w:rPr>
        <w:t xml:space="preserve">), the Canadian Borrowers shall convert the then outstanding principal amount of each such Loan to a Canadian Base Rate Loan as to which the interest rate is not determined by reference to </w:t>
      </w:r>
      <w:r>
        <w:rPr>
          <w:rFonts w:ascii="Times New Roman" w:cs="Times New Roman" w:eastAsia="Times New Roman" w:hAnsi="Times New Roman"/>
          <w:sz w:val="20"/>
          <w:szCs w:val="20"/>
          <w:color w:val="FF0000"/>
          <w:strike w:val="1"/>
        </w:rPr>
        <w:t>the CDOR Rate</w:t>
      </w:r>
      <w:r>
        <w:rPr>
          <w:rFonts w:ascii="Times New Roman" w:cs="Times New Roman" w:eastAsia="Times New Roman" w:hAnsi="Times New Roman"/>
          <w:sz w:val="20"/>
          <w:szCs w:val="20"/>
          <w:u w:val="single" w:color="auto"/>
          <w:color w:val="0000FF"/>
        </w:rPr>
        <w:t>Adjusted Term CORRA</w:t>
      </w:r>
      <w:r>
        <w:rPr>
          <w:rFonts w:ascii="Times New Roman" w:cs="Times New Roman" w:eastAsia="Times New Roman" w:hAnsi="Times New Roman"/>
          <w:sz w:val="20"/>
          <w:szCs w:val="20"/>
          <w:color w:val="auto"/>
        </w:rPr>
        <w:t>.</w:t>
      </w:r>
    </w:p>
    <w:p>
      <w:pPr>
        <w:spacing w:after="0" w:line="204" w:lineRule="exact"/>
        <w:rPr>
          <w:sz w:val="20"/>
          <w:szCs w:val="20"/>
          <w:color w:val="auto"/>
        </w:rPr>
      </w:pPr>
    </w:p>
    <w:p>
      <w:pPr>
        <w:jc w:val="both"/>
        <w:ind w:left="680" w:right="20" w:firstLine="646"/>
        <w:spacing w:after="0" w:line="246" w:lineRule="auto"/>
        <w:tabs>
          <w:tab w:leader="none" w:pos="1925"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Laws Affecting SOFR 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CDOR Rate</w:t>
      </w:r>
      <w:r>
        <w:rPr>
          <w:rFonts w:ascii="Times New Roman" w:cs="Times New Roman" w:eastAsia="Times New Roman" w:hAnsi="Times New Roman"/>
          <w:sz w:val="20"/>
          <w:szCs w:val="20"/>
          <w:color w:val="0000FF"/>
        </w:rPr>
        <w:t>Term CORRA</w:t>
      </w:r>
      <w:r>
        <w:rPr>
          <w:rFonts w:ascii="Times New Roman" w:cs="Times New Roman" w:eastAsia="Times New Roman" w:hAnsi="Times New Roman"/>
          <w:sz w:val="20"/>
          <w:szCs w:val="20"/>
          <w:color w:val="auto"/>
        </w:rPr>
        <w:t xml:space="preserve"> Availability. If, after the date hereof, the introduction of, or any change in, any Applicable Law or any change in the interpretation or administration thereof by any Governmental Authority, central bank or comparable agency charged with the interpretation or administration thereof, or compliance by any of the Lenders (or any of their respective Lending Offices) with any request or directive (whether or not having the force of law) of any such Governmental Authority, central bank or comparable agency, shall make it unlawful or impossible for any of the Lenders (or any of their respective Lending Offices) to honor its obligations hereunder to make or maintain (x) any SOFR Loan or to determine or charge interest based upon SOFR, the Term SOFR Reference Rate, Adjusted Term SOFR or Term SOFR or (y) any </w:t>
      </w:r>
      <w:r>
        <w:rPr>
          <w:rFonts w:ascii="Times New Roman" w:cs="Times New Roman" w:eastAsia="Times New Roman" w:hAnsi="Times New Roman"/>
          <w:sz w:val="20"/>
          <w:szCs w:val="20"/>
          <w:color w:val="FF0000"/>
          <w:strike w:val="1"/>
        </w:rPr>
        <w:t>CDOR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Rate</w:t>
      </w:r>
      <w:r>
        <w:rPr>
          <w:rFonts w:ascii="Times New Roman" w:cs="Times New Roman" w:eastAsia="Times New Roman" w:hAnsi="Times New Roman"/>
          <w:sz w:val="20"/>
          <w:szCs w:val="20"/>
          <w:u w:val="single" w:color="auto"/>
          <w:color w:val="0000FF"/>
        </w:rPr>
        <w:t>Term CORRA</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Loan (or any Canadian Base Rate Loan as to which the interest rate is determined by reference to</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the CDOR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Rate</w:t>
      </w:r>
      <w:r>
        <w:rPr>
          <w:rFonts w:ascii="Times New Roman" w:cs="Times New Roman" w:eastAsia="Times New Roman" w:hAnsi="Times New Roman"/>
          <w:sz w:val="20"/>
          <w:szCs w:val="20"/>
          <w:u w:val="single" w:color="auto"/>
          <w:color w:val="0000FF"/>
        </w:rPr>
        <w:t>Adjusted Term CORRA</w:t>
      </w:r>
      <w:r>
        <w:rPr>
          <w:rFonts w:ascii="Times New Roman" w:cs="Times New Roman" w:eastAsia="Times New Roman" w:hAnsi="Times New Roman"/>
          <w:sz w:val="20"/>
          <w:szCs w:val="20"/>
          <w:color w:val="000000"/>
        </w:rPr>
        <w:t>), such Lender shall promptly give notice thereof to the Administrative Agent and the Administrative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Agent shall promptly give notice to Centuri and the other Lenders. Thereafter, until the Administrative Agent notifies Centuri that such circumstances no longer exist:</w:t>
      </w:r>
    </w:p>
    <w:p>
      <w:pPr>
        <w:spacing w:after="0" w:line="188" w:lineRule="exact"/>
        <w:rPr>
          <w:rFonts w:ascii="Times New Roman" w:cs="Times New Roman" w:eastAsia="Times New Roman" w:hAnsi="Times New Roman"/>
          <w:sz w:val="20"/>
          <w:szCs w:val="20"/>
          <w:color w:val="auto"/>
        </w:rPr>
      </w:pPr>
    </w:p>
    <w:p>
      <w:pPr>
        <w:jc w:val="both"/>
        <w:ind w:left="1320" w:right="20" w:firstLine="648"/>
        <w:spacing w:after="0" w:line="249" w:lineRule="auto"/>
        <w:tabs>
          <w:tab w:leader="none" w:pos="2561"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obligations of the Lenders to make SOFR Loans (or Base Rate Loans as to which the interest rate is determined by reference to Adjusted Term SOFR) or </w:t>
      </w:r>
      <w:r>
        <w:rPr>
          <w:rFonts w:ascii="Times New Roman" w:cs="Times New Roman" w:eastAsia="Times New Roman" w:hAnsi="Times New Roman"/>
          <w:sz w:val="20"/>
          <w:szCs w:val="20"/>
          <w:color w:val="FF0000"/>
          <w:strike w:val="1"/>
        </w:rPr>
        <w:t>CDOR Rate</w:t>
      </w:r>
      <w:r>
        <w:rPr>
          <w:rFonts w:ascii="Times New Roman" w:cs="Times New Roman" w:eastAsia="Times New Roman" w:hAnsi="Times New Roman"/>
          <w:sz w:val="20"/>
          <w:szCs w:val="20"/>
          <w:u w:val="single" w:color="auto"/>
          <w:color w:val="0000FF"/>
        </w:rPr>
        <w:t>Term CORRA</w:t>
      </w:r>
      <w:r>
        <w:rPr>
          <w:rFonts w:ascii="Times New Roman" w:cs="Times New Roman" w:eastAsia="Times New Roman" w:hAnsi="Times New Roman"/>
          <w:sz w:val="20"/>
          <w:szCs w:val="20"/>
          <w:color w:val="auto"/>
        </w:rPr>
        <w:t xml:space="preserve"> Loans (or Canadian Base Rate Loans as to which the interest rate is determined by reference to </w:t>
      </w:r>
      <w:r>
        <w:rPr>
          <w:rFonts w:ascii="Times New Roman" w:cs="Times New Roman" w:eastAsia="Times New Roman" w:hAnsi="Times New Roman"/>
          <w:sz w:val="20"/>
          <w:szCs w:val="20"/>
          <w:color w:val="FF0000"/>
          <w:strike w:val="1"/>
        </w:rPr>
        <w:t>the CDOR Rate</w:t>
      </w:r>
      <w:r>
        <w:rPr>
          <w:rFonts w:ascii="Times New Roman" w:cs="Times New Roman" w:eastAsia="Times New Roman" w:hAnsi="Times New Roman"/>
          <w:sz w:val="20"/>
          <w:szCs w:val="20"/>
          <w:u w:val="single" w:color="auto"/>
          <w:color w:val="0000FF"/>
        </w:rPr>
        <w:t>Adjusted Term CORRA</w:t>
      </w:r>
      <w:r>
        <w:rPr>
          <w:rFonts w:ascii="Times New Roman" w:cs="Times New Roman" w:eastAsia="Times New Roman" w:hAnsi="Times New Roman"/>
          <w:sz w:val="20"/>
          <w:szCs w:val="20"/>
          <w:color w:val="auto"/>
        </w:rPr>
        <w:t xml:space="preserve">), as applicable, and the right of the Borrowers to convert any Loan to a SOFR Loan (as applicable) or continue any Loan as a SOFR Loan (or a Base Rate Loan as to which the interest rate is determined with reference to Adjusted Term SOFR), or to convert any Loan to a </w:t>
      </w:r>
      <w:r>
        <w:rPr>
          <w:rFonts w:ascii="Times New Roman" w:cs="Times New Roman" w:eastAsia="Times New Roman" w:hAnsi="Times New Roman"/>
          <w:sz w:val="20"/>
          <w:szCs w:val="20"/>
          <w:color w:val="FF0000"/>
          <w:strike w:val="1"/>
        </w:rPr>
        <w:t>CDOR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Rate</w:t>
      </w:r>
      <w:r>
        <w:rPr>
          <w:rFonts w:ascii="Times New Roman" w:cs="Times New Roman" w:eastAsia="Times New Roman" w:hAnsi="Times New Roman"/>
          <w:sz w:val="20"/>
          <w:szCs w:val="20"/>
          <w:u w:val="single" w:color="auto"/>
          <w:color w:val="0000FF"/>
        </w:rPr>
        <w:t>Term CORRA</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Loan (or any Canadian Base Rate Loan as to which the interest rate is determined by reference to</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the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CDOR Rate</w:t>
      </w:r>
      <w:r>
        <w:rPr>
          <w:rFonts w:ascii="Times New Roman" w:cs="Times New Roman" w:eastAsia="Times New Roman" w:hAnsi="Times New Roman"/>
          <w:sz w:val="20"/>
          <w:szCs w:val="20"/>
          <w:u w:val="single" w:color="auto"/>
          <w:color w:val="0000FF"/>
        </w:rPr>
        <w:t>Adjusted Term CORRA</w:t>
      </w:r>
      <w:r>
        <w:rPr>
          <w:rFonts w:ascii="Times New Roman" w:cs="Times New Roman" w:eastAsia="Times New Roman" w:hAnsi="Times New Roman"/>
          <w:sz w:val="20"/>
          <w:szCs w:val="20"/>
          <w:color w:val="000000"/>
        </w:rPr>
        <w:t>), shall be suspended and thereafter the applicable Borrower may select only Base Rate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Loans and Canadian Base Rate Loans, as applicable, as to which the interest rate is not determined by reference to Adjusted Term SOFR or </w:t>
      </w:r>
      <w:r>
        <w:rPr>
          <w:rFonts w:ascii="Times New Roman" w:cs="Times New Roman" w:eastAsia="Times New Roman" w:hAnsi="Times New Roman"/>
          <w:sz w:val="20"/>
          <w:szCs w:val="20"/>
          <w:color w:val="FF0000"/>
          <w:strike w:val="1"/>
        </w:rPr>
        <w:t>CDOR</w:t>
      </w:r>
      <w:r>
        <w:rPr>
          <w:rFonts w:ascii="Times New Roman" w:cs="Times New Roman" w:eastAsia="Times New Roman" w:hAnsi="Times New Roman"/>
          <w:sz w:val="20"/>
          <w:szCs w:val="20"/>
          <w:u w:val="single" w:color="auto"/>
          <w:color w:val="0000FF"/>
        </w:rPr>
        <w:t>Adjusted Term CORRA</w:t>
      </w:r>
      <w:r>
        <w:rPr>
          <w:rFonts w:ascii="Times New Roman" w:cs="Times New Roman" w:eastAsia="Times New Roman" w:hAnsi="Times New Roman"/>
          <w:sz w:val="20"/>
          <w:szCs w:val="20"/>
          <w:color w:val="000000"/>
        </w:rPr>
        <w:t xml:space="preserve"> hereunder,</w:t>
      </w:r>
    </w:p>
    <w:p>
      <w:pPr>
        <w:spacing w:after="0" w:line="179" w:lineRule="exact"/>
        <w:rPr>
          <w:rFonts w:ascii="Times New Roman" w:cs="Times New Roman" w:eastAsia="Times New Roman" w:hAnsi="Times New Roman"/>
          <w:sz w:val="20"/>
          <w:szCs w:val="20"/>
          <w:color w:val="auto"/>
        </w:rPr>
      </w:pPr>
    </w:p>
    <w:p>
      <w:pPr>
        <w:ind w:left="1320" w:right="20" w:firstLine="648"/>
        <w:spacing w:after="0" w:line="289" w:lineRule="auto"/>
        <w:tabs>
          <w:tab w:leader="none" w:pos="2562" w:val="left"/>
        </w:tabs>
        <w:numPr>
          <w:ilvl w:val="1"/>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Base Rate Loans shall cease to be determined by reference to Adjusted Term SOFR and/or all Canadian Base Rate Loans shall cease to be determined by reference to </w:t>
      </w:r>
      <w:r>
        <w:rPr>
          <w:rFonts w:ascii="Times New Roman" w:cs="Times New Roman" w:eastAsia="Times New Roman" w:hAnsi="Times New Roman"/>
          <w:sz w:val="19"/>
          <w:szCs w:val="19"/>
          <w:color w:val="FF0000"/>
          <w:strike w:val="1"/>
        </w:rPr>
        <w:t>CDOR</w:t>
      </w:r>
      <w:r>
        <w:rPr>
          <w:rFonts w:ascii="Times New Roman" w:cs="Times New Roman" w:eastAsia="Times New Roman" w:hAnsi="Times New Roman"/>
          <w:sz w:val="19"/>
          <w:szCs w:val="19"/>
          <w:u w:val="single" w:color="auto"/>
          <w:color w:val="0000FF"/>
        </w:rPr>
        <w:t>Adjusted Term CORRA</w:t>
      </w:r>
      <w:r>
        <w:rPr>
          <w:rFonts w:ascii="Times New Roman" w:cs="Times New Roman" w:eastAsia="Times New Roman" w:hAnsi="Times New Roman"/>
          <w:sz w:val="19"/>
          <w:szCs w:val="19"/>
          <w:color w:val="auto"/>
        </w:rPr>
        <w:t>, as applicable, and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54">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139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288" w:name="page289"/>
    <w:bookmarkEnd w:id="288"/>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55">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140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0139"/>
          </w:cols>
          <w:pgMar w:left="320" w:top="1440" w:right="1440" w:bottom="1440" w:gutter="0" w:footer="0" w:header="0"/>
        </w:sectPr>
      </w:pPr>
    </w:p>
    <w:bookmarkStart w:id="289" w:name="page290"/>
    <w:bookmarkEnd w:id="289"/>
    <w:p>
      <w:pPr>
        <w:spacing w:after="0" w:line="202" w:lineRule="exact"/>
        <w:rPr>
          <w:sz w:val="20"/>
          <w:szCs w:val="20"/>
          <w:color w:val="auto"/>
        </w:rPr>
      </w:pPr>
    </w:p>
    <w:p>
      <w:pPr>
        <w:jc w:val="both"/>
        <w:ind w:left="1320" w:right="20" w:firstLine="648"/>
        <w:spacing w:after="0" w:line="263" w:lineRule="auto"/>
        <w:tabs>
          <w:tab w:leader="none" w:pos="2563" w:val="left"/>
        </w:tabs>
        <w:numPr>
          <w:ilvl w:val="1"/>
          <w:numId w:val="1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of the Lenders may not lawfully continue to maintain a SOFR Loan to the end of the then current Interest Period applicable thereto, the applicable Loan shall immediately be converted to a Base Rate Loan as to which the interest rate is not determined by reference to Adjusted Term SOFR for the remainder of such Interest Period. Each Lender agrees to designate a different Lending Office or assign its rights and obligations hereunder to another of its officers, branches or affiliates if such designation or assignment will avoid the need for such notice and will not, in the good faith judgment of such Lender, otherwise be materially disadvantageous to such Lender. Each Borrower hereby agrees to pay all reasonable costs and expenses incurred by such Lender in connection with any such designation or assignment.</w:t>
      </w:r>
    </w:p>
    <w:p>
      <w:pPr>
        <w:spacing w:after="0" w:line="169" w:lineRule="exact"/>
        <w:rPr>
          <w:rFonts w:ascii="Times New Roman" w:cs="Times New Roman" w:eastAsia="Times New Roman" w:hAnsi="Times New Roman"/>
          <w:sz w:val="19"/>
          <w:szCs w:val="19"/>
          <w:color w:val="auto"/>
        </w:rPr>
      </w:pPr>
    </w:p>
    <w:p>
      <w:pPr>
        <w:ind w:left="1960" w:hanging="633"/>
        <w:spacing w:after="0"/>
        <w:tabs>
          <w:tab w:leader="none" w:pos="1960"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Replacement Setting</w:t>
      </w:r>
      <w:r>
        <w:rPr>
          <w:rFonts w:ascii="Times New Roman" w:cs="Times New Roman" w:eastAsia="Times New Roman" w:hAnsi="Times New Roman"/>
          <w:sz w:val="20"/>
          <w:szCs w:val="20"/>
          <w:color w:val="auto"/>
        </w:rPr>
        <w:t>.</w:t>
      </w:r>
    </w:p>
    <w:p>
      <w:pPr>
        <w:spacing w:after="0" w:line="224" w:lineRule="exact"/>
        <w:rPr>
          <w:rFonts w:ascii="Times New Roman" w:cs="Times New Roman" w:eastAsia="Times New Roman" w:hAnsi="Times New Roman"/>
          <w:sz w:val="20"/>
          <w:szCs w:val="20"/>
          <w:color w:val="auto"/>
        </w:rPr>
      </w:pPr>
    </w:p>
    <w:p>
      <w:pPr>
        <w:jc w:val="both"/>
        <w:ind w:left="1960" w:firstLine="8"/>
        <w:spacing w:after="0" w:line="246" w:lineRule="auto"/>
        <w:tabs>
          <w:tab w:leader="none" w:pos="2559" w:val="left"/>
        </w:tabs>
        <w:numPr>
          <w:ilvl w:val="1"/>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Benchmark Replacement (Initial Term Loan)</w:t>
      </w:r>
      <w:r>
        <w:rPr>
          <w:rFonts w:ascii="Times New Roman" w:cs="Times New Roman" w:eastAsia="Times New Roman" w:hAnsi="Times New Roman"/>
          <w:sz w:val="20"/>
          <w:szCs w:val="20"/>
          <w:color w:val="auto"/>
        </w:rPr>
        <w:t xml:space="preserve">. Notwithstanding anything to the contrary herein or in any other Loan Document (and any Hedge Agreement shall be deemed not to be a “Loan Document” for purposes of this </w:t>
      </w:r>
      <w:r>
        <w:rPr>
          <w:rFonts w:ascii="Times New Roman" w:cs="Times New Roman" w:eastAsia="Times New Roman" w:hAnsi="Times New Roman"/>
          <w:sz w:val="20"/>
          <w:szCs w:val="20"/>
          <w:u w:val="single" w:color="auto"/>
          <w:color w:val="auto"/>
        </w:rPr>
        <w:t>Section 5.8(c)</w:t>
      </w:r>
      <w:r>
        <w:rPr>
          <w:rFonts w:ascii="Times New Roman" w:cs="Times New Roman" w:eastAsia="Times New Roman" w:hAnsi="Times New Roman"/>
          <w:sz w:val="20"/>
          <w:szCs w:val="20"/>
          <w:color w:val="auto"/>
        </w:rPr>
        <w:t>) if a Benchmark Transition Event and its related Benchmark Replacement Date (Initial Term Loan) have occurred prior to the Reference Time in respect of any setting of the then-current Benchmark, then (x) if a Benchmark Replacement is determined in accordance with clause (a)(1) or (a)(2) of the definition of “Benchmark Replacement (Initial Term Loan)” for such Benchmark Replacement Date (Initial Term Loan),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(a)(3) of the definition of “Benchmark Replacement (Initial Term Loan)” for such Benchmark Replacement Date (Initial Term Loan), such Benchmark Replacement will replace such Benchmark for all purposes hereunder and under any Loan Document in respect of any Benchmark setting at or after 5:00 p.m. (New York City time) on the fifth (5</w:t>
      </w:r>
      <w:r>
        <w:rPr>
          <w:rFonts w:ascii="Times New Roman" w:cs="Times New Roman" w:eastAsia="Times New Roman" w:hAnsi="Times New Roman"/>
          <w:sz w:val="12"/>
          <w:szCs w:val="12"/>
          <w:color w:val="auto"/>
        </w:rPr>
        <w:t>th</w:t>
      </w:r>
      <w:r>
        <w:rPr>
          <w:rFonts w:ascii="Times New Roman" w:cs="Times New Roman" w:eastAsia="Times New Roman" w:hAnsi="Times New Roman"/>
          <w:sz w:val="20"/>
          <w:szCs w:val="20"/>
          <w:color w:val="auto"/>
        </w:rPr>
        <w:t>)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If an Unadjusted Benchmark Replacement is Daily Simple SOFR, all interest payments will be payable on a monthly basis.</w:t>
      </w:r>
    </w:p>
    <w:p>
      <w:pPr>
        <w:spacing w:after="0" w:line="183" w:lineRule="exact"/>
        <w:rPr>
          <w:rFonts w:ascii="Times New Roman" w:cs="Times New Roman" w:eastAsia="Times New Roman" w:hAnsi="Times New Roman"/>
          <w:sz w:val="20"/>
          <w:szCs w:val="20"/>
          <w:color w:val="auto"/>
        </w:rPr>
      </w:pPr>
    </w:p>
    <w:p>
      <w:pPr>
        <w:jc w:val="both"/>
        <w:ind w:left="1960" w:right="40" w:firstLine="650"/>
        <w:spacing w:after="0" w:line="247" w:lineRule="auto"/>
        <w:tabs>
          <w:tab w:leader="none" w:pos="2925" w:val="left"/>
        </w:tabs>
        <w:numPr>
          <w:ilvl w:val="2"/>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Replacement (Revolver)</w:t>
      </w:r>
      <w:r>
        <w:rPr>
          <w:rFonts w:ascii="Times New Roman" w:cs="Times New Roman" w:eastAsia="Times New Roman" w:hAnsi="Times New Roman"/>
          <w:sz w:val="20"/>
          <w:szCs w:val="20"/>
          <w:color w:val="auto"/>
        </w:rPr>
        <w:t xml:space="preserve">. Notwithstanding anything to the contrary herein or in any other Loan Document (and any Hedge Agreement shall be deemed not to be a “Loan Document” for purposes of this </w:t>
      </w:r>
      <w:r>
        <w:rPr>
          <w:rFonts w:ascii="Times New Roman" w:cs="Times New Roman" w:eastAsia="Times New Roman" w:hAnsi="Times New Roman"/>
          <w:sz w:val="20"/>
          <w:szCs w:val="20"/>
          <w:u w:val="single" w:color="auto"/>
          <w:color w:val="auto"/>
        </w:rPr>
        <w:t>Section 5.8(c)</w:t>
      </w:r>
      <w:r>
        <w:rPr>
          <w:rFonts w:ascii="Times New Roman" w:cs="Times New Roman" w:eastAsia="Times New Roman" w:hAnsi="Times New Roman"/>
          <w:sz w:val="20"/>
          <w:szCs w:val="20"/>
          <w:color w:val="auto"/>
        </w:rPr>
        <w:t>), upon the occurrence of a Benchmark Transition Event, the Administrative Agent and the Borrowers may amend this Agreement to replace the then-current Benchmark with a Benchmark Replacement. Any such amendment with respect to a Benchmark Transition Event will become effective at 5:00 p.m. on the fifth (5</w:t>
      </w:r>
      <w:r>
        <w:rPr>
          <w:rFonts w:ascii="Times New Roman" w:cs="Times New Roman" w:eastAsia="Times New Roman" w:hAnsi="Times New Roman"/>
          <w:sz w:val="12"/>
          <w:szCs w:val="12"/>
          <w:color w:val="auto"/>
        </w:rPr>
        <w:t>th</w:t>
      </w:r>
      <w:r>
        <w:rPr>
          <w:rFonts w:ascii="Times New Roman" w:cs="Times New Roman" w:eastAsia="Times New Roman" w:hAnsi="Times New Roman"/>
          <w:sz w:val="20"/>
          <w:szCs w:val="20"/>
          <w:color w:val="auto"/>
        </w:rPr>
        <w:t xml:space="preserve">) Business Day after the Administrative Agent has posted such proposed amendment to all affected Lenders and the Borrowers so long as the Administrative Agent has not received, by such time, written notice of objection to such amendment from Lenders comprising the Required Lenders. No replacement of a Benchmark with a Benchmark Replacement pursuant to this </w:t>
      </w:r>
      <w:r>
        <w:rPr>
          <w:rFonts w:ascii="Times New Roman" w:cs="Times New Roman" w:eastAsia="Times New Roman" w:hAnsi="Times New Roman"/>
          <w:sz w:val="20"/>
          <w:szCs w:val="20"/>
          <w:u w:val="single" w:color="auto"/>
          <w:color w:val="auto"/>
        </w:rPr>
        <w:t>Section 5.8(c)(i)(B)</w:t>
      </w:r>
      <w:r>
        <w:rPr>
          <w:rFonts w:ascii="Times New Roman" w:cs="Times New Roman" w:eastAsia="Times New Roman" w:hAnsi="Times New Roman"/>
          <w:sz w:val="20"/>
          <w:szCs w:val="20"/>
          <w:color w:val="auto"/>
        </w:rPr>
        <w:t xml:space="preserve"> will occur prior to the applicable Benchmark Transition Start Date.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56">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141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290" w:name="page291"/>
    <w:bookmarkEnd w:id="290"/>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57">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142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0139"/>
          </w:cols>
          <w:pgMar w:left="320" w:top="1440" w:right="1440" w:bottom="1440" w:gutter="0" w:footer="0" w:header="0"/>
        </w:sectPr>
      </w:pPr>
    </w:p>
    <w:bookmarkStart w:id="291" w:name="page292"/>
    <w:bookmarkEnd w:id="291"/>
    <w:p>
      <w:pPr>
        <w:spacing w:after="0" w:line="202" w:lineRule="exact"/>
        <w:rPr>
          <w:sz w:val="20"/>
          <w:szCs w:val="20"/>
          <w:color w:val="auto"/>
        </w:rPr>
      </w:pPr>
    </w:p>
    <w:p>
      <w:pPr>
        <w:jc w:val="both"/>
        <w:ind w:left="1320" w:right="60" w:firstLine="648"/>
        <w:spacing w:after="0" w:line="250" w:lineRule="auto"/>
        <w:tabs>
          <w:tab w:leader="none" w:pos="2562"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Replacement Conforming Changes</w:t>
      </w:r>
      <w:r>
        <w:rPr>
          <w:rFonts w:ascii="Times New Roman" w:cs="Times New Roman" w:eastAsia="Times New Roman" w:hAnsi="Times New Roman"/>
          <w:sz w:val="20"/>
          <w:szCs w:val="20"/>
          <w:color w:val="auto"/>
        </w:rPr>
        <w:t>. In connection with the use, administration, adoption or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79" w:lineRule="exact"/>
        <w:rPr>
          <w:rFonts w:ascii="Times New Roman" w:cs="Times New Roman" w:eastAsia="Times New Roman" w:hAnsi="Times New Roman"/>
          <w:sz w:val="20"/>
          <w:szCs w:val="20"/>
          <w:color w:val="auto"/>
        </w:rPr>
      </w:pPr>
    </w:p>
    <w:p>
      <w:pPr>
        <w:jc w:val="both"/>
        <w:ind w:left="1320" w:right="20" w:firstLine="648"/>
        <w:spacing w:after="0" w:line="262" w:lineRule="auto"/>
        <w:tabs>
          <w:tab w:leader="none" w:pos="2563" w:val="left"/>
        </w:tabs>
        <w:numPr>
          <w:ilvl w:val="0"/>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Notices; Standards for Decisions and Determinations</w:t>
      </w:r>
      <w:r>
        <w:rPr>
          <w:rFonts w:ascii="Times New Roman" w:cs="Times New Roman" w:eastAsia="Times New Roman" w:hAnsi="Times New Roman"/>
          <w:sz w:val="19"/>
          <w:szCs w:val="19"/>
          <w:color w:val="auto"/>
        </w:rPr>
        <w:t xml:space="preserve">. The Administrative Agent will promptly notify the Borrower and the Lenders of (A) any occurrence of a Benchmark Transition Event and its related Benchmark Replacement Date (Initial Term Loan), (B) the implementation of any Benchmark Replacement, (C) the effectiveness of any Benchmark Replacement Conforming Changes, (D) the removal or reinstatement of any tenor of a Benchmark pursuant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5.8(c)(iv)</w:t>
      </w:r>
      <w:r>
        <w:rPr>
          <w:rFonts w:ascii="Times New Roman" w:cs="Times New Roman" w:eastAsia="Times New Roman" w:hAnsi="Times New Roman"/>
          <w:sz w:val="19"/>
          <w:szCs w:val="19"/>
          <w:color w:val="auto"/>
        </w:rPr>
        <w:t xml:space="preserve"> below and (E) the commencement or conclusion of any Benchmark Unavailability Period. Any determination, decision or election that may be made by the Administrative Agent or, if applicable, any Lender (or group of Lenders) pursuant to this </w:t>
      </w:r>
      <w:r>
        <w:rPr>
          <w:rFonts w:ascii="Times New Roman" w:cs="Times New Roman" w:eastAsia="Times New Roman" w:hAnsi="Times New Roman"/>
          <w:sz w:val="19"/>
          <w:szCs w:val="19"/>
          <w:u w:val="single" w:color="auto"/>
          <w:color w:val="auto"/>
        </w:rPr>
        <w:t>Section 5.8(c)</w:t>
      </w:r>
      <w:r>
        <w:rPr>
          <w:rFonts w:ascii="Times New Roman" w:cs="Times New Roman" w:eastAsia="Times New Roman" w:hAnsi="Times New Roman"/>
          <w:sz w:val="19"/>
          <w:szCs w:val="19"/>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made in a manner substantially consistent with determinations being made for similarly situated customers of such Administrative Agent under agreements having provisions similar to this </w:t>
      </w:r>
      <w:r>
        <w:rPr>
          <w:rFonts w:ascii="Times New Roman" w:cs="Times New Roman" w:eastAsia="Times New Roman" w:hAnsi="Times New Roman"/>
          <w:sz w:val="19"/>
          <w:szCs w:val="19"/>
          <w:u w:val="single" w:color="auto"/>
          <w:color w:val="auto"/>
        </w:rPr>
        <w:t>Section 5.8(c)</w:t>
      </w:r>
      <w:r>
        <w:rPr>
          <w:rFonts w:ascii="Times New Roman" w:cs="Times New Roman" w:eastAsia="Times New Roman" w:hAnsi="Times New Roman"/>
          <w:sz w:val="19"/>
          <w:szCs w:val="19"/>
          <w:color w:val="auto"/>
        </w:rPr>
        <w:t xml:space="preserve">) and without consent from any other party to this Agreement or any other Loan Document, except, in each case, as expressly required pursuant to this </w:t>
      </w:r>
      <w:r>
        <w:rPr>
          <w:rFonts w:ascii="Times New Roman" w:cs="Times New Roman" w:eastAsia="Times New Roman" w:hAnsi="Times New Roman"/>
          <w:sz w:val="19"/>
          <w:szCs w:val="19"/>
          <w:u w:val="single" w:color="auto"/>
          <w:color w:val="auto"/>
        </w:rPr>
        <w:t>Section 5.8(c)</w:t>
      </w:r>
      <w:r>
        <w:rPr>
          <w:rFonts w:ascii="Times New Roman" w:cs="Times New Roman" w:eastAsia="Times New Roman" w:hAnsi="Times New Roman"/>
          <w:sz w:val="19"/>
          <w:szCs w:val="19"/>
          <w:color w:val="auto"/>
        </w:rPr>
        <w:t>.</w:t>
      </w:r>
    </w:p>
    <w:p>
      <w:pPr>
        <w:spacing w:after="0" w:line="160" w:lineRule="exact"/>
        <w:rPr>
          <w:rFonts w:ascii="Times New Roman" w:cs="Times New Roman" w:eastAsia="Times New Roman" w:hAnsi="Times New Roman"/>
          <w:sz w:val="19"/>
          <w:szCs w:val="19"/>
          <w:color w:val="auto"/>
        </w:rPr>
      </w:pPr>
    </w:p>
    <w:p>
      <w:pPr>
        <w:jc w:val="both"/>
        <w:ind w:left="1320" w:firstLine="648"/>
        <w:spacing w:after="0" w:line="261" w:lineRule="auto"/>
        <w:tabs>
          <w:tab w:leader="none" w:pos="2566" w:val="left"/>
        </w:tabs>
        <w:numPr>
          <w:ilvl w:val="0"/>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Unavailability of Tenor of Benchmark</w:t>
      </w:r>
      <w:r>
        <w:rPr>
          <w:rFonts w:ascii="Times New Roman" w:cs="Times New Roman" w:eastAsia="Times New Roman" w:hAnsi="Times New Roman"/>
          <w:sz w:val="19"/>
          <w:szCs w:val="19"/>
          <w:color w:val="auto"/>
        </w:rPr>
        <w:t xml:space="preserve">. Notwithstanding anything to the contrary herein or in any other Loan Document, at any time (including in connection with the implementation of a Benchmark Replacement), (A) if the then-current Benchmark is a term rate (including the Term SOFR </w:t>
      </w:r>
      <w:r>
        <w:rPr>
          <w:rFonts w:ascii="Times New Roman" w:cs="Times New Roman" w:eastAsia="Times New Roman" w:hAnsi="Times New Roman"/>
          <w:sz w:val="19"/>
          <w:szCs w:val="19"/>
          <w:u w:val="single" w:color="auto"/>
          <w:color w:val="0000FF"/>
        </w:rPr>
        <w:t>Reference Rate and the Term CORRA</w:t>
      </w:r>
      <w:r>
        <w:rPr>
          <w:rFonts w:ascii="Times New Roman" w:cs="Times New Roman" w:eastAsia="Times New Roman" w:hAnsi="Times New Roman"/>
          <w:sz w:val="19"/>
          <w:szCs w:val="19"/>
          <w:color w:val="auto"/>
        </w:rPr>
        <w:t xml:space="preserve"> Reference Rate) and either (1) any tenor for such Benchmark is not displayed on a screen or other information service that publishes such rate from time to time as selected by the Administrative Agent in its reasonable discretion (and made in a manner substantially consistent with determinations being made for similarly situated customers of such Administrative Agent under agreements having provisions similar to this </w:t>
      </w:r>
      <w:r>
        <w:rPr>
          <w:rFonts w:ascii="Times New Roman" w:cs="Times New Roman" w:eastAsia="Times New Roman" w:hAnsi="Times New Roman"/>
          <w:sz w:val="19"/>
          <w:szCs w:val="19"/>
          <w:u w:val="single" w:color="auto"/>
          <w:color w:val="auto"/>
        </w:rPr>
        <w:t>Section 5.8(c)</w:t>
      </w:r>
      <w:r>
        <w:rPr>
          <w:rFonts w:ascii="Times New Roman" w:cs="Times New Roman" w:eastAsia="Times New Roman" w:hAnsi="Times New Roman"/>
          <w:sz w:val="19"/>
          <w:szCs w:val="19"/>
          <w:color w:val="auto"/>
        </w:rPr>
        <w:t>) or (2)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 (2) is not, or is no longer, subject to an announcement that it is or will be no longer representative for a Benchmark (including a Benchmark Replacement), then the Administrative Agent may modify the definition of “Interest Period” for all Benchmark settings at or after such time to reinstate such previously removed tenor.</w:t>
      </w:r>
    </w:p>
    <w:p>
      <w:pPr>
        <w:spacing w:after="0" w:line="164" w:lineRule="exact"/>
        <w:rPr>
          <w:rFonts w:ascii="Times New Roman" w:cs="Times New Roman" w:eastAsia="Times New Roman" w:hAnsi="Times New Roman"/>
          <w:sz w:val="19"/>
          <w:szCs w:val="19"/>
          <w:color w:val="auto"/>
        </w:rPr>
      </w:pPr>
    </w:p>
    <w:p>
      <w:pPr>
        <w:jc w:val="both"/>
        <w:ind w:left="1320" w:right="60" w:firstLine="648"/>
        <w:spacing w:after="0" w:line="276" w:lineRule="auto"/>
        <w:tabs>
          <w:tab w:leader="none" w:pos="2565" w:val="left"/>
        </w:tabs>
        <w:numPr>
          <w:ilvl w:val="0"/>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Benchmark Unavailability Period</w:t>
      </w:r>
      <w:r>
        <w:rPr>
          <w:rFonts w:ascii="Times New Roman" w:cs="Times New Roman" w:eastAsia="Times New Roman" w:hAnsi="Times New Roman"/>
          <w:sz w:val="19"/>
          <w:szCs w:val="19"/>
          <w:color w:val="auto"/>
        </w:rPr>
        <w:t xml:space="preserve">. Upon Centuri’s receipt of notice of the commencement of a Benchmark Unavailability Period, the applicable Borrower may revoke any request for a borrowing of, conversion to or continuation of SOFR Loans </w:t>
      </w:r>
      <w:r>
        <w:rPr>
          <w:rFonts w:ascii="Times New Roman" w:cs="Times New Roman" w:eastAsia="Times New Roman" w:hAnsi="Times New Roman"/>
          <w:sz w:val="19"/>
          <w:szCs w:val="19"/>
          <w:u w:val="single" w:color="auto"/>
          <w:color w:val="0000FF"/>
        </w:rPr>
        <w:t>or Term CORRA Loans</w:t>
      </w:r>
      <w:r>
        <w:rPr>
          <w:rFonts w:ascii="Times New Roman" w:cs="Times New Roman" w:eastAsia="Times New Roman" w:hAnsi="Times New Roman"/>
          <w:sz w:val="19"/>
          <w:szCs w:val="19"/>
          <w:color w:val="auto"/>
        </w:rPr>
        <w:t xml:space="preserve"> to be made, converted or continued during any Benchmark Unavailability Period and,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58">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143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20"/>
          </w:cols>
          <w:pgMar w:left="320" w:top="1440" w:right="459" w:bottom="1440" w:gutter="0" w:footer="0" w:header="0"/>
        </w:sectPr>
      </w:pPr>
    </w:p>
    <w:bookmarkStart w:id="292" w:name="page293"/>
    <w:bookmarkEnd w:id="292"/>
    <w:p>
      <w:pPr>
        <w:spacing w:after="0" w:line="81" w:lineRule="exact"/>
        <w:rPr>
          <w:sz w:val="20"/>
          <w:szCs w:val="20"/>
          <w:color w:val="auto"/>
        </w:rPr>
      </w:pPr>
    </w:p>
    <w:p>
      <w:pPr>
        <w:ind w:left="1320"/>
        <w:spacing w:after="0" w:line="277" w:lineRule="auto"/>
        <w:rPr>
          <w:sz w:val="20"/>
          <w:szCs w:val="20"/>
          <w:color w:val="auto"/>
        </w:rPr>
      </w:pPr>
      <w:r>
        <w:rPr>
          <w:rFonts w:ascii="Times New Roman" w:cs="Times New Roman" w:eastAsia="Times New Roman" w:hAnsi="Times New Roman"/>
          <w:sz w:val="20"/>
          <w:szCs w:val="20"/>
          <w:color w:val="auto"/>
        </w:rPr>
        <w:t>failing that, the applicable Borrower will be deemed to have converted any such request into a request for a borrowing of or conversion to Base Rate Loans. During any Benchmark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59">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144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060"/>
          </w:cols>
          <w:pgMar w:left="320" w:top="1440" w:right="519" w:bottom="1440" w:gutter="0" w:footer="0" w:header="0"/>
        </w:sectPr>
      </w:pPr>
    </w:p>
    <w:bookmarkStart w:id="293" w:name="page294"/>
    <w:bookmarkEnd w:id="293"/>
    <w:p>
      <w:pPr>
        <w:spacing w:after="0" w:line="202" w:lineRule="exact"/>
        <w:rPr>
          <w:sz w:val="20"/>
          <w:szCs w:val="20"/>
          <w:color w:val="auto"/>
        </w:rPr>
      </w:pPr>
    </w:p>
    <w:p>
      <w:pPr>
        <w:jc w:val="both"/>
        <w:ind w:left="1320" w:right="60"/>
        <w:spacing w:after="0" w:line="257" w:lineRule="auto"/>
        <w:rPr>
          <w:sz w:val="20"/>
          <w:szCs w:val="20"/>
          <w:color w:val="auto"/>
        </w:rPr>
      </w:pPr>
      <w:r>
        <w:rPr>
          <w:rFonts w:ascii="Times New Roman" w:cs="Times New Roman" w:eastAsia="Times New Roman" w:hAnsi="Times New Roman"/>
          <w:sz w:val="20"/>
          <w:szCs w:val="20"/>
          <w:color w:val="auto"/>
        </w:rPr>
        <w:t>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spacing w:after="0" w:line="171" w:lineRule="exact"/>
        <w:rPr>
          <w:sz w:val="20"/>
          <w:szCs w:val="20"/>
          <w:color w:val="auto"/>
        </w:rPr>
      </w:pPr>
    </w:p>
    <w:p>
      <w:pPr>
        <w:jc w:val="both"/>
        <w:ind w:left="1320" w:right="40" w:firstLine="648"/>
        <w:spacing w:after="0" w:line="249" w:lineRule="auto"/>
        <w:tabs>
          <w:tab w:leader="none" w:pos="2566" w:val="left"/>
        </w:tabs>
        <w:numPr>
          <w:ilvl w:val="1"/>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London Interbank Offered Rate Benchmark Transition Event</w:t>
      </w:r>
      <w:r>
        <w:rPr>
          <w:rFonts w:ascii="Times New Roman" w:cs="Times New Roman" w:eastAsia="Times New Roman" w:hAnsi="Times New Roman"/>
          <w:sz w:val="20"/>
          <w:szCs w:val="20"/>
          <w:color w:val="auto"/>
        </w:rPr>
        <w:t xml:space="preserve">. On March 5, 2021, the IBA, the administrator of the London interbank offered rate, and the FCA, the regulatory supervisor of the IBA, made the Announcements that the final publication or representativeness date for Dollars for (I) 1-week and 2-month London interbank offered rate tenor settings will be December 31, 2021 and (II) overnight, 1-month, 3-month, 6-month and 12-month London interbank offered rate tenor settings will be June 30, 2023. No successor administrator for the IBA was identified in such Announcements. The parties hereto agree and acknowledge that the Announcements resulted in the occurrence of a Benchmark Transition Event with respect to the London interbank offered rate pursuant to the terms of this Agreement and that any obligation of the Administrative Agent to notify any parties of such Benchmark Transition Event pursuant to clause (iii) of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5.8(c)</w:t>
      </w:r>
      <w:r>
        <w:rPr>
          <w:rFonts w:ascii="Times New Roman" w:cs="Times New Roman" w:eastAsia="Times New Roman" w:hAnsi="Times New Roman"/>
          <w:sz w:val="20"/>
          <w:szCs w:val="20"/>
          <w:color w:val="auto"/>
        </w:rPr>
        <w:t xml:space="preserve"> shall be deemed satisfied.</w:t>
      </w:r>
    </w:p>
    <w:p>
      <w:pPr>
        <w:spacing w:after="0" w:line="179" w:lineRule="exact"/>
        <w:rPr>
          <w:rFonts w:ascii="Times New Roman" w:cs="Times New Roman" w:eastAsia="Times New Roman" w:hAnsi="Times New Roman"/>
          <w:sz w:val="20"/>
          <w:szCs w:val="20"/>
          <w:color w:val="auto"/>
        </w:rPr>
      </w:pPr>
    </w:p>
    <w:p>
      <w:pPr>
        <w:jc w:val="both"/>
        <w:ind w:left="680" w:right="60" w:firstLine="646"/>
        <w:spacing w:after="0" w:line="247" w:lineRule="auto"/>
        <w:tabs>
          <w:tab w:leader="none" w:pos="1925"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Illegality</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5.12</w:t>
      </w:r>
      <w:r>
        <w:rPr>
          <w:rFonts w:ascii="Times New Roman" w:cs="Times New Roman" w:eastAsia="Times New Roman" w:hAnsi="Times New Roman"/>
          <w:sz w:val="20"/>
          <w:szCs w:val="20"/>
          <w:color w:val="auto"/>
        </w:rPr>
        <w:t>, if, in any applicable jurisdiction, the Administrative Agent, any Issuing Lender or any Lender or its Applicable Designee determines that any Applicable Law has made it unlawful, or that any Governmental Authority has asserted that it is unlawful, for the Administrative Agent, any Issuing Lender, any Lender or any Applicable Designee to (i) perform any of its obligations hereunder or under any other Loan Document, (ii) to fund or maintain its participation in any Loan or (iii) issue, make, maintain, fund or charge interest or fees with respect to any Extension of Credit to any Borrower that is a Foreign Subsidiary such Person shall promptly notify the Administrative Agent, then, upon the Administrative Agent notifying Centuri, and until such notice by such Person is revoked, any obligation of such Person to issue, make, maintain, fund or charge interest or fees with respect to any such Extension of Credit shall be suspended, and to the extent required by Applicable Law, cancelled. Upon receipt of such notice, the Credit Parties shall, (A) repay that Person’s participation in the Loans or other applicable Obligations on the last day of the Interest Period for each Loan or other Obligation occurring after the Administrative Agent has notified Centuri or, if earlier, the date specified by such Person in the notice delivered to the Administrative Agent (being no earlier than the last day of any applicable grace period permitted by Applicable Law) and (B) take all reasonable actions requested by such Person to mitigate or avoid such illegality.</w:t>
      </w:r>
    </w:p>
    <w:p>
      <w:pPr>
        <w:spacing w:after="0" w:line="173" w:lineRule="exact"/>
        <w:rPr>
          <w:sz w:val="20"/>
          <w:szCs w:val="20"/>
          <w:color w:val="auto"/>
        </w:rPr>
      </w:pPr>
    </w:p>
    <w:p>
      <w:pPr>
        <w:jc w:val="both"/>
        <w:ind w:left="680" w:firstLine="642"/>
        <w:spacing w:after="0" w:line="248" w:lineRule="auto"/>
        <w:rPr>
          <w:sz w:val="20"/>
          <w:szCs w:val="20"/>
          <w:color w:val="auto"/>
        </w:rPr>
      </w:pPr>
      <w:r>
        <w:rPr>
          <w:rFonts w:ascii="Times New Roman" w:cs="Times New Roman" w:eastAsia="Times New Roman" w:hAnsi="Times New Roman"/>
          <w:sz w:val="20"/>
          <w:szCs w:val="20"/>
          <w:color w:val="auto"/>
        </w:rPr>
        <w:t xml:space="preserve">SECTION 5.9 </w:t>
      </w:r>
      <w:r>
        <w:rPr>
          <w:rFonts w:ascii="Times New Roman" w:cs="Times New Roman" w:eastAsia="Times New Roman" w:hAnsi="Times New Roman"/>
          <w:sz w:val="20"/>
          <w:szCs w:val="20"/>
          <w:u w:val="single" w:color="auto"/>
          <w:color w:val="auto"/>
        </w:rPr>
        <w:t>Indemnity</w:t>
      </w:r>
      <w:r>
        <w:rPr>
          <w:rFonts w:ascii="Times New Roman" w:cs="Times New Roman" w:eastAsia="Times New Roman" w:hAnsi="Times New Roman"/>
          <w:sz w:val="20"/>
          <w:szCs w:val="20"/>
          <w:color w:val="auto"/>
        </w:rPr>
        <w:t xml:space="preserve">. Each Borrower hereby indemnifies each of the Lenders against any loss or expense (including any loss or expense arising from the liquidation or reemployment of funds obtained by it to maintain a SOFR Loan or a </w:t>
      </w:r>
      <w:r>
        <w:rPr>
          <w:rFonts w:ascii="Times New Roman" w:cs="Times New Roman" w:eastAsia="Times New Roman" w:hAnsi="Times New Roman"/>
          <w:sz w:val="20"/>
          <w:szCs w:val="20"/>
          <w:color w:val="FF0000"/>
          <w:strike w:val="1"/>
        </w:rPr>
        <w:t>CDOR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Rate</w:t>
      </w:r>
      <w:r>
        <w:rPr>
          <w:rFonts w:ascii="Times New Roman" w:cs="Times New Roman" w:eastAsia="Times New Roman" w:hAnsi="Times New Roman"/>
          <w:sz w:val="20"/>
          <w:szCs w:val="20"/>
          <w:u w:val="single" w:color="auto"/>
          <w:color w:val="0000FF"/>
        </w:rPr>
        <w:t>Term CORRA</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Loan or from fees payable to terminate the deposits from which such funds were obtained) which may arise or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be attributable to each Lender’s obtaining, liquidating or employing deposits or other funds acquired to effect, fund or maintain any Loan (a) as a consequence of any failure by such Borrower to make any payment when due of any amount due hereunder in connection with a SOFR Loan or a </w:t>
      </w:r>
      <w:r>
        <w:rPr>
          <w:rFonts w:ascii="Times New Roman" w:cs="Times New Roman" w:eastAsia="Times New Roman" w:hAnsi="Times New Roman"/>
          <w:sz w:val="20"/>
          <w:szCs w:val="20"/>
          <w:color w:val="FF0000"/>
          <w:strike w:val="1"/>
        </w:rPr>
        <w:t>CDOR Rate</w:t>
      </w:r>
      <w:r>
        <w:rPr>
          <w:rFonts w:ascii="Times New Roman" w:cs="Times New Roman" w:eastAsia="Times New Roman" w:hAnsi="Times New Roman"/>
          <w:sz w:val="20"/>
          <w:szCs w:val="20"/>
          <w:u w:val="single" w:color="auto"/>
          <w:color w:val="0000FF"/>
        </w:rPr>
        <w:t>Term CORRA</w:t>
      </w:r>
      <w:r>
        <w:rPr>
          <w:rFonts w:ascii="Times New Roman" w:cs="Times New Roman" w:eastAsia="Times New Roman" w:hAnsi="Times New Roman"/>
          <w:sz w:val="20"/>
          <w:szCs w:val="20"/>
          <w:color w:val="000000"/>
        </w:rPr>
        <w:t xml:space="preserve"> Loan, (b) due to any failure of such Borrower to borrow, continue or convert on a date specified therefor in a Notice of Borrowing or Notice of Conversion/Continuation or (c) due to any payment, prepayment or conversion of any any SOFR Loan or any </w:t>
      </w:r>
      <w:r>
        <w:rPr>
          <w:rFonts w:ascii="Times New Roman" w:cs="Times New Roman" w:eastAsia="Times New Roman" w:hAnsi="Times New Roman"/>
          <w:sz w:val="20"/>
          <w:szCs w:val="20"/>
          <w:color w:val="FF0000"/>
          <w:strike w:val="1"/>
        </w:rPr>
        <w:t>CDOR Rate</w:t>
      </w:r>
      <w:r>
        <w:rPr>
          <w:rFonts w:ascii="Times New Roman" w:cs="Times New Roman" w:eastAsia="Times New Roman" w:hAnsi="Times New Roman"/>
          <w:sz w:val="20"/>
          <w:szCs w:val="20"/>
          <w:u w:val="single" w:color="auto"/>
          <w:color w:val="0000FF"/>
        </w:rPr>
        <w:t>Term CORRA</w:t>
      </w:r>
      <w:r>
        <w:rPr>
          <w:rFonts w:ascii="Times New Roman" w:cs="Times New Roman" w:eastAsia="Times New Roman" w:hAnsi="Times New Roman"/>
          <w:sz w:val="20"/>
          <w:szCs w:val="20"/>
          <w:color w:val="000000"/>
        </w:rPr>
        <w:t xml:space="preserve"> Loan on a date other than the last day of the Interest Period therefor. The amount of such loss or expense shall be determined, in the applicable Lender’s sole discretion, based upon the assumption that such Lender funded its Commitment Percentage of the SOFR Loans or </w:t>
      </w:r>
      <w:r>
        <w:rPr>
          <w:rFonts w:ascii="Times New Roman" w:cs="Times New Roman" w:eastAsia="Times New Roman" w:hAnsi="Times New Roman"/>
          <w:sz w:val="20"/>
          <w:szCs w:val="20"/>
          <w:color w:val="FF0000"/>
          <w:strike w:val="1"/>
        </w:rPr>
        <w:t>CDOR Rate</w:t>
      </w:r>
      <w:r>
        <w:rPr>
          <w:rFonts w:ascii="Times New Roman" w:cs="Times New Roman" w:eastAsia="Times New Roman" w:hAnsi="Times New Roman"/>
          <w:sz w:val="20"/>
          <w:szCs w:val="20"/>
          <w:u w:val="single" w:color="auto"/>
          <w:color w:val="0000FF"/>
        </w:rPr>
        <w:t>Term CORRA</w:t>
      </w:r>
      <w:r>
        <w:rPr>
          <w:rFonts w:ascii="Times New Roman" w:cs="Times New Roman" w:eastAsia="Times New Roman" w:hAnsi="Times New Roman"/>
          <w:sz w:val="20"/>
          <w:szCs w:val="20"/>
          <w:color w:val="000000"/>
        </w:rPr>
        <w:t xml:space="preserve"> Loans, as applicable, and using any reasonable attribution or averaging methods which such Lender deems appropriate and practical. A certificate of such</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60">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145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20"/>
          </w:cols>
          <w:pgMar w:left="320" w:top="1440" w:right="459" w:bottom="1440" w:gutter="0" w:footer="0" w:header="0"/>
        </w:sectPr>
      </w:pPr>
    </w:p>
    <w:bookmarkStart w:id="294" w:name="page295"/>
    <w:bookmarkEnd w:id="294"/>
    <w:p>
      <w:pPr>
        <w:spacing w:after="0" w:line="81" w:lineRule="exact"/>
        <w:rPr>
          <w:sz w:val="20"/>
          <w:szCs w:val="20"/>
          <w:color w:val="auto"/>
        </w:rPr>
      </w:pPr>
    </w:p>
    <w:p>
      <w:pPr>
        <w:ind w:left="680"/>
        <w:spacing w:after="0" w:line="277" w:lineRule="auto"/>
        <w:rPr>
          <w:sz w:val="20"/>
          <w:szCs w:val="20"/>
          <w:color w:val="auto"/>
        </w:rPr>
      </w:pPr>
      <w:r>
        <w:rPr>
          <w:rFonts w:ascii="Times New Roman" w:cs="Times New Roman" w:eastAsia="Times New Roman" w:hAnsi="Times New Roman"/>
          <w:sz w:val="20"/>
          <w:szCs w:val="20"/>
          <w:color w:val="auto"/>
        </w:rPr>
        <w:t>Lender setting forth the basis for determining such amount or amounts necessary to compensate such Lender shall be forwarded to the applicable Borrower through the Administrative Agent and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61">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146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20"/>
          </w:cols>
          <w:pgMar w:left="320" w:top="1440" w:right="459" w:bottom="1440" w:gutter="0" w:footer="0" w:header="0"/>
        </w:sectPr>
      </w:pPr>
    </w:p>
    <w:bookmarkStart w:id="295" w:name="page296"/>
    <w:bookmarkEnd w:id="295"/>
    <w:p>
      <w:pPr>
        <w:spacing w:after="0" w:line="202" w:lineRule="exact"/>
        <w:rPr>
          <w:sz w:val="20"/>
          <w:szCs w:val="20"/>
          <w:color w:val="auto"/>
        </w:rPr>
      </w:pPr>
    </w:p>
    <w:p>
      <w:pPr>
        <w:ind w:left="680" w:right="60"/>
        <w:spacing w:after="0" w:line="263" w:lineRule="auto"/>
        <w:rPr>
          <w:sz w:val="20"/>
          <w:szCs w:val="20"/>
          <w:color w:val="auto"/>
        </w:rPr>
      </w:pPr>
      <w:r>
        <w:rPr>
          <w:rFonts w:ascii="Times New Roman" w:cs="Times New Roman" w:eastAsia="Times New Roman" w:hAnsi="Times New Roman"/>
          <w:sz w:val="20"/>
          <w:szCs w:val="20"/>
          <w:color w:val="auto"/>
        </w:rPr>
        <w:t>be conclusively presumed to be correct save for manifest error. The applicable Borrower shall pay such Lender the amount shown as due on any such certificate within ten (10) days after receipt thereof.</w:t>
      </w:r>
    </w:p>
    <w:p>
      <w:pPr>
        <w:spacing w:after="0" w:line="178" w:lineRule="exact"/>
        <w:rPr>
          <w:sz w:val="20"/>
          <w:szCs w:val="20"/>
          <w:color w:val="auto"/>
        </w:rPr>
      </w:pPr>
    </w:p>
    <w:p>
      <w:pPr>
        <w:ind w:left="1320"/>
        <w:spacing w:after="0"/>
        <w:tabs>
          <w:tab w:leader="none" w:pos="2720" w:val="left"/>
        </w:tabs>
        <w:rPr>
          <w:sz w:val="20"/>
          <w:szCs w:val="20"/>
          <w:color w:val="auto"/>
        </w:rPr>
      </w:pPr>
      <w:r>
        <w:rPr>
          <w:rFonts w:ascii="Times New Roman" w:cs="Times New Roman" w:eastAsia="Times New Roman" w:hAnsi="Times New Roman"/>
          <w:sz w:val="20"/>
          <w:szCs w:val="20"/>
          <w:color w:val="auto"/>
        </w:rPr>
        <w:t>SECTION 5.10</w:t>
      </w:r>
      <w:r>
        <w:rPr>
          <w:sz w:val="20"/>
          <w:szCs w:val="20"/>
          <w:color w:val="auto"/>
        </w:rPr>
        <w:tab/>
      </w:r>
      <w:r>
        <w:rPr>
          <w:rFonts w:ascii="Times New Roman" w:cs="Times New Roman" w:eastAsia="Times New Roman" w:hAnsi="Times New Roman"/>
          <w:sz w:val="19"/>
          <w:szCs w:val="19"/>
          <w:u w:val="single" w:color="auto"/>
          <w:color w:val="auto"/>
        </w:rPr>
        <w:t>Increased Costs</w:t>
      </w:r>
      <w:r>
        <w:rPr>
          <w:rFonts w:ascii="Times New Roman" w:cs="Times New Roman" w:eastAsia="Times New Roman" w:hAnsi="Times New Roman"/>
          <w:sz w:val="19"/>
          <w:szCs w:val="19"/>
          <w:color w:val="auto"/>
        </w:rPr>
        <w:t>.</w:t>
      </w:r>
    </w:p>
    <w:p>
      <w:pPr>
        <w:spacing w:after="0" w:line="211" w:lineRule="exact"/>
        <w:rPr>
          <w:sz w:val="20"/>
          <w:szCs w:val="20"/>
          <w:color w:val="auto"/>
        </w:rPr>
      </w:pPr>
    </w:p>
    <w:p>
      <w:pPr>
        <w:ind w:left="1960" w:hanging="633"/>
        <w:spacing w:after="0"/>
        <w:tabs>
          <w:tab w:leader="none" w:pos="1960"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Increased Costs Generally</w:t>
      </w:r>
      <w:r>
        <w:rPr>
          <w:rFonts w:ascii="Times New Roman" w:cs="Times New Roman" w:eastAsia="Times New Roman" w:hAnsi="Times New Roman"/>
          <w:sz w:val="20"/>
          <w:szCs w:val="20"/>
          <w:color w:val="auto"/>
        </w:rPr>
        <w:t>. If any Change in Law shall:</w:t>
      </w:r>
    </w:p>
    <w:p>
      <w:pPr>
        <w:spacing w:after="0" w:line="224" w:lineRule="exact"/>
        <w:rPr>
          <w:rFonts w:ascii="Times New Roman" w:cs="Times New Roman" w:eastAsia="Times New Roman" w:hAnsi="Times New Roman"/>
          <w:sz w:val="20"/>
          <w:szCs w:val="20"/>
          <w:color w:val="auto"/>
        </w:rPr>
      </w:pPr>
    </w:p>
    <w:p>
      <w:pPr>
        <w:jc w:val="both"/>
        <w:ind w:left="1320" w:right="60" w:firstLine="648"/>
        <w:spacing w:after="0" w:line="257" w:lineRule="auto"/>
        <w:tabs>
          <w:tab w:leader="none" w:pos="2561"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modify or deem applicable any reserve, special deposit, compulsory loan, insurance charge or similar requirement against assets of, deposits with or for the account of, or advances, loans or other credit extended or participated in by, any Lender or any Issuing Lender;</w:t>
      </w:r>
    </w:p>
    <w:p>
      <w:pPr>
        <w:spacing w:after="0" w:line="170" w:lineRule="exact"/>
        <w:rPr>
          <w:rFonts w:ascii="Times New Roman" w:cs="Times New Roman" w:eastAsia="Times New Roman" w:hAnsi="Times New Roman"/>
          <w:sz w:val="20"/>
          <w:szCs w:val="20"/>
          <w:color w:val="auto"/>
        </w:rPr>
      </w:pPr>
    </w:p>
    <w:p>
      <w:pPr>
        <w:jc w:val="both"/>
        <w:ind w:left="1320" w:right="20" w:firstLine="648"/>
        <w:spacing w:after="0" w:line="257" w:lineRule="auto"/>
        <w:tabs>
          <w:tab w:leader="none" w:pos="2562"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any Recipient to any Taxes (other than (A) Indemnified Taxes, (B) Taxes described in clauses (b) through (e) of the definition of Excluded Taxes and (C) Connection Income Taxes) on its loans, loan principal, letters of credit, commitments, or other obligations, or its deposits, reserves, other liabilities or capital attributable thereto; or</w:t>
      </w:r>
    </w:p>
    <w:p>
      <w:pPr>
        <w:spacing w:after="0" w:line="183" w:lineRule="exact"/>
        <w:rPr>
          <w:rFonts w:ascii="Times New Roman" w:cs="Times New Roman" w:eastAsia="Times New Roman" w:hAnsi="Times New Roman"/>
          <w:sz w:val="20"/>
          <w:szCs w:val="20"/>
          <w:color w:val="auto"/>
        </w:rPr>
      </w:pPr>
    </w:p>
    <w:p>
      <w:pPr>
        <w:jc w:val="both"/>
        <w:ind w:left="1320" w:right="20" w:firstLine="648"/>
        <w:spacing w:after="0" w:line="257" w:lineRule="auto"/>
        <w:tabs>
          <w:tab w:leader="none" w:pos="2563"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on any Lender or any Issuing Lender or the London interbank market any other condition, cost or expense (other than Taxes) affecting this Agreement or Loans made by such Lender or any Letter of Credit or participation therein;</w:t>
      </w:r>
    </w:p>
    <w:p>
      <w:pPr>
        <w:spacing w:after="0" w:line="171" w:lineRule="exact"/>
        <w:rPr>
          <w:sz w:val="20"/>
          <w:szCs w:val="20"/>
          <w:color w:val="auto"/>
        </w:rPr>
      </w:pPr>
    </w:p>
    <w:p>
      <w:pPr>
        <w:jc w:val="both"/>
        <w:ind w:left="680" w:right="20"/>
        <w:spacing w:after="0" w:line="263" w:lineRule="auto"/>
        <w:rPr>
          <w:sz w:val="20"/>
          <w:szCs w:val="20"/>
          <w:color w:val="auto"/>
        </w:rPr>
      </w:pPr>
      <w:r>
        <w:rPr>
          <w:rFonts w:ascii="Times New Roman" w:cs="Times New Roman" w:eastAsia="Times New Roman" w:hAnsi="Times New Roman"/>
          <w:sz w:val="19"/>
          <w:szCs w:val="19"/>
          <w:color w:val="auto"/>
        </w:rPr>
        <w:t>and the result of any of the foregoing shall be to increase the cost to such Lender, the Issuing Lender or such other Recipient of making, converting to, continuing or maintaining any Loan (or of maintaining its obligation to make any such Loan), or to increase the cost to such Lender, such Issuing Lender or such other Recipient of participating in, issuing or maintaining any Letter of Credit (or of maintaining its obligation to participate in or to issue any Letter of Credit), or to reduce the amount of any sum received or receivable by such Lender, such Issuing Lender or such other Recipient hereunder (whether of principal, interest or any other amount) then, upon written request of such Lender, such Issuing Lender or other Recipient, the Borrowers shall promptly pay to any such Lender, such Issuing Lender or other Recipient, as the case may be, such additional amount or amounts as will compensate such Lender, such Issuing Lender or other Recipient, as the case may be, for such additional costs incurred or reduction suffered.</w:t>
      </w:r>
    </w:p>
    <w:p>
      <w:pPr>
        <w:spacing w:after="0" w:line="171" w:lineRule="exact"/>
        <w:rPr>
          <w:sz w:val="20"/>
          <w:szCs w:val="20"/>
          <w:color w:val="auto"/>
        </w:rPr>
      </w:pPr>
    </w:p>
    <w:p>
      <w:pPr>
        <w:jc w:val="both"/>
        <w:ind w:left="680" w:firstLine="646"/>
        <w:spacing w:after="0" w:line="248" w:lineRule="auto"/>
        <w:tabs>
          <w:tab w:leader="none" w:pos="1925"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Capital Requirements</w:t>
      </w:r>
      <w:r>
        <w:rPr>
          <w:rFonts w:ascii="Times New Roman" w:cs="Times New Roman" w:eastAsia="Times New Roman" w:hAnsi="Times New Roman"/>
          <w:sz w:val="20"/>
          <w:szCs w:val="20"/>
          <w:color w:val="auto"/>
        </w:rPr>
        <w:t>. If any Lender or any Issuing Lender determines that any Change in Law affecting such Lender or such Issuing Lender or any Lending Office of such Lender or such Lender’s or such Issuing Lender’s holding company, if any, regarding capital or liquidity requirements, has or would have the effect of reducing the rate of return on such Lender’s or such Issuing Lender’s capital or on the capital of such Lender’s or such Issuing Lender’s holding company, if any, as a consequence of this Agreement, the Revolving Credit Commitment of such Lender or the Loans made by, or participations in Letters of Credit or Swingline Loans held by, such Lender, or the Letters of Credit issued by such Issuing Lender, to a level below that which such Lender or such Issuing Lender or such Lender’s or such Issuing Lender’s holding company could have achieved but for such Change in Law (taking into consideration such Lender’s or such Issuing Lender’s policies and the policies of such Lender’s or such Issuing Lender’s holding company with respect to capital adequacy or liquidity), then from time to time upon written request of such Lender or such Issuing Lender the Borrowers shall promptly pay to such Lender or such Issuing Lender, as the case may be, such additional amount or amounts as will compensate such Lender or such Issuing Lender or such Lender’s or such Issuing Lender’s holding company for any such reduction suffered.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62">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147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20"/>
          </w:cols>
          <w:pgMar w:left="320" w:top="1440" w:right="459" w:bottom="1440" w:gutter="0" w:footer="0" w:header="0"/>
        </w:sectPr>
      </w:pPr>
    </w:p>
    <w:bookmarkStart w:id="296" w:name="page297"/>
    <w:bookmarkEnd w:id="296"/>
    <w:p>
      <w:pPr>
        <w:spacing w:after="0" w:line="81" w:lineRule="exact"/>
        <w:rPr>
          <w:sz w:val="20"/>
          <w:szCs w:val="20"/>
          <w:color w:val="auto"/>
        </w:rPr>
      </w:pPr>
    </w:p>
    <w:p>
      <w:pPr>
        <w:ind w:left="680" w:firstLine="646"/>
        <w:spacing w:after="0" w:line="277" w:lineRule="auto"/>
        <w:tabs>
          <w:tab w:leader="none" w:pos="1927"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Certificates for Reimbursement</w:t>
      </w:r>
      <w:r>
        <w:rPr>
          <w:rFonts w:ascii="Times New Roman" w:cs="Times New Roman" w:eastAsia="Times New Roman" w:hAnsi="Times New Roman"/>
          <w:sz w:val="20"/>
          <w:szCs w:val="20"/>
          <w:color w:val="auto"/>
        </w:rPr>
        <w:t>. A certificate of a Lender, or an Issuing Lender or such other Recipient setting forth the amount or amounts necessary to compensate such Lender or such Issuing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63">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148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297" w:name="page298"/>
    <w:bookmarkEnd w:id="297"/>
    <w:p>
      <w:pPr>
        <w:spacing w:after="0" w:line="202" w:lineRule="exact"/>
        <w:rPr>
          <w:sz w:val="20"/>
          <w:szCs w:val="20"/>
          <w:color w:val="auto"/>
        </w:rPr>
      </w:pPr>
    </w:p>
    <w:p>
      <w:pPr>
        <w:jc w:val="both"/>
        <w:ind w:left="680" w:right="40"/>
        <w:spacing w:after="0" w:line="250" w:lineRule="auto"/>
        <w:rPr>
          <w:sz w:val="20"/>
          <w:szCs w:val="20"/>
          <w:color w:val="auto"/>
        </w:rPr>
      </w:pPr>
      <w:r>
        <w:rPr>
          <w:rFonts w:ascii="Times New Roman" w:cs="Times New Roman" w:eastAsia="Times New Roman" w:hAnsi="Times New Roman"/>
          <w:sz w:val="20"/>
          <w:szCs w:val="20"/>
          <w:color w:val="auto"/>
        </w:rPr>
        <w:t>Lender, such other Recipient or any of their respective holding companies, as the case may be, as specified in paragraph (a) or (b) of this Section and delivered to the Borrowers, shall be conclusive absent manifest error. The Borrowers shall pay such Lender or such Issuing Lender or such other Recipient, as the case may be, the amount shown as due on any such certificate within ten (10) days after receipt thereof.</w:t>
      </w:r>
    </w:p>
    <w:p>
      <w:pPr>
        <w:spacing w:after="0" w:line="192" w:lineRule="exact"/>
        <w:rPr>
          <w:sz w:val="20"/>
          <w:szCs w:val="20"/>
          <w:color w:val="auto"/>
        </w:rPr>
      </w:pPr>
    </w:p>
    <w:p>
      <w:pPr>
        <w:jc w:val="both"/>
        <w:ind w:left="680" w:right="20" w:firstLine="646"/>
        <w:spacing w:after="0" w:line="260" w:lineRule="auto"/>
        <w:tabs>
          <w:tab w:leader="none" w:pos="1925" w:val="left"/>
        </w:tabs>
        <w:numPr>
          <w:ilvl w:val="1"/>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Delay in Requests</w:t>
      </w:r>
      <w:r>
        <w:rPr>
          <w:rFonts w:ascii="Times New Roman" w:cs="Times New Roman" w:eastAsia="Times New Roman" w:hAnsi="Times New Roman"/>
          <w:sz w:val="19"/>
          <w:szCs w:val="19"/>
          <w:color w:val="auto"/>
        </w:rPr>
        <w:t xml:space="preserve">. Failure or delay on the part of any Lender or any Issuing Lender or such other Recipient to demand compensation pursuant to this Section shall not constitute a waiver of such Lender’s or such Issuing Lender’s or such other Recipient’s right to demand such compensation;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Borrowers shall not be required to compensate any Lender or an Issuing Lender or any other Recipient pursuant to this Section for any increased costs incurred or reductions suffered more than six</w:t>
      </w:r>
    </w:p>
    <w:p>
      <w:pPr>
        <w:spacing w:after="0" w:line="3" w:lineRule="exact"/>
        <w:rPr>
          <w:rFonts w:ascii="Times New Roman" w:cs="Times New Roman" w:eastAsia="Times New Roman" w:hAnsi="Times New Roman"/>
          <w:sz w:val="19"/>
          <w:szCs w:val="19"/>
          <w:color w:val="auto"/>
        </w:rPr>
      </w:pPr>
    </w:p>
    <w:p>
      <w:pPr>
        <w:jc w:val="both"/>
        <w:ind w:left="680" w:right="20" w:firstLine="4"/>
        <w:spacing w:after="0" w:line="247" w:lineRule="auto"/>
        <w:tabs>
          <w:tab w:leader="none" w:pos="985"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months prior to the date that such Lender or such Issuing Lender or such other Recipient, as the case may be, notifies the Borrowers of the Change in Law giving rise to such increased costs or reductions, and of such Lender’s or such Issuing Lender’s or such other Recipient’s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80" w:lineRule="exact"/>
        <w:rPr>
          <w:sz w:val="20"/>
          <w:szCs w:val="20"/>
          <w:color w:val="auto"/>
        </w:rPr>
      </w:pPr>
    </w:p>
    <w:p>
      <w:pPr>
        <w:ind w:left="1320"/>
        <w:spacing w:after="0"/>
        <w:tabs>
          <w:tab w:leader="none" w:pos="2720" w:val="left"/>
        </w:tabs>
        <w:rPr>
          <w:sz w:val="20"/>
          <w:szCs w:val="20"/>
          <w:color w:val="auto"/>
        </w:rPr>
      </w:pPr>
      <w:r>
        <w:rPr>
          <w:rFonts w:ascii="Times New Roman" w:cs="Times New Roman" w:eastAsia="Times New Roman" w:hAnsi="Times New Roman"/>
          <w:sz w:val="20"/>
          <w:szCs w:val="20"/>
          <w:color w:val="auto"/>
        </w:rPr>
        <w:t>SECTION 5.11</w:t>
      </w:r>
      <w:r>
        <w:rPr>
          <w:sz w:val="20"/>
          <w:szCs w:val="20"/>
          <w:color w:val="auto"/>
        </w:rPr>
        <w:tab/>
      </w: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80" w:right="40" w:firstLine="646"/>
        <w:spacing w:after="0" w:line="263" w:lineRule="auto"/>
        <w:tabs>
          <w:tab w:leader="none" w:pos="1927"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xml:space="preserve">. For purposes of this </w:t>
      </w:r>
      <w:r>
        <w:rPr>
          <w:rFonts w:ascii="Times New Roman" w:cs="Times New Roman" w:eastAsia="Times New Roman" w:hAnsi="Times New Roman"/>
          <w:sz w:val="20"/>
          <w:szCs w:val="20"/>
          <w:u w:val="single" w:color="auto"/>
          <w:color w:val="auto"/>
        </w:rPr>
        <w:t>Section 5.11</w:t>
      </w:r>
      <w:r>
        <w:rPr>
          <w:rFonts w:ascii="Times New Roman" w:cs="Times New Roman" w:eastAsia="Times New Roman" w:hAnsi="Times New Roman"/>
          <w:sz w:val="20"/>
          <w:szCs w:val="20"/>
          <w:color w:val="auto"/>
        </w:rPr>
        <w:t>, the term “Lender” includes any Issuing Lender and the term “Applicable Law” includes FATCA.</w:t>
      </w:r>
    </w:p>
    <w:p>
      <w:pPr>
        <w:spacing w:after="0" w:line="178" w:lineRule="exact"/>
        <w:rPr>
          <w:rFonts w:ascii="Times New Roman" w:cs="Times New Roman" w:eastAsia="Times New Roman" w:hAnsi="Times New Roman"/>
          <w:sz w:val="20"/>
          <w:szCs w:val="20"/>
          <w:color w:val="auto"/>
        </w:rPr>
      </w:pPr>
    </w:p>
    <w:p>
      <w:pPr>
        <w:jc w:val="both"/>
        <w:ind w:left="680" w:right="40" w:firstLine="646"/>
        <w:spacing w:after="0" w:line="249" w:lineRule="auto"/>
        <w:tabs>
          <w:tab w:leader="none" w:pos="1925"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Free of Taxes</w:t>
      </w:r>
      <w:r>
        <w:rPr>
          <w:rFonts w:ascii="Times New Roman" w:cs="Times New Roman" w:eastAsia="Times New Roman" w:hAnsi="Times New Roman"/>
          <w:sz w:val="20"/>
          <w:szCs w:val="20"/>
          <w:color w:val="auto"/>
        </w:rPr>
        <w:t>. Any and all payments by or on account of any obligation of any Credit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Credit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166" w:lineRule="exact"/>
        <w:rPr>
          <w:rFonts w:ascii="Times New Roman" w:cs="Times New Roman" w:eastAsia="Times New Roman" w:hAnsi="Times New Roman"/>
          <w:sz w:val="20"/>
          <w:szCs w:val="20"/>
          <w:color w:val="auto"/>
        </w:rPr>
      </w:pPr>
    </w:p>
    <w:p>
      <w:pPr>
        <w:jc w:val="both"/>
        <w:ind w:left="680" w:right="40" w:firstLine="646"/>
        <w:spacing w:after="0" w:line="264" w:lineRule="auto"/>
        <w:tabs>
          <w:tab w:leader="none" w:pos="1927"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Other Taxes by the Credit Parties</w:t>
      </w:r>
      <w:r>
        <w:rPr>
          <w:rFonts w:ascii="Times New Roman" w:cs="Times New Roman" w:eastAsia="Times New Roman" w:hAnsi="Times New Roman"/>
          <w:sz w:val="20"/>
          <w:szCs w:val="20"/>
          <w:color w:val="auto"/>
        </w:rPr>
        <w:t>. The Credit Parties shall timely pay to the relevant Governmental Authority in accordance with Applicable Law, or at the option of the Administrative Agent timely reimburse it for the payment of, any Other Taxes.</w:t>
      </w:r>
    </w:p>
    <w:p>
      <w:pPr>
        <w:spacing w:after="0" w:line="163" w:lineRule="exact"/>
        <w:rPr>
          <w:rFonts w:ascii="Times New Roman" w:cs="Times New Roman" w:eastAsia="Times New Roman" w:hAnsi="Times New Roman"/>
          <w:sz w:val="20"/>
          <w:szCs w:val="20"/>
          <w:color w:val="auto"/>
        </w:rPr>
      </w:pPr>
    </w:p>
    <w:p>
      <w:pPr>
        <w:jc w:val="both"/>
        <w:ind w:left="680" w:firstLine="646"/>
        <w:spacing w:after="0" w:line="249" w:lineRule="auto"/>
        <w:tabs>
          <w:tab w:leader="none" w:pos="1925"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by the Credit Parties</w:t>
      </w:r>
      <w:r>
        <w:rPr>
          <w:rFonts w:ascii="Times New Roman" w:cs="Times New Roman" w:eastAsia="Times New Roman" w:hAnsi="Times New Roman"/>
          <w:sz w:val="20"/>
          <w:szCs w:val="20"/>
          <w:color w:val="auto"/>
        </w:rPr>
        <w:t>. With respect to any Indemnified Taxes arising from US Obligations, the US Credit Parties shall jointly and severally indemnify each Recipient, within ten (10) days after written demand therefor, for the full amount of any such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With respect to any Indemnified Taxes arising from Canadian Obligations, the Credit Parties shall jointly and severally indemnify each Recipient, within ten (10) days after written demand therefor, for the full amount of any such Indemnified Taxes (including Indemnified Taxes imposed on or asserted on or attributable to</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64">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149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298" w:name="page299"/>
    <w:bookmarkEnd w:id="298"/>
    <w:p>
      <w:pPr>
        <w:spacing w:after="0" w:line="95" w:lineRule="exact"/>
        <w:rPr>
          <w:sz w:val="20"/>
          <w:szCs w:val="20"/>
          <w:color w:val="auto"/>
        </w:rPr>
      </w:pPr>
    </w:p>
    <w:p>
      <w:pPr>
        <w:ind w:left="680"/>
        <w:spacing w:after="0" w:line="277" w:lineRule="auto"/>
        <w:rPr>
          <w:sz w:val="20"/>
          <w:szCs w:val="20"/>
          <w:color w:val="auto"/>
        </w:rPr>
      </w:pPr>
      <w:r>
        <w:rPr>
          <w:rFonts w:ascii="Times New Roman" w:cs="Times New Roman" w:eastAsia="Times New Roman" w:hAnsi="Times New Roman"/>
          <w:sz w:val="20"/>
          <w:szCs w:val="20"/>
          <w:color w:val="auto"/>
        </w:rPr>
        <w:t>amounts payable under this Section) payable or paid by such Recipient or required to be withheld or deducted from a payment to such Recipient and any reasonable expenses arising therefrom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65">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150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299" w:name="page300"/>
    <w:bookmarkEnd w:id="299"/>
    <w:p>
      <w:pPr>
        <w:spacing w:after="0" w:line="202" w:lineRule="exact"/>
        <w:rPr>
          <w:sz w:val="20"/>
          <w:szCs w:val="20"/>
          <w:color w:val="auto"/>
        </w:rPr>
      </w:pPr>
    </w:p>
    <w:p>
      <w:pPr>
        <w:jc w:val="both"/>
        <w:ind w:left="680" w:right="20"/>
        <w:spacing w:after="0" w:line="250" w:lineRule="auto"/>
        <w:rPr>
          <w:sz w:val="20"/>
          <w:szCs w:val="20"/>
          <w:color w:val="auto"/>
        </w:rPr>
      </w:pPr>
      <w:r>
        <w:rPr>
          <w:rFonts w:ascii="Times New Roman" w:cs="Times New Roman" w:eastAsia="Times New Roman" w:hAnsi="Times New Roman"/>
          <w:sz w:val="20"/>
          <w:szCs w:val="20"/>
          <w:color w:val="auto"/>
        </w:rPr>
        <w:t>with respect thereto, whether or not such Indemnified Taxes were correctly or legally imposed or asserted by the relevant Governmental Authority. A certificate as to the amount of such payment or liability delivered to the Borrowers by a Recipient (with a copy to the Administrative Agent), or by the Administrative Agent on its own behalf or on behalf of a Recipient, shall be conclusive absent manifest error.</w:t>
      </w:r>
    </w:p>
    <w:p>
      <w:pPr>
        <w:spacing w:after="0" w:line="192" w:lineRule="exact"/>
        <w:rPr>
          <w:sz w:val="20"/>
          <w:szCs w:val="20"/>
          <w:color w:val="auto"/>
        </w:rPr>
      </w:pPr>
    </w:p>
    <w:p>
      <w:pPr>
        <w:jc w:val="both"/>
        <w:ind w:left="680" w:firstLine="646"/>
        <w:spacing w:after="0" w:line="262" w:lineRule="auto"/>
        <w:tabs>
          <w:tab w:leader="none" w:pos="1927" w:val="left"/>
        </w:tabs>
        <w:numPr>
          <w:ilvl w:val="0"/>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Indemnification by the Lenders</w:t>
      </w:r>
      <w:r>
        <w:rPr>
          <w:rFonts w:ascii="Times New Roman" w:cs="Times New Roman" w:eastAsia="Times New Roman" w:hAnsi="Times New Roman"/>
          <w:sz w:val="19"/>
          <w:szCs w:val="19"/>
          <w:color w:val="auto"/>
        </w:rPr>
        <w:t xml:space="preserve">. Each Lender shall severally indemnify the Administrative Agent, within ten (10) days after demand therefor, for (i) any Indemnified Taxes attributable to such Lender (but only to the extent that any Credit Party has not already indemnified the Administrative Agent for such Indemnified Taxes and without limiting the obligation of the Credit Parties to do so), (ii) any Taxes attributable to such Lender’s failure to comply with the provisions of </w:t>
      </w:r>
      <w:r>
        <w:rPr>
          <w:rFonts w:ascii="Times New Roman" w:cs="Times New Roman" w:eastAsia="Times New Roman" w:hAnsi="Times New Roman"/>
          <w:sz w:val="19"/>
          <w:szCs w:val="19"/>
          <w:u w:val="single" w:color="auto"/>
          <w:color w:val="auto"/>
        </w:rPr>
        <w:t>Section 12.9(d)</w:t>
      </w:r>
      <w:r>
        <w:rPr>
          <w:rFonts w:ascii="Times New Roman" w:cs="Times New Roman" w:eastAsia="Times New Roman" w:hAnsi="Times New Roman"/>
          <w:sz w:val="19"/>
          <w:szCs w:val="19"/>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(e).</w:t>
      </w:r>
    </w:p>
    <w:p>
      <w:pPr>
        <w:spacing w:after="0" w:line="158" w:lineRule="exact"/>
        <w:rPr>
          <w:rFonts w:ascii="Times New Roman" w:cs="Times New Roman" w:eastAsia="Times New Roman" w:hAnsi="Times New Roman"/>
          <w:sz w:val="19"/>
          <w:szCs w:val="19"/>
          <w:color w:val="auto"/>
        </w:rPr>
      </w:pPr>
    </w:p>
    <w:p>
      <w:pPr>
        <w:jc w:val="both"/>
        <w:ind w:left="680" w:firstLine="646"/>
        <w:spacing w:after="0" w:line="255" w:lineRule="auto"/>
        <w:tabs>
          <w:tab w:leader="none" w:pos="1919"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Evidence of Payments</w:t>
      </w:r>
      <w:r>
        <w:rPr>
          <w:rFonts w:ascii="Times New Roman" w:cs="Times New Roman" w:eastAsia="Times New Roman" w:hAnsi="Times New Roman"/>
          <w:sz w:val="20"/>
          <w:szCs w:val="20"/>
          <w:color w:val="auto"/>
        </w:rPr>
        <w:t xml:space="preserve">. As soon as practicable after any payment of Taxes by any Credit Party to a Governmental Authority pursuant to this </w:t>
      </w:r>
      <w:r>
        <w:rPr>
          <w:rFonts w:ascii="Times New Roman" w:cs="Times New Roman" w:eastAsia="Times New Roman" w:hAnsi="Times New Roman"/>
          <w:sz w:val="20"/>
          <w:szCs w:val="20"/>
          <w:u w:val="single" w:color="auto"/>
          <w:color w:val="auto"/>
        </w:rPr>
        <w:t>Section 5.11</w:t>
      </w:r>
      <w:r>
        <w:rPr>
          <w:rFonts w:ascii="Times New Roman" w:cs="Times New Roman" w:eastAsia="Times New Roman" w:hAnsi="Times New Roman"/>
          <w:sz w:val="20"/>
          <w:szCs w:val="20"/>
          <w:color w:val="auto"/>
        </w:rPr>
        <w:t>, such Credit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72" w:lineRule="exact"/>
        <w:rPr>
          <w:rFonts w:ascii="Times New Roman" w:cs="Times New Roman" w:eastAsia="Times New Roman" w:hAnsi="Times New Roman"/>
          <w:sz w:val="20"/>
          <w:szCs w:val="20"/>
          <w:color w:val="auto"/>
        </w:rPr>
      </w:pPr>
    </w:p>
    <w:p>
      <w:pPr>
        <w:ind w:left="1960" w:hanging="633"/>
        <w:spacing w:after="0"/>
        <w:tabs>
          <w:tab w:leader="none" w:pos="1960"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Status of Lenders</w:t>
      </w:r>
      <w:r>
        <w:rPr>
          <w:rFonts w:ascii="Times New Roman" w:cs="Times New Roman" w:eastAsia="Times New Roman" w:hAnsi="Times New Roman"/>
          <w:sz w:val="20"/>
          <w:szCs w:val="20"/>
          <w:color w:val="auto"/>
        </w:rPr>
        <w:t>.</w:t>
      </w:r>
    </w:p>
    <w:p>
      <w:pPr>
        <w:spacing w:after="0" w:line="224" w:lineRule="exact"/>
        <w:rPr>
          <w:rFonts w:ascii="Times New Roman" w:cs="Times New Roman" w:eastAsia="Times New Roman" w:hAnsi="Times New Roman"/>
          <w:sz w:val="20"/>
          <w:szCs w:val="20"/>
          <w:color w:val="auto"/>
        </w:rPr>
      </w:pPr>
    </w:p>
    <w:p>
      <w:pPr>
        <w:jc w:val="both"/>
        <w:ind w:left="1320" w:firstLine="648"/>
        <w:spacing w:after="0" w:line="247" w:lineRule="auto"/>
        <w:tabs>
          <w:tab w:leader="none" w:pos="2561" w:val="left"/>
        </w:tabs>
        <w:numPr>
          <w:ilvl w:val="1"/>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that is entitled to an exemption from or reduction of withholding Tax with respect to payments made under any Loan Document shall deliver to Centuri and the Administrative Agent, at the time or times reasonably requested by Centuri or the Administrative Agent, such properly completed and executed documentation reasonably requested by Centuri or the Administrative Agent as will permit such payments to be made without withholding or at a reduced rate of withholding. In addition, any Lender, if reasonably requested by Centuri or the Administrative Agent, shall deliver such other documentation prescribed by Applicable Law or reasonably requested by Centuri or the Administrative Agent as will enable Centuri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20"/>
          <w:szCs w:val="20"/>
          <w:u w:val="single" w:color="auto"/>
          <w:color w:val="auto"/>
        </w:rPr>
        <w:t>Section 5.11(g)(ii)(A)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(ii)(D)</w:t>
      </w:r>
      <w:r>
        <w:rPr>
          <w:rFonts w:ascii="Times New Roman" w:cs="Times New Roman" w:eastAsia="Times New Roman" w:hAnsi="Times New Roman"/>
          <w:sz w:val="20"/>
          <w:szCs w:val="20"/>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82" w:lineRule="exact"/>
        <w:rPr>
          <w:rFonts w:ascii="Times New Roman" w:cs="Times New Roman" w:eastAsia="Times New Roman" w:hAnsi="Times New Roman"/>
          <w:sz w:val="20"/>
          <w:szCs w:val="20"/>
          <w:color w:val="auto"/>
        </w:rPr>
      </w:pPr>
    </w:p>
    <w:p>
      <w:pPr>
        <w:ind w:left="2600" w:hanging="631"/>
        <w:spacing w:after="0"/>
        <w:tabs>
          <w:tab w:leader="none" w:pos="2600" w:val="left"/>
        </w:tabs>
        <w:numPr>
          <w:ilvl w:val="1"/>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w:t>
      </w:r>
    </w:p>
    <w:p>
      <w:pPr>
        <w:spacing w:after="0" w:line="224" w:lineRule="exact"/>
        <w:rPr>
          <w:rFonts w:ascii="Times New Roman" w:cs="Times New Roman" w:eastAsia="Times New Roman" w:hAnsi="Times New Roman"/>
          <w:sz w:val="20"/>
          <w:szCs w:val="20"/>
          <w:color w:val="auto"/>
        </w:rPr>
      </w:pPr>
    </w:p>
    <w:p>
      <w:pPr>
        <w:ind w:left="1960" w:right="20" w:firstLine="650"/>
        <w:spacing w:after="0" w:line="263" w:lineRule="auto"/>
        <w:tabs>
          <w:tab w:leader="none" w:pos="3195" w:val="left"/>
        </w:tabs>
        <w:numPr>
          <w:ilvl w:val="2"/>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that is a U.S. Person shall deliver to Centuri and the Administrative Agent on or prior to the date on which such Lender becomes a Lender</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66">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151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080"/>
          </w:cols>
          <w:pgMar w:left="320" w:top="1440" w:right="499" w:bottom="1440" w:gutter="0" w:footer="0" w:header="0"/>
        </w:sectPr>
      </w:pPr>
    </w:p>
    <w:bookmarkStart w:id="300" w:name="page301"/>
    <w:bookmarkEnd w:id="300"/>
    <w:p>
      <w:pPr>
        <w:spacing w:after="0" w:line="95" w:lineRule="exact"/>
        <w:rPr>
          <w:sz w:val="20"/>
          <w:szCs w:val="20"/>
          <w:color w:val="auto"/>
        </w:rPr>
      </w:pPr>
    </w:p>
    <w:p>
      <w:pPr>
        <w:ind w:left="1960"/>
        <w:spacing w:after="0" w:line="277" w:lineRule="auto"/>
        <w:rPr>
          <w:sz w:val="20"/>
          <w:szCs w:val="20"/>
          <w:color w:val="auto"/>
        </w:rPr>
      </w:pPr>
      <w:r>
        <w:rPr>
          <w:rFonts w:ascii="Times New Roman" w:cs="Times New Roman" w:eastAsia="Times New Roman" w:hAnsi="Times New Roman"/>
          <w:sz w:val="20"/>
          <w:szCs w:val="20"/>
          <w:color w:val="auto"/>
        </w:rPr>
        <w:t>under this Agreement (and from time to time thereafter upon the reasonable request of Centuri or the Administrative Agent), executed originals of IRS Form W-9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67">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152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060"/>
          </w:cols>
          <w:pgMar w:left="320" w:top="1440" w:right="519" w:bottom="1440" w:gutter="0" w:footer="0" w:header="0"/>
        </w:sectPr>
      </w:pPr>
    </w:p>
    <w:bookmarkStart w:id="301" w:name="page302"/>
    <w:bookmarkEnd w:id="301"/>
    <w:p>
      <w:pPr>
        <w:spacing w:after="0" w:line="20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successor form) certifying that such Lender is exempt from United States federal backup withholding tax;</w:t>
      </w:r>
    </w:p>
    <w:p>
      <w:pPr>
        <w:spacing w:after="0" w:line="211" w:lineRule="exact"/>
        <w:rPr>
          <w:sz w:val="20"/>
          <w:szCs w:val="20"/>
          <w:color w:val="auto"/>
        </w:rPr>
      </w:pPr>
    </w:p>
    <w:p>
      <w:pPr>
        <w:jc w:val="both"/>
        <w:ind w:left="1960" w:firstLine="650"/>
        <w:spacing w:after="0" w:line="255" w:lineRule="auto"/>
        <w:tabs>
          <w:tab w:leader="none" w:pos="3197"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Centuri and the Administrative Agent (in such number of copies as shall be requested by the recipient) on or prior to the date on which such Foreign Lender becomes a Lender under this Agreement (and from time to time thereafter upon the reasonable request of Centuri or the Administrative Agent), whichever of the following is applicable:</w:t>
      </w:r>
    </w:p>
    <w:p>
      <w:pPr>
        <w:spacing w:after="0" w:line="172" w:lineRule="exact"/>
        <w:rPr>
          <w:rFonts w:ascii="Times New Roman" w:cs="Times New Roman" w:eastAsia="Times New Roman" w:hAnsi="Times New Roman"/>
          <w:sz w:val="20"/>
          <w:szCs w:val="20"/>
          <w:color w:val="auto"/>
        </w:rPr>
      </w:pPr>
    </w:p>
    <w:p>
      <w:pPr>
        <w:jc w:val="both"/>
        <w:ind w:left="2620" w:right="40" w:firstLine="632"/>
        <w:spacing w:after="0" w:line="248" w:lineRule="auto"/>
        <w:tabs>
          <w:tab w:leader="none" w:pos="3865" w:val="left"/>
        </w:tabs>
        <w:numPr>
          <w:ilvl w:val="1"/>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the benefits of an income tax treaty to which the United States is a party (x) with respect to payments of interest under any Loan Document, executed copies of IRS Form W-8BEN (or any successor form) or W-8BEN-E (or any successor form), as applicable, establishing an exemption from, or reduction of, United States federal withholding Tax pursuant to the “interest” article of such tax treaty and</w:t>
      </w:r>
    </w:p>
    <w:p>
      <w:pPr>
        <w:spacing w:after="0" w:line="2" w:lineRule="exact"/>
        <w:rPr>
          <w:rFonts w:ascii="Times New Roman" w:cs="Times New Roman" w:eastAsia="Times New Roman" w:hAnsi="Times New Roman"/>
          <w:sz w:val="20"/>
          <w:szCs w:val="20"/>
          <w:color w:val="auto"/>
        </w:rPr>
      </w:pPr>
    </w:p>
    <w:p>
      <w:pPr>
        <w:jc w:val="both"/>
        <w:ind w:left="2620" w:right="60"/>
        <w:spacing w:after="0" w:line="25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 with respect to any other applicable payments under any Loan Document, IRS Form W-8BEN (or any successor form) or W-8BEN-E (or any successor form), as applicable, establishing an exemption from, or reduction of, United States federal withholding Tax pursuant to the “business profits” or “other income” article of such tax treaty;</w:t>
      </w:r>
    </w:p>
    <w:p>
      <w:pPr>
        <w:spacing w:after="0" w:line="177" w:lineRule="exact"/>
        <w:rPr>
          <w:rFonts w:ascii="Times New Roman" w:cs="Times New Roman" w:eastAsia="Times New Roman" w:hAnsi="Times New Roman"/>
          <w:sz w:val="20"/>
          <w:szCs w:val="20"/>
          <w:color w:val="auto"/>
        </w:rPr>
      </w:pPr>
    </w:p>
    <w:p>
      <w:pPr>
        <w:ind w:left="3880" w:hanging="628"/>
        <w:spacing w:after="0"/>
        <w:tabs>
          <w:tab w:leader="none" w:pos="3880" w:val="left"/>
        </w:tabs>
        <w:numPr>
          <w:ilvl w:val="1"/>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copies of IRS Form W-8ECI (or any successor form);</w:t>
      </w:r>
    </w:p>
    <w:p>
      <w:pPr>
        <w:spacing w:after="0" w:line="211" w:lineRule="exact"/>
        <w:rPr>
          <w:rFonts w:ascii="Times New Roman" w:cs="Times New Roman" w:eastAsia="Times New Roman" w:hAnsi="Times New Roman"/>
          <w:sz w:val="20"/>
          <w:szCs w:val="20"/>
          <w:color w:val="auto"/>
        </w:rPr>
      </w:pPr>
    </w:p>
    <w:p>
      <w:pPr>
        <w:jc w:val="both"/>
        <w:ind w:left="2600" w:firstLine="651"/>
        <w:spacing w:after="0" w:line="250" w:lineRule="auto"/>
        <w:tabs>
          <w:tab w:leader="none" w:pos="3845" w:val="left"/>
        </w:tabs>
        <w:numPr>
          <w:ilvl w:val="1"/>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20"/>
          <w:szCs w:val="20"/>
          <w:b w:val="1"/>
          <w:bCs w:val="1"/>
          <w:i w:val="1"/>
          <w:iCs w:val="1"/>
          <w:color w:val="auto"/>
        </w:rPr>
        <w:t>Exhibit H-1</w:t>
      </w:r>
      <w:r>
        <w:rPr>
          <w:rFonts w:ascii="Times New Roman" w:cs="Times New Roman" w:eastAsia="Times New Roman" w:hAnsi="Times New Roman"/>
          <w:sz w:val="20"/>
          <w:szCs w:val="20"/>
          <w:color w:val="auto"/>
        </w:rPr>
        <w:t xml:space="preserve"> to the effect that such Foreign Lender is not a “bank” within the meaning of Section 881(c)(3)(A) of the Code, a “10 percent shareholder” of a US Borrower within the meaning of Section 881(c)(3)(B) of the Code, or a “controlled foreign corporation” described in Section 881(c)(3)(C) of the Code (a “</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and (y) executed copies of IRS Form W-8BEN (or any successor form) or W-8BEN-E (or any successor form), as applicable; or</w:t>
      </w:r>
    </w:p>
    <w:p>
      <w:pPr>
        <w:spacing w:after="0" w:line="182" w:lineRule="exact"/>
        <w:rPr>
          <w:rFonts w:ascii="Times New Roman" w:cs="Times New Roman" w:eastAsia="Times New Roman" w:hAnsi="Times New Roman"/>
          <w:sz w:val="20"/>
          <w:szCs w:val="20"/>
          <w:color w:val="auto"/>
        </w:rPr>
      </w:pPr>
    </w:p>
    <w:p>
      <w:pPr>
        <w:jc w:val="both"/>
        <w:ind w:left="2620" w:right="60" w:firstLine="632"/>
        <w:spacing w:after="0" w:line="248" w:lineRule="auto"/>
        <w:tabs>
          <w:tab w:leader="none" w:pos="3865" w:val="left"/>
        </w:tabs>
        <w:numPr>
          <w:ilvl w:val="1"/>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a Foreign Lender is not the beneficial owner, executed copies of IRS Form W-8IMY (or any successor form), accompanied by IRS Form W-8ECI (or any successor form), IRS Form W-8BEN (or any successor form) or W-8BEN-E (or any successor form), a U.S. Tax Compliance Certificate substantially in the form of </w:t>
      </w:r>
      <w:r>
        <w:rPr>
          <w:rFonts w:ascii="Times New Roman" w:cs="Times New Roman" w:eastAsia="Times New Roman" w:hAnsi="Times New Roman"/>
          <w:sz w:val="20"/>
          <w:szCs w:val="20"/>
          <w:b w:val="1"/>
          <w:bCs w:val="1"/>
          <w:i w:val="1"/>
          <w:iCs w:val="1"/>
          <w:color w:val="auto"/>
        </w:rPr>
        <w:t>Exhibit H-2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i w:val="1"/>
          <w:iCs w:val="1"/>
          <w:color w:val="auto"/>
        </w:rPr>
        <w:t>Exhibit H-3</w:t>
      </w:r>
      <w:r>
        <w:rPr>
          <w:rFonts w:ascii="Times New Roman" w:cs="Times New Roman" w:eastAsia="Times New Roman" w:hAnsi="Times New Roman"/>
          <w:sz w:val="20"/>
          <w:szCs w:val="20"/>
          <w:color w:val="auto"/>
        </w:rPr>
        <w:t xml:space="preserve">, IRS Form W-9, and/or other certification documents from each beneficial owner,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20"/>
          <w:szCs w:val="20"/>
          <w:b w:val="1"/>
          <w:bCs w:val="1"/>
          <w:i w:val="1"/>
          <w:iCs w:val="1"/>
          <w:color w:val="auto"/>
        </w:rPr>
        <w:t>Exhibit H-4</w:t>
      </w:r>
      <w:r>
        <w:rPr>
          <w:rFonts w:ascii="Times New Roman" w:cs="Times New Roman" w:eastAsia="Times New Roman" w:hAnsi="Times New Roman"/>
          <w:sz w:val="20"/>
          <w:szCs w:val="20"/>
          <w:color w:val="auto"/>
        </w:rPr>
        <w:t xml:space="preserve"> on behalf of each such direct and indirect partner;</w:t>
      </w:r>
    </w:p>
    <w:p>
      <w:pPr>
        <w:spacing w:after="0" w:line="185" w:lineRule="exact"/>
        <w:rPr>
          <w:rFonts w:ascii="Times New Roman" w:cs="Times New Roman" w:eastAsia="Times New Roman" w:hAnsi="Times New Roman"/>
          <w:sz w:val="20"/>
          <w:szCs w:val="20"/>
          <w:color w:val="auto"/>
        </w:rPr>
      </w:pPr>
    </w:p>
    <w:p>
      <w:pPr>
        <w:jc w:val="both"/>
        <w:ind w:left="1960" w:firstLine="650"/>
        <w:spacing w:after="0" w:line="255" w:lineRule="auto"/>
        <w:tabs>
          <w:tab w:leader="none" w:pos="3197"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Centuri and the Administrative Agent (in such number of copies as shall be requested by the recipient) on or prior to the date on which such Foreign Lender becomes a Lender under this Agreement (and from time to time thereafter upon the reasonable request of Centuri or the Administrative Agent), executed copies of any other form</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68">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153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20"/>
          </w:cols>
          <w:pgMar w:left="320" w:top="1440" w:right="459" w:bottom="1440" w:gutter="0" w:footer="0" w:header="0"/>
        </w:sectPr>
      </w:pPr>
    </w:p>
    <w:bookmarkStart w:id="302" w:name="page303"/>
    <w:bookmarkEnd w:id="302"/>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69">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154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0139"/>
          </w:cols>
          <w:pgMar w:left="320" w:top="1440" w:right="1440" w:bottom="1440" w:gutter="0" w:footer="0" w:header="0"/>
        </w:sectPr>
      </w:pPr>
    </w:p>
    <w:bookmarkStart w:id="303" w:name="page304"/>
    <w:bookmarkEnd w:id="303"/>
    <w:p>
      <w:pPr>
        <w:spacing w:after="0" w:line="201" w:lineRule="exact"/>
        <w:rPr>
          <w:sz w:val="20"/>
          <w:szCs w:val="20"/>
          <w:color w:val="auto"/>
        </w:rPr>
      </w:pPr>
    </w:p>
    <w:p>
      <w:pPr>
        <w:jc w:val="both"/>
        <w:ind w:left="1960" w:right="40"/>
        <w:spacing w:after="0" w:line="250" w:lineRule="auto"/>
        <w:rPr>
          <w:sz w:val="20"/>
          <w:szCs w:val="20"/>
          <w:color w:val="auto"/>
        </w:rPr>
      </w:pPr>
      <w:r>
        <w:rPr>
          <w:rFonts w:ascii="Times New Roman" w:cs="Times New Roman" w:eastAsia="Times New Roman" w:hAnsi="Times New Roman"/>
          <w:sz w:val="20"/>
          <w:szCs w:val="20"/>
          <w:color w:val="auto"/>
        </w:rPr>
        <w:t>prescribed by Applicable Law as a basis for claiming exemption from or a reduction in United States federal withholding Tax, duly completed, together with such supplementary documentation as may be prescribed by Applicable Law to permit the US Borrowers or the Administrative Agent to determine the withholding or deduction required to be made; and</w:t>
      </w:r>
    </w:p>
    <w:p>
      <w:pPr>
        <w:spacing w:after="0" w:line="192" w:lineRule="exact"/>
        <w:rPr>
          <w:sz w:val="20"/>
          <w:szCs w:val="20"/>
          <w:color w:val="auto"/>
        </w:rPr>
      </w:pPr>
    </w:p>
    <w:p>
      <w:pPr>
        <w:jc w:val="both"/>
        <w:ind w:left="1960" w:right="20" w:firstLine="650"/>
        <w:spacing w:after="0" w:line="248" w:lineRule="auto"/>
        <w:tabs>
          <w:tab w:leader="none" w:pos="3195"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payment made to a Lender under any Loan Document would be subject to United States federal withholding Tax imposed by FATCA if such Lender were to fail to comply with the applicable reporting requirements of FATCA (including those contained in Section 1471(b) or 1472(b) of the Code, as applicable), such Lender shall deliver to Centuri and the Administrative Agent at the time or times prescribed by law and at such time or times reasonably requested by Centuri or the Administrative Agent such documentation prescribed by Applicable Law (including as prescribed by Section 1471(b)(3)(C)(i) of the Code) and such additional documentation reasonably requested by Centuri or the Administrative Agent as may be necessary for the US Borrowers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68" w:lineRule="exact"/>
        <w:rPr>
          <w:sz w:val="20"/>
          <w:szCs w:val="20"/>
          <w:color w:val="auto"/>
        </w:rPr>
      </w:pPr>
    </w:p>
    <w:p>
      <w:pPr>
        <w:jc w:val="both"/>
        <w:ind w:left="680" w:firstLine="642"/>
        <w:spacing w:after="0" w:line="250" w:lineRule="auto"/>
        <w:rPr>
          <w:sz w:val="20"/>
          <w:szCs w:val="20"/>
          <w:color w:val="auto"/>
        </w:rPr>
      </w:pPr>
      <w:r>
        <w:rPr>
          <w:rFonts w:ascii="Times New Roman" w:cs="Times New Roman" w:eastAsia="Times New Roman" w:hAnsi="Times New Roman"/>
          <w:sz w:val="20"/>
          <w:szCs w:val="20"/>
          <w:color w:val="auto"/>
        </w:rPr>
        <w:t xml:space="preserve">Each Lender agrees that (x) it shall promptly notify Centuri and the Administrative Agent of any change in circumstances which would modify or render invalid any claimed exemption or reduction to withholding and (y) if any form or certification it previously delivered expires or becomes obsolete or inaccurate in any respect, it shall update such form or certification or promptly notify Centuri and the Administrative Agent in writing of its legal inability to do so;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updating or notification is required to be made on account of any Canadian withholding tax if no form or certification has been previously delivered for Canadian withholding tax purposes.</w:t>
      </w:r>
    </w:p>
    <w:p>
      <w:pPr>
        <w:spacing w:after="0" w:line="181" w:lineRule="exact"/>
        <w:rPr>
          <w:sz w:val="20"/>
          <w:szCs w:val="20"/>
          <w:color w:val="auto"/>
        </w:rPr>
      </w:pPr>
    </w:p>
    <w:p>
      <w:pPr>
        <w:jc w:val="both"/>
        <w:ind w:left="680" w:firstLine="646"/>
        <w:spacing w:after="0" w:line="247" w:lineRule="auto"/>
        <w:tabs>
          <w:tab w:leader="none" w:pos="1925" w:val="left"/>
        </w:tabs>
        <w:numPr>
          <w:ilvl w:val="1"/>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Treatment of Certain Refunds</w:t>
      </w:r>
      <w:r>
        <w:rPr>
          <w:rFonts w:ascii="Times New Roman" w:cs="Times New Roman" w:eastAsia="Times New Roman" w:hAnsi="Times New Roman"/>
          <w:sz w:val="20"/>
          <w:szCs w:val="20"/>
          <w:color w:val="auto"/>
        </w:rPr>
        <w:t xml:space="preserve">. If any party determines, in its sole discretion exercised in good faith, that it has received a refund of any Taxes as to which it has been indemnified pursuant to this </w:t>
      </w:r>
      <w:r>
        <w:rPr>
          <w:rFonts w:ascii="Times New Roman" w:cs="Times New Roman" w:eastAsia="Times New Roman" w:hAnsi="Times New Roman"/>
          <w:sz w:val="20"/>
          <w:szCs w:val="20"/>
          <w:u w:val="single" w:color="auto"/>
          <w:color w:val="auto"/>
        </w:rPr>
        <w:t>Section 5.11</w:t>
      </w:r>
      <w:r>
        <w:rPr>
          <w:rFonts w:ascii="Times New Roman" w:cs="Times New Roman" w:eastAsia="Times New Roman" w:hAnsi="Times New Roman"/>
          <w:sz w:val="20"/>
          <w:szCs w:val="20"/>
          <w:color w:val="auto"/>
        </w:rPr>
        <w:t xml:space="preserve"> (including by the payment of additional amounts pursuant to this </w:t>
      </w:r>
      <w:r>
        <w:rPr>
          <w:rFonts w:ascii="Times New Roman" w:cs="Times New Roman" w:eastAsia="Times New Roman" w:hAnsi="Times New Roman"/>
          <w:sz w:val="20"/>
          <w:szCs w:val="20"/>
          <w:u w:val="single" w:color="auto"/>
          <w:color w:val="auto"/>
        </w:rPr>
        <w:t>Section 5.11</w:t>
      </w:r>
      <w:r>
        <w:rPr>
          <w:rFonts w:ascii="Times New Roman" w:cs="Times New Roman" w:eastAsia="Times New Roman" w:hAnsi="Times New Roman"/>
          <w:sz w:val="20"/>
          <w:szCs w:val="20"/>
          <w:color w:val="auto"/>
        </w:rPr>
        <w:t>),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(h) (plus any penalties, interest or other charges imposed by the relevant Governmental Authority) in the event that such indemnified party is required to repay such refund to such Governmental Authority. Notwithstanding anything to the contrary in this paragraph (h), in no event will the indemnified party be required to pay any amount to an indemnifying party pursuant to this paragraph</w:t>
      </w:r>
    </w:p>
    <w:p>
      <w:pPr>
        <w:spacing w:after="0" w:line="8" w:lineRule="exact"/>
        <w:rPr>
          <w:rFonts w:ascii="Times New Roman" w:cs="Times New Roman" w:eastAsia="Times New Roman" w:hAnsi="Times New Roman"/>
          <w:sz w:val="20"/>
          <w:szCs w:val="20"/>
          <w:color w:val="auto"/>
        </w:rPr>
      </w:pPr>
    </w:p>
    <w:p>
      <w:pPr>
        <w:ind w:left="1280" w:hanging="596"/>
        <w:spacing w:after="0"/>
        <w:tabs>
          <w:tab w:leader="none" w:pos="1280" w:val="left"/>
        </w:tabs>
        <w:numPr>
          <w:ilvl w:val="0"/>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payment of which would place the indemnified party in a less favorable net after-Tax position than the indemnified party</w:t>
      </w:r>
    </w:p>
    <w:p>
      <w:pPr>
        <w:spacing w:after="0" w:line="14" w:lineRule="exact"/>
        <w:rPr>
          <w:sz w:val="20"/>
          <w:szCs w:val="20"/>
          <w:color w:val="auto"/>
        </w:rPr>
      </w:pPr>
    </w:p>
    <w:p>
      <w:pPr>
        <w:jc w:val="both"/>
        <w:ind w:left="680"/>
        <w:spacing w:after="0" w:line="250" w:lineRule="auto"/>
        <w:rPr>
          <w:sz w:val="20"/>
          <w:szCs w:val="20"/>
          <w:color w:val="auto"/>
        </w:rPr>
      </w:pPr>
      <w:r>
        <w:rPr>
          <w:rFonts w:ascii="Times New Roman" w:cs="Times New Roman" w:eastAsia="Times New Roman" w:hAnsi="Times New Roman"/>
          <w:sz w:val="20"/>
          <w:szCs w:val="20"/>
          <w:color w:val="auto"/>
        </w:rPr>
        <w:t>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70">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155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304" w:name="page305"/>
    <w:bookmarkEnd w:id="304"/>
    <w:p>
      <w:pPr>
        <w:spacing w:after="0" w:line="81" w:lineRule="exact"/>
        <w:rPr>
          <w:sz w:val="20"/>
          <w:szCs w:val="20"/>
          <w:color w:val="auto"/>
        </w:rPr>
      </w:pPr>
    </w:p>
    <w:p>
      <w:pPr>
        <w:ind w:left="680" w:firstLine="646"/>
        <w:spacing w:after="0" w:line="277" w:lineRule="auto"/>
        <w:tabs>
          <w:tab w:leader="none" w:pos="1922"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Each party’s obligations under this </w:t>
      </w:r>
      <w:r>
        <w:rPr>
          <w:rFonts w:ascii="Times New Roman" w:cs="Times New Roman" w:eastAsia="Times New Roman" w:hAnsi="Times New Roman"/>
          <w:sz w:val="20"/>
          <w:szCs w:val="20"/>
          <w:u w:val="single" w:color="auto"/>
          <w:color w:val="auto"/>
        </w:rPr>
        <w:t>Section 5.11</w:t>
      </w:r>
      <w:r>
        <w:rPr>
          <w:rFonts w:ascii="Times New Roman" w:cs="Times New Roman" w:eastAsia="Times New Roman" w:hAnsi="Times New Roman"/>
          <w:sz w:val="20"/>
          <w:szCs w:val="20"/>
          <w:color w:val="auto"/>
        </w:rPr>
        <w:t xml:space="preserve"> shall survive the resignation or replacement of the Administrative Agent or any assignment of rights by, or the replacement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71">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156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060"/>
          </w:cols>
          <w:pgMar w:left="320" w:top="1440" w:right="519" w:bottom="1440" w:gutter="0" w:footer="0" w:header="0"/>
        </w:sectPr>
      </w:pPr>
    </w:p>
    <w:bookmarkStart w:id="305" w:name="page306"/>
    <w:bookmarkEnd w:id="305"/>
    <w:p>
      <w:pPr>
        <w:spacing w:after="0" w:line="201" w:lineRule="exact"/>
        <w:rPr>
          <w:sz w:val="20"/>
          <w:szCs w:val="20"/>
          <w:color w:val="auto"/>
        </w:rPr>
      </w:pPr>
    </w:p>
    <w:p>
      <w:pPr>
        <w:ind w:left="680" w:right="760"/>
        <w:spacing w:after="0" w:line="263" w:lineRule="auto"/>
        <w:rPr>
          <w:sz w:val="20"/>
          <w:szCs w:val="20"/>
          <w:color w:val="auto"/>
        </w:rPr>
      </w:pPr>
      <w:r>
        <w:rPr>
          <w:rFonts w:ascii="Times New Roman" w:cs="Times New Roman" w:eastAsia="Times New Roman" w:hAnsi="Times New Roman"/>
          <w:sz w:val="20"/>
          <w:szCs w:val="20"/>
          <w:color w:val="auto"/>
        </w:rPr>
        <w:t>Lender, the termination of the Commitments and the repayment, satisfaction or discharge of all obligations under any Loan Document.</w:t>
      </w:r>
    </w:p>
    <w:p>
      <w:pPr>
        <w:spacing w:after="0" w:line="178" w:lineRule="exact"/>
        <w:rPr>
          <w:sz w:val="20"/>
          <w:szCs w:val="20"/>
          <w:color w:val="auto"/>
        </w:rPr>
      </w:pPr>
    </w:p>
    <w:p>
      <w:pPr>
        <w:ind w:left="1320"/>
        <w:spacing w:after="0"/>
        <w:tabs>
          <w:tab w:leader="none" w:pos="2720" w:val="left"/>
        </w:tabs>
        <w:rPr>
          <w:sz w:val="20"/>
          <w:szCs w:val="20"/>
          <w:color w:val="auto"/>
        </w:rPr>
      </w:pPr>
      <w:r>
        <w:rPr>
          <w:rFonts w:ascii="Times New Roman" w:cs="Times New Roman" w:eastAsia="Times New Roman" w:hAnsi="Times New Roman"/>
          <w:sz w:val="20"/>
          <w:szCs w:val="20"/>
          <w:color w:val="auto"/>
        </w:rPr>
        <w:t>SECTION 5.12</w:t>
      </w:r>
      <w:r>
        <w:rPr>
          <w:sz w:val="20"/>
          <w:szCs w:val="20"/>
          <w:color w:val="auto"/>
        </w:rPr>
        <w:tab/>
      </w:r>
      <w:r>
        <w:rPr>
          <w:rFonts w:ascii="Times New Roman" w:cs="Times New Roman" w:eastAsia="Times New Roman" w:hAnsi="Times New Roman"/>
          <w:sz w:val="19"/>
          <w:szCs w:val="19"/>
          <w:u w:val="single" w:color="auto"/>
          <w:color w:val="auto"/>
        </w:rPr>
        <w:t>Mitigation Obligations; Replacement of Lenders</w:t>
      </w:r>
      <w:r>
        <w:rPr>
          <w:rFonts w:ascii="Times New Roman" w:cs="Times New Roman" w:eastAsia="Times New Roman" w:hAnsi="Times New Roman"/>
          <w:sz w:val="19"/>
          <w:szCs w:val="19"/>
          <w:color w:val="auto"/>
        </w:rPr>
        <w:t>.</w:t>
      </w:r>
    </w:p>
    <w:p>
      <w:pPr>
        <w:spacing w:after="0" w:line="211" w:lineRule="exact"/>
        <w:rPr>
          <w:sz w:val="20"/>
          <w:szCs w:val="20"/>
          <w:color w:val="auto"/>
        </w:rPr>
      </w:pPr>
    </w:p>
    <w:p>
      <w:pPr>
        <w:jc w:val="both"/>
        <w:ind w:left="680" w:right="20" w:firstLine="646"/>
        <w:spacing w:after="0" w:line="249" w:lineRule="auto"/>
        <w:tabs>
          <w:tab w:leader="none" w:pos="1927"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Designation of a Different Lending Office</w:t>
      </w:r>
      <w:r>
        <w:rPr>
          <w:rFonts w:ascii="Times New Roman" w:cs="Times New Roman" w:eastAsia="Times New Roman" w:hAnsi="Times New Roman"/>
          <w:sz w:val="20"/>
          <w:szCs w:val="20"/>
          <w:color w:val="auto"/>
        </w:rPr>
        <w:t xml:space="preserve">. If any Lender requests compensation under </w:t>
      </w:r>
      <w:r>
        <w:rPr>
          <w:rFonts w:ascii="Times New Roman" w:cs="Times New Roman" w:eastAsia="Times New Roman" w:hAnsi="Times New Roman"/>
          <w:sz w:val="20"/>
          <w:szCs w:val="20"/>
          <w:u w:val="single" w:color="auto"/>
          <w:color w:val="auto"/>
        </w:rPr>
        <w:t>Section 5.10</w:t>
      </w:r>
      <w:r>
        <w:rPr>
          <w:rFonts w:ascii="Times New Roman" w:cs="Times New Roman" w:eastAsia="Times New Roman" w:hAnsi="Times New Roman"/>
          <w:sz w:val="20"/>
          <w:szCs w:val="20"/>
          <w:color w:val="auto"/>
        </w:rPr>
        <w:t xml:space="preserve">, or requires any Borrower to pay any Indemnified Taxes or additional amounts to any Lender or any Governmental Authority for the account of any Lender pursuant to </w:t>
      </w:r>
      <w:r>
        <w:rPr>
          <w:rFonts w:ascii="Times New Roman" w:cs="Times New Roman" w:eastAsia="Times New Roman" w:hAnsi="Times New Roman"/>
          <w:sz w:val="20"/>
          <w:szCs w:val="20"/>
          <w:u w:val="single" w:color="auto"/>
          <w:color w:val="auto"/>
        </w:rPr>
        <w:t>Section 5.11</w:t>
      </w:r>
      <w:r>
        <w:rPr>
          <w:rFonts w:ascii="Times New Roman" w:cs="Times New Roman" w:eastAsia="Times New Roman" w:hAnsi="Times New Roman"/>
          <w:sz w:val="20"/>
          <w:szCs w:val="20"/>
          <w:color w:val="auto"/>
        </w:rPr>
        <w:t xml:space="preserve">, or determines that it is unable to fulfill its obligations hereunder due to illegality pursuant to </w:t>
      </w:r>
      <w:r>
        <w:rPr>
          <w:rFonts w:ascii="Times New Roman" w:cs="Times New Roman" w:eastAsia="Times New Roman" w:hAnsi="Times New Roman"/>
          <w:sz w:val="20"/>
          <w:szCs w:val="20"/>
          <w:u w:val="single" w:color="auto"/>
          <w:color w:val="auto"/>
        </w:rPr>
        <w:t>Section 5.8(d)</w:t>
      </w:r>
      <w:r>
        <w:rPr>
          <w:rFonts w:ascii="Times New Roman" w:cs="Times New Roman" w:eastAsia="Times New Roman" w:hAnsi="Times New Roman"/>
          <w:sz w:val="20"/>
          <w:szCs w:val="20"/>
          <w:color w:val="auto"/>
        </w:rPr>
        <w:t xml:space="preserve">, then such Lender shall, at the request of the Borrowers,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20"/>
          <w:szCs w:val="20"/>
          <w:u w:val="single" w:color="auto"/>
          <w:color w:val="auto"/>
        </w:rPr>
        <w:t>Section 5.10</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5.11</w:t>
      </w:r>
      <w:r>
        <w:rPr>
          <w:rFonts w:ascii="Times New Roman" w:cs="Times New Roman" w:eastAsia="Times New Roman" w:hAnsi="Times New Roman"/>
          <w:sz w:val="20"/>
          <w:szCs w:val="20"/>
          <w:color w:val="auto"/>
        </w:rPr>
        <w:t xml:space="preserve"> or avoid illegality under </w:t>
      </w:r>
      <w:r>
        <w:rPr>
          <w:rFonts w:ascii="Times New Roman" w:cs="Times New Roman" w:eastAsia="Times New Roman" w:hAnsi="Times New Roman"/>
          <w:sz w:val="20"/>
          <w:szCs w:val="20"/>
          <w:u w:val="single" w:color="auto"/>
          <w:color w:val="auto"/>
        </w:rPr>
        <w:t>Section 5.8(d)</w:t>
      </w:r>
      <w:r>
        <w:rPr>
          <w:rFonts w:ascii="Times New Roman" w:cs="Times New Roman" w:eastAsia="Times New Roman" w:hAnsi="Times New Roman"/>
          <w:sz w:val="20"/>
          <w:szCs w:val="20"/>
          <w:color w:val="auto"/>
        </w:rPr>
        <w:t>, as the case may be, in the future and (ii) would not subject such Lender to any unreimbursed cost or expense and would not otherwise be disadvantageous to such Lender. Each Borrower hereby agrees to pay all reasonable costs and expenses incurred by any Lender in connection with any such designation or assignment.</w:t>
      </w:r>
    </w:p>
    <w:p>
      <w:pPr>
        <w:spacing w:after="0" w:line="168" w:lineRule="exact"/>
        <w:rPr>
          <w:rFonts w:ascii="Times New Roman" w:cs="Times New Roman" w:eastAsia="Times New Roman" w:hAnsi="Times New Roman"/>
          <w:sz w:val="20"/>
          <w:szCs w:val="20"/>
          <w:color w:val="auto"/>
        </w:rPr>
      </w:pPr>
    </w:p>
    <w:p>
      <w:pPr>
        <w:jc w:val="both"/>
        <w:ind w:left="680" w:firstLine="646"/>
        <w:spacing w:after="0" w:line="249" w:lineRule="auto"/>
        <w:tabs>
          <w:tab w:leader="none" w:pos="1925"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Replacement of Lenders</w:t>
      </w:r>
      <w:r>
        <w:rPr>
          <w:rFonts w:ascii="Times New Roman" w:cs="Times New Roman" w:eastAsia="Times New Roman" w:hAnsi="Times New Roman"/>
          <w:sz w:val="20"/>
          <w:szCs w:val="20"/>
          <w:color w:val="auto"/>
        </w:rPr>
        <w:t xml:space="preserve">. If any Lender requests compensation under </w:t>
      </w:r>
      <w:r>
        <w:rPr>
          <w:rFonts w:ascii="Times New Roman" w:cs="Times New Roman" w:eastAsia="Times New Roman" w:hAnsi="Times New Roman"/>
          <w:sz w:val="20"/>
          <w:szCs w:val="20"/>
          <w:u w:val="single" w:color="auto"/>
          <w:color w:val="auto"/>
        </w:rPr>
        <w:t>Section 5.10</w:t>
      </w:r>
      <w:r>
        <w:rPr>
          <w:rFonts w:ascii="Times New Roman" w:cs="Times New Roman" w:eastAsia="Times New Roman" w:hAnsi="Times New Roman"/>
          <w:sz w:val="20"/>
          <w:szCs w:val="20"/>
          <w:color w:val="auto"/>
        </w:rPr>
        <w:t xml:space="preserve">, or if the Borrowers are required to pay any Indemnified Taxes or additional amounts to any Lender or any Governmental Authority for the account of any Lender pursuant to </w:t>
      </w:r>
      <w:r>
        <w:rPr>
          <w:rFonts w:ascii="Times New Roman" w:cs="Times New Roman" w:eastAsia="Times New Roman" w:hAnsi="Times New Roman"/>
          <w:sz w:val="20"/>
          <w:szCs w:val="20"/>
          <w:u w:val="single" w:color="auto"/>
          <w:color w:val="auto"/>
        </w:rPr>
        <w:t>Section 5.11</w:t>
      </w:r>
      <w:r>
        <w:rPr>
          <w:rFonts w:ascii="Times New Roman" w:cs="Times New Roman" w:eastAsia="Times New Roman" w:hAnsi="Times New Roman"/>
          <w:sz w:val="20"/>
          <w:szCs w:val="20"/>
          <w:color w:val="auto"/>
        </w:rPr>
        <w:t xml:space="preserve">, or any Lender determines that it is unable to fulfill its obligations hereunder due to illegality pursuant to </w:t>
      </w:r>
      <w:r>
        <w:rPr>
          <w:rFonts w:ascii="Times New Roman" w:cs="Times New Roman" w:eastAsia="Times New Roman" w:hAnsi="Times New Roman"/>
          <w:sz w:val="20"/>
          <w:szCs w:val="20"/>
          <w:u w:val="single" w:color="auto"/>
          <w:color w:val="auto"/>
        </w:rPr>
        <w:t>Section 5.8(d)</w:t>
      </w:r>
      <w:r>
        <w:rPr>
          <w:rFonts w:ascii="Times New Roman" w:cs="Times New Roman" w:eastAsia="Times New Roman" w:hAnsi="Times New Roman"/>
          <w:sz w:val="20"/>
          <w:szCs w:val="20"/>
          <w:color w:val="auto"/>
        </w:rPr>
        <w:t xml:space="preserve"> and, in each case, such Lender has declined or is unable to designate a different Lending Office in accordance with </w:t>
      </w:r>
      <w:r>
        <w:rPr>
          <w:rFonts w:ascii="Times New Roman" w:cs="Times New Roman" w:eastAsia="Times New Roman" w:hAnsi="Times New Roman"/>
          <w:sz w:val="20"/>
          <w:szCs w:val="20"/>
          <w:u w:val="single" w:color="auto"/>
          <w:color w:val="auto"/>
        </w:rPr>
        <w:t>Section 5.12(a)</w:t>
      </w:r>
      <w:r>
        <w:rPr>
          <w:rFonts w:ascii="Times New Roman" w:cs="Times New Roman" w:eastAsia="Times New Roman" w:hAnsi="Times New Roman"/>
          <w:sz w:val="20"/>
          <w:szCs w:val="20"/>
          <w:color w:val="auto"/>
        </w:rPr>
        <w:t xml:space="preserve">, or if any Lender is a Defaulting Lender or a Non-Consenting Lender, then the Borrowers may, at their sole expense and effort, upon notice to such Lender and the Administrative Agent, require such Lender to assign and delegate, without recourse (in accordance with and subject to the restrictions contained in, and consents required by, </w:t>
      </w:r>
      <w:r>
        <w:rPr>
          <w:rFonts w:ascii="Times New Roman" w:cs="Times New Roman" w:eastAsia="Times New Roman" w:hAnsi="Times New Roman"/>
          <w:sz w:val="20"/>
          <w:szCs w:val="20"/>
          <w:u w:val="single" w:color="auto"/>
          <w:color w:val="auto"/>
        </w:rPr>
        <w:t>Section 12.9</w:t>
      </w:r>
      <w:r>
        <w:rPr>
          <w:rFonts w:ascii="Times New Roman" w:cs="Times New Roman" w:eastAsia="Times New Roman" w:hAnsi="Times New Roman"/>
          <w:sz w:val="20"/>
          <w:szCs w:val="20"/>
          <w:color w:val="auto"/>
        </w:rPr>
        <w:t xml:space="preserve">), all of its interests, rights (other than its existing rights to payments pursuant to </w:t>
      </w:r>
      <w:r>
        <w:rPr>
          <w:rFonts w:ascii="Times New Roman" w:cs="Times New Roman" w:eastAsia="Times New Roman" w:hAnsi="Times New Roman"/>
          <w:sz w:val="20"/>
          <w:szCs w:val="20"/>
          <w:u w:val="single" w:color="auto"/>
          <w:color w:val="auto"/>
        </w:rPr>
        <w:t>Section 5.10</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5.11</w:t>
      </w:r>
      <w:r>
        <w:rPr>
          <w:rFonts w:ascii="Times New Roman" w:cs="Times New Roman" w:eastAsia="Times New Roman" w:hAnsi="Times New Roman"/>
          <w:sz w:val="20"/>
          <w:szCs w:val="20"/>
          <w:color w:val="auto"/>
        </w:rPr>
        <w:t xml:space="preserve">) and obligations under this Agreement and the related Loan Documents to an Eligible Assignee that shall assume such obligations (which assignee may be another Lender, if a Lender accepts such assignment);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68" w:lineRule="exact"/>
        <w:rPr>
          <w:rFonts w:ascii="Times New Roman" w:cs="Times New Roman" w:eastAsia="Times New Roman" w:hAnsi="Times New Roman"/>
          <w:sz w:val="20"/>
          <w:szCs w:val="20"/>
          <w:color w:val="auto"/>
        </w:rPr>
      </w:pPr>
    </w:p>
    <w:p>
      <w:pPr>
        <w:ind w:left="2560" w:hanging="592"/>
        <w:spacing w:after="0"/>
        <w:tabs>
          <w:tab w:leader="none" w:pos="2560" w:val="left"/>
        </w:tabs>
        <w:numPr>
          <w:ilvl w:val="1"/>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Borrowers shall have paid to the Administrative Agent the assignment fee (if any) specified in </w:t>
      </w:r>
      <w:r>
        <w:rPr>
          <w:rFonts w:ascii="Times New Roman" w:cs="Times New Roman" w:eastAsia="Times New Roman" w:hAnsi="Times New Roman"/>
          <w:sz w:val="20"/>
          <w:szCs w:val="20"/>
          <w:u w:val="single" w:color="auto"/>
          <w:color w:val="auto"/>
        </w:rPr>
        <w:t>Section</w:t>
      </w:r>
    </w:p>
    <w:p>
      <w:pPr>
        <w:spacing w:after="0" w:line="24" w:lineRule="exact"/>
        <w:rPr>
          <w:rFonts w:ascii="Times New Roman" w:cs="Times New Roman" w:eastAsia="Times New Roman" w:hAnsi="Times New Roman"/>
          <w:sz w:val="20"/>
          <w:szCs w:val="20"/>
          <w:color w:val="auto"/>
        </w:rPr>
      </w:pPr>
    </w:p>
    <w:p>
      <w:pPr>
        <w:ind w:left="13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12.9</w:t>
      </w:r>
      <w:r>
        <w:rPr>
          <w:rFonts w:ascii="Times New Roman" w:cs="Times New Roman" w:eastAsia="Times New Roman" w:hAnsi="Times New Roman"/>
          <w:sz w:val="20"/>
          <w:szCs w:val="20"/>
          <w:color w:val="auto"/>
        </w:rPr>
        <w:t>;</w:t>
      </w:r>
    </w:p>
    <w:p>
      <w:pPr>
        <w:spacing w:after="0" w:line="197" w:lineRule="exact"/>
        <w:rPr>
          <w:rFonts w:ascii="Times New Roman" w:cs="Times New Roman" w:eastAsia="Times New Roman" w:hAnsi="Times New Roman"/>
          <w:sz w:val="20"/>
          <w:szCs w:val="20"/>
          <w:color w:val="auto"/>
        </w:rPr>
      </w:pPr>
    </w:p>
    <w:p>
      <w:pPr>
        <w:jc w:val="both"/>
        <w:ind w:left="1320" w:right="20" w:firstLine="648"/>
        <w:spacing w:after="0" w:line="254" w:lineRule="auto"/>
        <w:tabs>
          <w:tab w:leader="none" w:pos="2562" w:val="left"/>
        </w:tabs>
        <w:numPr>
          <w:ilvl w:val="1"/>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Lender shall have received payment of an amount equal to the outstanding principal of its Loans and funded participations in Letters of Credit and Swingline Loans, accrued interest thereon, accrued fees and all other amounts payable to it hereunder and under the other Loan Documents (including any amounts under </w:t>
      </w:r>
      <w:r>
        <w:rPr>
          <w:rFonts w:ascii="Times New Roman" w:cs="Times New Roman" w:eastAsia="Times New Roman" w:hAnsi="Times New Roman"/>
          <w:sz w:val="20"/>
          <w:szCs w:val="20"/>
          <w:u w:val="single" w:color="auto"/>
          <w:color w:val="auto"/>
        </w:rPr>
        <w:t>Section 5.9</w:t>
      </w:r>
      <w:r>
        <w:rPr>
          <w:rFonts w:ascii="Times New Roman" w:cs="Times New Roman" w:eastAsia="Times New Roman" w:hAnsi="Times New Roman"/>
          <w:sz w:val="20"/>
          <w:szCs w:val="20"/>
          <w:color w:val="auto"/>
        </w:rPr>
        <w:t>) from the assignee (to the extent of such outstanding principal and accrued interest and fees) or the Borrowers (in the case of all other amounts);</w:t>
      </w:r>
    </w:p>
    <w:p>
      <w:pPr>
        <w:spacing w:after="0" w:line="173" w:lineRule="exact"/>
        <w:rPr>
          <w:rFonts w:ascii="Times New Roman" w:cs="Times New Roman" w:eastAsia="Times New Roman" w:hAnsi="Times New Roman"/>
          <w:sz w:val="20"/>
          <w:szCs w:val="20"/>
          <w:color w:val="auto"/>
        </w:rPr>
      </w:pPr>
    </w:p>
    <w:p>
      <w:pPr>
        <w:jc w:val="both"/>
        <w:ind w:left="1320" w:right="40" w:firstLine="648"/>
        <w:spacing w:after="0" w:line="257" w:lineRule="auto"/>
        <w:tabs>
          <w:tab w:leader="none" w:pos="2563" w:val="left"/>
        </w:tabs>
        <w:numPr>
          <w:ilvl w:val="1"/>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any such assignment resulting from a claim for compensation under </w:t>
      </w:r>
      <w:r>
        <w:rPr>
          <w:rFonts w:ascii="Times New Roman" w:cs="Times New Roman" w:eastAsia="Times New Roman" w:hAnsi="Times New Roman"/>
          <w:sz w:val="20"/>
          <w:szCs w:val="20"/>
          <w:u w:val="single" w:color="auto"/>
          <w:color w:val="auto"/>
        </w:rPr>
        <w:t>Section 5.10</w:t>
      </w:r>
      <w:r>
        <w:rPr>
          <w:rFonts w:ascii="Times New Roman" w:cs="Times New Roman" w:eastAsia="Times New Roman" w:hAnsi="Times New Roman"/>
          <w:sz w:val="20"/>
          <w:szCs w:val="20"/>
          <w:color w:val="auto"/>
        </w:rPr>
        <w:t xml:space="preserve"> or payments required to be made pursuant to </w:t>
      </w:r>
      <w:r>
        <w:rPr>
          <w:rFonts w:ascii="Times New Roman" w:cs="Times New Roman" w:eastAsia="Times New Roman" w:hAnsi="Times New Roman"/>
          <w:sz w:val="20"/>
          <w:szCs w:val="20"/>
          <w:u w:val="single" w:color="auto"/>
          <w:color w:val="auto"/>
        </w:rPr>
        <w:t>Section 5.11</w:t>
      </w:r>
      <w:r>
        <w:rPr>
          <w:rFonts w:ascii="Times New Roman" w:cs="Times New Roman" w:eastAsia="Times New Roman" w:hAnsi="Times New Roman"/>
          <w:sz w:val="20"/>
          <w:szCs w:val="20"/>
          <w:color w:val="auto"/>
        </w:rPr>
        <w:t>, such assignment will result in a reduction in such compensation or payments thereafter;</w:t>
      </w:r>
    </w:p>
    <w:p>
      <w:pPr>
        <w:spacing w:after="0" w:line="183" w:lineRule="exact"/>
        <w:rPr>
          <w:rFonts w:ascii="Times New Roman" w:cs="Times New Roman" w:eastAsia="Times New Roman" w:hAnsi="Times New Roman"/>
          <w:sz w:val="20"/>
          <w:szCs w:val="20"/>
          <w:color w:val="auto"/>
        </w:rPr>
      </w:pPr>
    </w:p>
    <w:p>
      <w:pPr>
        <w:ind w:left="2600" w:hanging="631"/>
        <w:spacing w:after="0"/>
        <w:tabs>
          <w:tab w:leader="none" w:pos="2600" w:val="left"/>
        </w:tabs>
        <w:numPr>
          <w:ilvl w:val="1"/>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assignment does not conflict with Applicable Law; and</w:t>
      </w:r>
    </w:p>
    <w:p>
      <w:pPr>
        <w:spacing w:after="0" w:line="211" w:lineRule="exact"/>
        <w:rPr>
          <w:rFonts w:ascii="Times New Roman" w:cs="Times New Roman" w:eastAsia="Times New Roman" w:hAnsi="Times New Roman"/>
          <w:sz w:val="20"/>
          <w:szCs w:val="20"/>
          <w:color w:val="auto"/>
        </w:rPr>
      </w:pPr>
    </w:p>
    <w:p>
      <w:pPr>
        <w:ind w:left="1320" w:right="40" w:firstLine="648"/>
        <w:spacing w:after="0" w:line="277" w:lineRule="auto"/>
        <w:tabs>
          <w:tab w:leader="none" w:pos="2565" w:val="left"/>
        </w:tabs>
        <w:numPr>
          <w:ilvl w:val="1"/>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assignment resulting from a Lender becoming a Non-Consenting Lender, the applicable assignee shall have consented to the applicable amendment, waiver or consent.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72">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157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306" w:name="page307"/>
    <w:bookmarkEnd w:id="306"/>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73">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158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0139"/>
          </w:cols>
          <w:pgMar w:left="320" w:top="1440" w:right="1440" w:bottom="1440" w:gutter="0" w:footer="0" w:header="0"/>
        </w:sectPr>
      </w:pPr>
    </w:p>
    <w:bookmarkStart w:id="307" w:name="page308"/>
    <w:bookmarkEnd w:id="307"/>
    <w:p>
      <w:pPr>
        <w:spacing w:after="0" w:line="202" w:lineRule="exact"/>
        <w:rPr>
          <w:sz w:val="20"/>
          <w:szCs w:val="20"/>
          <w:color w:val="auto"/>
        </w:rPr>
      </w:pPr>
    </w:p>
    <w:p>
      <w:pPr>
        <w:jc w:val="both"/>
        <w:ind w:left="680" w:right="40" w:firstLine="642"/>
        <w:spacing w:after="0" w:line="263" w:lineRule="auto"/>
        <w:rPr>
          <w:sz w:val="20"/>
          <w:szCs w:val="20"/>
          <w:color w:val="auto"/>
        </w:rPr>
      </w:pPr>
      <w:r>
        <w:rPr>
          <w:rFonts w:ascii="Times New Roman" w:cs="Times New Roman" w:eastAsia="Times New Roman" w:hAnsi="Times New Roman"/>
          <w:sz w:val="20"/>
          <w:szCs w:val="20"/>
          <w:color w:val="auto"/>
        </w:rPr>
        <w:t>A Lender shall not be required to make any such assignment or delegation if, prior thereto, as a result of a waiver by such Lender or otherwise, the circumstances entitling the Borrowers to require such assignment and delegation cease to apply.</w:t>
      </w:r>
    </w:p>
    <w:p>
      <w:pPr>
        <w:spacing w:after="0" w:line="178" w:lineRule="exact"/>
        <w:rPr>
          <w:sz w:val="20"/>
          <w:szCs w:val="20"/>
          <w:color w:val="auto"/>
        </w:rPr>
      </w:pPr>
    </w:p>
    <w:p>
      <w:pPr>
        <w:jc w:val="both"/>
        <w:ind w:left="680" w:right="20" w:firstLine="642"/>
        <w:spacing w:after="0" w:line="248" w:lineRule="auto"/>
        <w:rPr>
          <w:sz w:val="20"/>
          <w:szCs w:val="20"/>
          <w:color w:val="auto"/>
        </w:rPr>
      </w:pPr>
      <w:r>
        <w:rPr>
          <w:rFonts w:ascii="Times New Roman" w:cs="Times New Roman" w:eastAsia="Times New Roman" w:hAnsi="Times New Roman"/>
          <w:sz w:val="20"/>
          <w:szCs w:val="20"/>
          <w:color w:val="auto"/>
        </w:rPr>
        <w:t xml:space="preserve">Each party hereto agrees that (x) an assignment required pursuant to this </w:t>
      </w:r>
      <w:r>
        <w:rPr>
          <w:rFonts w:ascii="Times New Roman" w:cs="Times New Roman" w:eastAsia="Times New Roman" w:hAnsi="Times New Roman"/>
          <w:sz w:val="20"/>
          <w:szCs w:val="20"/>
          <w:u w:val="single" w:color="auto"/>
          <w:color w:val="auto"/>
        </w:rPr>
        <w:t>Section 5.12</w:t>
      </w:r>
      <w:r>
        <w:rPr>
          <w:rFonts w:ascii="Times New Roman" w:cs="Times New Roman" w:eastAsia="Times New Roman" w:hAnsi="Times New Roman"/>
          <w:sz w:val="20"/>
          <w:szCs w:val="20"/>
          <w:color w:val="auto"/>
        </w:rPr>
        <w:t xml:space="preserve"> may be effected pursuant to an Assignment and Assumption executed by Centuri, the Administrative Agent and the assignee and (y) the Lender required to make such assignment need not be a party thereto in order for such assignment to be effective and shall be deemed to have consented to and be bound by the terms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following the effectiveness of any such assignment, the other parties to such assignment agree to execute and deliver such documents necessary to evidence such assignment as reasonably requested by the applicable Lender or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any such documents shall be without recourse to or warranty by the parties thereto.</w:t>
      </w:r>
    </w:p>
    <w:p>
      <w:pPr>
        <w:spacing w:after="0" w:line="182" w:lineRule="exact"/>
        <w:rPr>
          <w:sz w:val="20"/>
          <w:szCs w:val="20"/>
          <w:color w:val="auto"/>
        </w:rPr>
      </w:pPr>
    </w:p>
    <w:p>
      <w:pPr>
        <w:ind w:left="1320"/>
        <w:spacing w:after="0"/>
        <w:tabs>
          <w:tab w:leader="none" w:pos="2720" w:val="left"/>
        </w:tabs>
        <w:rPr>
          <w:sz w:val="20"/>
          <w:szCs w:val="20"/>
          <w:color w:val="auto"/>
        </w:rPr>
      </w:pPr>
      <w:r>
        <w:rPr>
          <w:rFonts w:ascii="Times New Roman" w:cs="Times New Roman" w:eastAsia="Times New Roman" w:hAnsi="Times New Roman"/>
          <w:sz w:val="20"/>
          <w:szCs w:val="20"/>
          <w:color w:val="auto"/>
        </w:rPr>
        <w:t>SECTION 5.13</w:t>
      </w:r>
      <w:r>
        <w:rPr>
          <w:sz w:val="20"/>
          <w:szCs w:val="20"/>
          <w:color w:val="auto"/>
        </w:rPr>
        <w:tab/>
      </w:r>
      <w:r>
        <w:rPr>
          <w:rFonts w:ascii="Times New Roman" w:cs="Times New Roman" w:eastAsia="Times New Roman" w:hAnsi="Times New Roman"/>
          <w:sz w:val="19"/>
          <w:szCs w:val="19"/>
          <w:u w:val="single" w:color="auto"/>
          <w:color w:val="auto"/>
        </w:rPr>
        <w:t>Incremental Loans</w:t>
      </w:r>
      <w:r>
        <w:rPr>
          <w:rFonts w:ascii="Times New Roman" w:cs="Times New Roman" w:eastAsia="Times New Roman" w:hAnsi="Times New Roman"/>
          <w:sz w:val="19"/>
          <w:szCs w:val="19"/>
          <w:color w:val="auto"/>
        </w:rPr>
        <w:t>.</w:t>
      </w:r>
    </w:p>
    <w:p>
      <w:pPr>
        <w:spacing w:after="0" w:line="225" w:lineRule="exact"/>
        <w:rPr>
          <w:sz w:val="20"/>
          <w:szCs w:val="20"/>
          <w:color w:val="auto"/>
        </w:rPr>
      </w:pPr>
    </w:p>
    <w:p>
      <w:pPr>
        <w:jc w:val="both"/>
        <w:ind w:left="680" w:right="20" w:firstLine="646"/>
        <w:spacing w:after="0" w:line="246" w:lineRule="auto"/>
        <w:tabs>
          <w:tab w:leader="none" w:pos="1927" w:val="left"/>
        </w:tabs>
        <w:numPr>
          <w:ilvl w:val="1"/>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Request for Increase</w:t>
      </w:r>
      <w:r>
        <w:rPr>
          <w:rFonts w:ascii="Times New Roman" w:cs="Times New Roman" w:eastAsia="Times New Roman" w:hAnsi="Times New Roman"/>
          <w:sz w:val="20"/>
          <w:szCs w:val="20"/>
          <w:color w:val="auto"/>
        </w:rPr>
        <w:t>. At any time after the Closing Date, upon written notice to the Administrative Agent, the US Borrowers, or the Canadian Borrowers, as applicable, may, from time to time, request (i) one or more incremental term loans, including a borrowing of an additional term loan, the principal amount of which will be added to the tranche of Term Loan with the latest maturity date (an “</w:t>
      </w:r>
      <w:r>
        <w:rPr>
          <w:rFonts w:ascii="Times New Roman" w:cs="Times New Roman" w:eastAsia="Times New Roman" w:hAnsi="Times New Roman"/>
          <w:sz w:val="20"/>
          <w:szCs w:val="20"/>
          <w:u w:val="single" w:color="auto"/>
          <w:color w:val="auto"/>
        </w:rPr>
        <w:t>Incremental Term Loan</w:t>
      </w:r>
      <w:r>
        <w:rPr>
          <w:rFonts w:ascii="Times New Roman" w:cs="Times New Roman" w:eastAsia="Times New Roman" w:hAnsi="Times New Roman"/>
          <w:sz w:val="20"/>
          <w:szCs w:val="20"/>
          <w:color w:val="auto"/>
        </w:rPr>
        <w:t>”) or (ii) one or more increases in the Revolving Credit Commitments (an “</w:t>
      </w:r>
      <w:r>
        <w:rPr>
          <w:rFonts w:ascii="Times New Roman" w:cs="Times New Roman" w:eastAsia="Times New Roman" w:hAnsi="Times New Roman"/>
          <w:sz w:val="20"/>
          <w:szCs w:val="20"/>
          <w:u w:val="single" w:color="auto"/>
          <w:color w:val="auto"/>
        </w:rPr>
        <w:t>Incremental Revolving Credit Facility Increase</w:t>
      </w:r>
      <w:r>
        <w:rPr>
          <w:rFonts w:ascii="Times New Roman" w:cs="Times New Roman" w:eastAsia="Times New Roman" w:hAnsi="Times New Roman"/>
          <w:sz w:val="20"/>
          <w:szCs w:val="20"/>
          <w:color w:val="auto"/>
        </w:rPr>
        <w:t>” and, together with the initial principal amount of the Incremental Term Loans, the “</w:t>
      </w:r>
      <w:r>
        <w:rPr>
          <w:rFonts w:ascii="Times New Roman" w:cs="Times New Roman" w:eastAsia="Times New Roman" w:hAnsi="Times New Roman"/>
          <w:sz w:val="20"/>
          <w:szCs w:val="20"/>
          <w:u w:val="single" w:color="auto"/>
          <w:color w:val="auto"/>
        </w:rPr>
        <w:t>Incremental Increases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the aggregate principal amount for all such Incremental Increases and Incremental Equivalent Indebtedness incurred after the Closing Date shall not exceed the sum of (1) the greater of $300,000,000 and Consolidated EBITDA as of the most recently ended four consecutive fiscal quarter period for which financial statements and the related Officer’s Compliance Certificate have been delivered pursuant to </w:t>
      </w:r>
      <w:r>
        <w:rPr>
          <w:rFonts w:ascii="Times New Roman" w:cs="Times New Roman" w:eastAsia="Times New Roman" w:hAnsi="Times New Roman"/>
          <w:sz w:val="20"/>
          <w:szCs w:val="20"/>
          <w:u w:val="single" w:color="auto"/>
          <w:color w:val="auto"/>
        </w:rPr>
        <w:t>Sections 8.1(a)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8.2(a) plus</w:t>
      </w:r>
    </w:p>
    <w:p>
      <w:pPr>
        <w:spacing w:after="0" w:line="5" w:lineRule="exact"/>
        <w:rPr>
          <w:rFonts w:ascii="Times New Roman" w:cs="Times New Roman" w:eastAsia="Times New Roman" w:hAnsi="Times New Roman"/>
          <w:sz w:val="20"/>
          <w:szCs w:val="20"/>
          <w:color w:val="auto"/>
        </w:rPr>
      </w:pPr>
    </w:p>
    <w:p>
      <w:pPr>
        <w:jc w:val="both"/>
        <w:ind w:left="680" w:firstLine="4"/>
        <w:spacing w:after="0" w:line="246" w:lineRule="auto"/>
        <w:tabs>
          <w:tab w:leader="none" w:pos="999"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amount which, after giving pro forma effect to such Incremental Increase and/or Incremental Equivalent Indebtedness (assuming that the entire Incremental Increase and/or Incremental Equivalent Indebtedness is funded on the effective date thereof and after giving effect to the use of proceeds thereof and any permanent repayment of Indebtedness in connection therewith) pursuant to this clause (2), would not cause the Consolidated Net Leverage Ratio, as of the most recently ended four consecutive fiscal quarter period for which financial statements and the related Officer’s Compliance Certificate have been delivered pursuant to </w:t>
      </w:r>
      <w:r>
        <w:rPr>
          <w:rFonts w:ascii="Times New Roman" w:cs="Times New Roman" w:eastAsia="Times New Roman" w:hAnsi="Times New Roman"/>
          <w:sz w:val="20"/>
          <w:szCs w:val="20"/>
          <w:u w:val="single" w:color="auto"/>
          <w:color w:val="auto"/>
        </w:rPr>
        <w:t>Sections 8.1(a)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8.2(a)</w:t>
      </w:r>
      <w:r>
        <w:rPr>
          <w:rFonts w:ascii="Times New Roman" w:cs="Times New Roman" w:eastAsia="Times New Roman" w:hAnsi="Times New Roman"/>
          <w:sz w:val="20"/>
          <w:szCs w:val="20"/>
          <w:color w:val="auto"/>
        </w:rPr>
        <w:t xml:space="preserve"> (or in the case of any Incremental Term Loan, the proceeds of which will finance a substantially concurrent Limited Condition Acquisition, as of the LCA Test Date), to exceed 4.00 to 1.00 (in each case, as demonstrated by Centuri in a written certification to the Administrative Agent), (B) any such request for an increase shall be in a minimum amount of $5,000,000 (or C$5,000,000) for any Incremental Term Loan and $5,000,000 for any Incremental Revolving Credit Facility Increase or, if less, the remaining amount permitted pursuant to the foregoing clause (A) and (C) no Lender will be required or otherwise obligated to provide any portion of such Incremental Increase. Incremental Term Loans may be made to the US Borrowers in Dollars or to the Canadian Borrowers in Canadian Dollars. Unless the applicable Borrower otherwise notifies the Administrative Agent, if all or any portion of any Incremental Increases or Incremental Equivalent Indebtedness would be permitted under clause (A)(2) above on the applicable date of incurrence, such Incremental Increases or Incremental Equivalent Indebtedness (or the relevant portion thereof) shall be deemed to have been incurred in reliance on clause (A)(2) above prior to the utilization of any amount available under clause (A)(1) above.</w:t>
      </w:r>
    </w:p>
    <w:p>
      <w:pPr>
        <w:spacing w:after="0" w:line="173" w:lineRule="exact"/>
        <w:rPr>
          <w:rFonts w:ascii="Times New Roman" w:cs="Times New Roman" w:eastAsia="Times New Roman" w:hAnsi="Times New Roman"/>
          <w:sz w:val="20"/>
          <w:szCs w:val="20"/>
          <w:color w:val="auto"/>
        </w:rPr>
      </w:pPr>
    </w:p>
    <w:p>
      <w:pPr>
        <w:ind w:left="680" w:right="40" w:firstLine="646"/>
        <w:spacing w:after="0" w:line="263" w:lineRule="auto"/>
        <w:tabs>
          <w:tab w:leader="none" w:pos="1925" w:val="left"/>
        </w:tabs>
        <w:numPr>
          <w:ilvl w:val="1"/>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Incremental Lenders</w:t>
      </w:r>
      <w:r>
        <w:rPr>
          <w:rFonts w:ascii="Times New Roman" w:cs="Times New Roman" w:eastAsia="Times New Roman" w:hAnsi="Times New Roman"/>
          <w:sz w:val="20"/>
          <w:szCs w:val="20"/>
          <w:color w:val="auto"/>
        </w:rPr>
        <w:t>. Each notice from the applicable Borrower pursuant to this Section shall set forth the requested amount, currency and proposed terms of the relevant Incremental Increase.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74">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159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308" w:name="page309"/>
    <w:bookmarkEnd w:id="308"/>
    <w:p>
      <w:pPr>
        <w:spacing w:after="0" w:line="68" w:lineRule="exact"/>
        <w:rPr>
          <w:sz w:val="20"/>
          <w:szCs w:val="20"/>
          <w:color w:val="auto"/>
        </w:rPr>
      </w:pPr>
    </w:p>
    <w:p>
      <w:pPr>
        <w:ind w:left="680"/>
        <w:spacing w:after="0" w:line="277" w:lineRule="auto"/>
        <w:rPr>
          <w:sz w:val="20"/>
          <w:szCs w:val="20"/>
          <w:color w:val="auto"/>
        </w:rPr>
      </w:pPr>
      <w:r>
        <w:rPr>
          <w:rFonts w:ascii="Times New Roman" w:cs="Times New Roman" w:eastAsia="Times New Roman" w:hAnsi="Times New Roman"/>
          <w:sz w:val="20"/>
          <w:szCs w:val="20"/>
          <w:color w:val="auto"/>
        </w:rPr>
        <w:t>Incremental Increases may be provided by any existing Lender or by any other Persons (an “</w:t>
      </w:r>
      <w:r>
        <w:rPr>
          <w:rFonts w:ascii="Times New Roman" w:cs="Times New Roman" w:eastAsia="Times New Roman" w:hAnsi="Times New Roman"/>
          <w:sz w:val="20"/>
          <w:szCs w:val="20"/>
          <w:u w:val="single" w:color="auto"/>
          <w:color w:val="auto"/>
        </w:rPr>
        <w:t>Incremental Lender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Administrative Agent, each Issuing Lender and/or each Swingline Lender,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75">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160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060"/>
          </w:cols>
          <w:pgMar w:left="320" w:top="1440" w:right="519" w:bottom="1440" w:gutter="0" w:footer="0" w:header="0"/>
        </w:sectPr>
      </w:pPr>
    </w:p>
    <w:bookmarkStart w:id="309" w:name="page310"/>
    <w:bookmarkEnd w:id="309"/>
    <w:p>
      <w:pPr>
        <w:spacing w:after="0" w:line="202" w:lineRule="exact"/>
        <w:rPr>
          <w:sz w:val="20"/>
          <w:szCs w:val="20"/>
          <w:color w:val="auto"/>
        </w:rPr>
      </w:pPr>
    </w:p>
    <w:p>
      <w:pPr>
        <w:jc w:val="both"/>
        <w:ind w:left="680" w:right="40"/>
        <w:spacing w:after="0" w:line="262" w:lineRule="auto"/>
        <w:rPr>
          <w:sz w:val="20"/>
          <w:szCs w:val="20"/>
          <w:color w:val="auto"/>
        </w:rPr>
      </w:pPr>
      <w:r>
        <w:rPr>
          <w:rFonts w:ascii="Times New Roman" w:cs="Times New Roman" w:eastAsia="Times New Roman" w:hAnsi="Times New Roman"/>
          <w:sz w:val="19"/>
          <w:szCs w:val="19"/>
          <w:color w:val="auto"/>
        </w:rPr>
        <w:t xml:space="preserve">applicable, shall have consented (not to be unreasonably withheld, conditioned or delayed) to such Incremental Lender’s providing such Incremental Increases to the extent any such consent would be required under </w:t>
      </w:r>
      <w:r>
        <w:rPr>
          <w:rFonts w:ascii="Times New Roman" w:cs="Times New Roman" w:eastAsia="Times New Roman" w:hAnsi="Times New Roman"/>
          <w:sz w:val="19"/>
          <w:szCs w:val="19"/>
          <w:u w:val="single" w:color="auto"/>
          <w:color w:val="auto"/>
        </w:rPr>
        <w:t>Section 12.9(b)</w:t>
      </w:r>
      <w:r>
        <w:rPr>
          <w:rFonts w:ascii="Times New Roman" w:cs="Times New Roman" w:eastAsia="Times New Roman" w:hAnsi="Times New Roman"/>
          <w:sz w:val="19"/>
          <w:szCs w:val="19"/>
          <w:color w:val="auto"/>
        </w:rPr>
        <w:t xml:space="preserve"> for an assignment of Loans or Revolving Credit Commitments, as applicable, to such Incremental Lender. At the time of sending such notice, the applicable Borrower (in consultation with the Administrative Agent) shall specify the time period within which each Incremental Lender is requested to respond, which shall in no event be less than ten (10) Business Days from the date of delivery of such notice to the proposed Incremental Lenders (or such shorter period as may be approved by the Administrative Agent). Each proposed Incremental Lender may elect or decline, in its sole discretion, and shall notify the Administrative Agent within such time period whether it agrees, to provide an Incremental Increase and, if so, whether by an amount equal to, greater than or less than requested. Any Person not responding within such time period shall be deemed to have declined to provide an Incremental Increase.</w:t>
      </w:r>
    </w:p>
    <w:p>
      <w:pPr>
        <w:spacing w:after="0" w:line="167" w:lineRule="exact"/>
        <w:rPr>
          <w:sz w:val="20"/>
          <w:szCs w:val="20"/>
          <w:color w:val="auto"/>
        </w:rPr>
      </w:pPr>
    </w:p>
    <w:p>
      <w:pPr>
        <w:jc w:val="both"/>
        <w:ind w:left="680" w:firstLine="646"/>
        <w:spacing w:after="0" w:line="255" w:lineRule="auto"/>
        <w:tabs>
          <w:tab w:leader="none" w:pos="1927"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Increase Effective Date and Allocations</w:t>
      </w:r>
      <w:r>
        <w:rPr>
          <w:rFonts w:ascii="Times New Roman" w:cs="Times New Roman" w:eastAsia="Times New Roman" w:hAnsi="Times New Roman"/>
          <w:sz w:val="20"/>
          <w:szCs w:val="20"/>
          <w:color w:val="auto"/>
        </w:rPr>
        <w:t>. The Administrative Agent and the applicable Borrower shall determine the effective date (the “</w:t>
      </w:r>
      <w:r>
        <w:rPr>
          <w:rFonts w:ascii="Times New Roman" w:cs="Times New Roman" w:eastAsia="Times New Roman" w:hAnsi="Times New Roman"/>
          <w:sz w:val="20"/>
          <w:szCs w:val="20"/>
          <w:u w:val="single" w:color="auto"/>
          <w:color w:val="auto"/>
        </w:rPr>
        <w:t>Increase Effective Date</w:t>
      </w:r>
      <w:r>
        <w:rPr>
          <w:rFonts w:ascii="Times New Roman" w:cs="Times New Roman" w:eastAsia="Times New Roman" w:hAnsi="Times New Roman"/>
          <w:sz w:val="20"/>
          <w:szCs w:val="20"/>
          <w:color w:val="auto"/>
        </w:rPr>
        <w:t>”) and the final allocation of such Incremental Increase (limited in the case of the Incremental Lenders to their own respective allocations thereof). The Administrative Agent shall promptly notify the applicable Borrower and the Incremental Lenders of the final allocation of such Incremental Increases and the Increase Effective Date.</w:t>
      </w:r>
    </w:p>
    <w:p>
      <w:pPr>
        <w:spacing w:after="0" w:line="172" w:lineRule="exact"/>
        <w:rPr>
          <w:rFonts w:ascii="Times New Roman" w:cs="Times New Roman" w:eastAsia="Times New Roman" w:hAnsi="Times New Roman"/>
          <w:sz w:val="20"/>
          <w:szCs w:val="20"/>
          <w:color w:val="auto"/>
        </w:rPr>
      </w:pPr>
    </w:p>
    <w:p>
      <w:pPr>
        <w:ind w:left="680" w:right="40" w:firstLine="646"/>
        <w:spacing w:after="0" w:line="304" w:lineRule="auto"/>
        <w:tabs>
          <w:tab w:leader="none" w:pos="1925" w:val="left"/>
        </w:tabs>
        <w:numPr>
          <w:ilvl w:val="0"/>
          <w:numId w:val="1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Terms of Incremental Increases</w:t>
      </w:r>
      <w:r>
        <w:rPr>
          <w:rFonts w:ascii="Times New Roman" w:cs="Times New Roman" w:eastAsia="Times New Roman" w:hAnsi="Times New Roman"/>
          <w:sz w:val="19"/>
          <w:szCs w:val="19"/>
          <w:color w:val="auto"/>
        </w:rPr>
        <w:t xml:space="preserve">. The terms of each Incremental Increase (which shall be set forth in the relevant Incremental Amendment) shall be determined by the applicable Borrowers and the applicable Incremental Lenders;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spacing w:after="0" w:line="128" w:lineRule="exact"/>
        <w:rPr>
          <w:rFonts w:ascii="Times New Roman" w:cs="Times New Roman" w:eastAsia="Times New Roman" w:hAnsi="Times New Roman"/>
          <w:sz w:val="19"/>
          <w:szCs w:val="19"/>
          <w:color w:val="auto"/>
        </w:rPr>
      </w:pPr>
    </w:p>
    <w:p>
      <w:pPr>
        <w:ind w:left="2560" w:hanging="592"/>
        <w:spacing w:after="0"/>
        <w:tabs>
          <w:tab w:leader="none" w:pos="2560" w:val="left"/>
        </w:tabs>
        <w:numPr>
          <w:ilvl w:val="1"/>
          <w:numId w:val="1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each Incremental Term Loan (the terms of which shall be set forth in the relevant Incremental</w:t>
      </w:r>
    </w:p>
    <w:p>
      <w:pPr>
        <w:spacing w:after="0" w:line="36" w:lineRule="exact"/>
        <w:rPr>
          <w:rFonts w:ascii="Times New Roman" w:cs="Times New Roman" w:eastAsia="Times New Roman" w:hAnsi="Times New Roman"/>
          <w:sz w:val="19"/>
          <w:szCs w:val="19"/>
          <w:color w:val="auto"/>
        </w:rPr>
      </w:pPr>
    </w:p>
    <w:p>
      <w:pPr>
        <w:ind w:left="13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Amendment):</w:t>
      </w:r>
    </w:p>
    <w:p>
      <w:pPr>
        <w:spacing w:after="0" w:line="197" w:lineRule="exact"/>
        <w:rPr>
          <w:rFonts w:ascii="Times New Roman" w:cs="Times New Roman" w:eastAsia="Times New Roman" w:hAnsi="Times New Roman"/>
          <w:sz w:val="19"/>
          <w:szCs w:val="19"/>
          <w:color w:val="auto"/>
        </w:rPr>
      </w:pPr>
    </w:p>
    <w:p>
      <w:pPr>
        <w:jc w:val="both"/>
        <w:ind w:left="1960" w:right="20" w:firstLine="649"/>
        <w:spacing w:after="0" w:line="249" w:lineRule="auto"/>
        <w:tabs>
          <w:tab w:leader="none" w:pos="3208" w:val="left"/>
        </w:tabs>
        <w:numPr>
          <w:ilvl w:val="2"/>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maturity of any such Incremental Term Loan shall not be earlier than the then the latest scheduled maturity date of the Loans and Commitments in effect as of the Increase Effective Date and the Weighted Average Life to Maturity of any such Incremental Term Loan shall not be shorter than the remaining Weighted Average Life to Maturity of such latest maturing Term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restrictions of this clause (A) shall not apply to the extent such Incremental Term Loan constitutes a customary bridge or similar facility that is to be automatically converted or exchanged into notes or other permitted Indebtedness that otherwise would satisfy this clause (A) so long as such conversion or exchange is subject only to conditions customary for similar conversions and exchanges and the applicable Borrower irrevocably agrees at the time of incurrence thereof to take all actions necessary to convert or exchange such Incremental Term Loan);</w:t>
      </w:r>
    </w:p>
    <w:p>
      <w:pPr>
        <w:spacing w:after="0" w:line="179" w:lineRule="exact"/>
        <w:rPr>
          <w:rFonts w:ascii="Times New Roman" w:cs="Times New Roman" w:eastAsia="Times New Roman" w:hAnsi="Times New Roman"/>
          <w:sz w:val="20"/>
          <w:szCs w:val="20"/>
          <w:color w:val="auto"/>
        </w:rPr>
      </w:pPr>
    </w:p>
    <w:p>
      <w:pPr>
        <w:jc w:val="both"/>
        <w:ind w:left="1960" w:firstLine="650"/>
        <w:spacing w:after="0" w:line="264" w:lineRule="auto"/>
        <w:tabs>
          <w:tab w:leader="none" w:pos="3197" w:val="left"/>
        </w:tabs>
        <w:numPr>
          <w:ilvl w:val="2"/>
          <w:numId w:val="1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All-In Yield and pricing grid, if applicable, for such Incremental Term Loan shall be determined by the applicable Incremental Lenders and the applicable Borrower on the applicable Increase Effective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All-In Yield in respect of any Incremental Term Loan incurred on or prior to the date that is six</w:t>
      </w:r>
    </w:p>
    <w:p>
      <w:pPr>
        <w:spacing w:after="0" w:line="1" w:lineRule="exact"/>
        <w:rPr>
          <w:rFonts w:ascii="Times New Roman" w:cs="Times New Roman" w:eastAsia="Times New Roman" w:hAnsi="Times New Roman"/>
          <w:sz w:val="19"/>
          <w:szCs w:val="19"/>
          <w:color w:val="auto"/>
        </w:rPr>
      </w:pPr>
    </w:p>
    <w:p>
      <w:pPr>
        <w:jc w:val="both"/>
        <w:ind w:left="1960"/>
        <w:spacing w:after="0" w:line="245"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 xml:space="preserve">(6) months after the Closing Date exceeds the All-In Yield for the Initial Term Loan (as reasonably determined by the Administrative Agent) by more than 0.50%, then the Applicable Margin for the Initial Term Loan shall be increased so that the All-In Yield in respect of such Initial Term Loan is equal to the All-In Yield for such Incremental Term Loan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0.50% (determined at each level of each applicable pricing grid);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76">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161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310" w:name="page311"/>
    <w:bookmarkEnd w:id="310"/>
    <w:p>
      <w:pPr>
        <w:spacing w:after="0" w:line="95" w:lineRule="exact"/>
        <w:rPr>
          <w:sz w:val="20"/>
          <w:szCs w:val="20"/>
          <w:color w:val="auto"/>
        </w:rPr>
      </w:pPr>
    </w:p>
    <w:p>
      <w:pPr>
        <w:ind w:left="1960" w:firstLine="650"/>
        <w:spacing w:after="0" w:line="263" w:lineRule="auto"/>
        <w:tabs>
          <w:tab w:leader="none" w:pos="3197"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mandatory prepayment (other than scheduled amortization payments) of each Incremental Term Loan shall be made on a pro rata basis with all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77">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162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080"/>
          </w:cols>
          <w:pgMar w:left="320" w:top="1440" w:right="499" w:bottom="1440" w:gutter="0" w:footer="0" w:header="0"/>
        </w:sectPr>
      </w:pPr>
    </w:p>
    <w:bookmarkStart w:id="311" w:name="page312"/>
    <w:bookmarkEnd w:id="311"/>
    <w:p>
      <w:pPr>
        <w:spacing w:after="0" w:line="202" w:lineRule="exact"/>
        <w:rPr>
          <w:sz w:val="20"/>
          <w:szCs w:val="20"/>
          <w:color w:val="auto"/>
        </w:rPr>
      </w:pPr>
    </w:p>
    <w:p>
      <w:pPr>
        <w:jc w:val="both"/>
        <w:ind w:left="1960"/>
        <w:spacing w:after="0" w:line="257" w:lineRule="auto"/>
        <w:rPr>
          <w:sz w:val="20"/>
          <w:szCs w:val="20"/>
          <w:color w:val="auto"/>
        </w:rPr>
      </w:pPr>
      <w:r>
        <w:rPr>
          <w:rFonts w:ascii="Times New Roman" w:cs="Times New Roman" w:eastAsia="Times New Roman" w:hAnsi="Times New Roman"/>
          <w:sz w:val="20"/>
          <w:szCs w:val="20"/>
          <w:color w:val="auto"/>
        </w:rPr>
        <w:t>existing Term Loans, except that the applicable Borrower and the Incremental Lenders in respect of such Incremental Term Loan may, in their sole discretion, elect to prepay or receive, as applicable, any prepayments on a less than pro rata basis (but not on a greater than pro rata basis); and</w:t>
      </w:r>
    </w:p>
    <w:p>
      <w:pPr>
        <w:spacing w:after="0" w:line="171" w:lineRule="exact"/>
        <w:rPr>
          <w:sz w:val="20"/>
          <w:szCs w:val="20"/>
          <w:color w:val="auto"/>
        </w:rPr>
      </w:pPr>
    </w:p>
    <w:p>
      <w:pPr>
        <w:jc w:val="both"/>
        <w:ind w:left="1960" w:right="40" w:firstLine="650"/>
        <w:spacing w:after="0" w:line="254" w:lineRule="auto"/>
        <w:tabs>
          <w:tab w:leader="none" w:pos="3195" w:val="left"/>
        </w:tabs>
        <w:numPr>
          <w:ilvl w:val="2"/>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provided above, all other terms and conditions applicable to any Incremental Term Loan shall be consistent with the terms and conditions of the Initial Term Loan or otherwise reasonably satisfactory to the Administrative Agent and the applicable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other terms and conditions, taken as a whole, shall not be more favorable to the Lenders under any Incremental Term Loans than such other terms and conditions, taken as a whole, under the Initial Term Loans);</w:t>
      </w:r>
    </w:p>
    <w:p>
      <w:pPr>
        <w:spacing w:after="0" w:line="173" w:lineRule="exact"/>
        <w:rPr>
          <w:rFonts w:ascii="Times New Roman" w:cs="Times New Roman" w:eastAsia="Times New Roman" w:hAnsi="Times New Roman"/>
          <w:sz w:val="20"/>
          <w:szCs w:val="20"/>
          <w:color w:val="auto"/>
        </w:rPr>
      </w:pPr>
    </w:p>
    <w:p>
      <w:pPr>
        <w:ind w:left="1320" w:right="40" w:firstLine="648"/>
        <w:spacing w:after="0" w:line="263" w:lineRule="auto"/>
        <w:tabs>
          <w:tab w:leader="none" w:pos="2562"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each Incremental Revolving Credit Facility Increase (the terms of which shall be set forth in the relevant Incremental Amendment):</w:t>
      </w:r>
    </w:p>
    <w:p>
      <w:pPr>
        <w:spacing w:after="0" w:line="178" w:lineRule="exact"/>
        <w:rPr>
          <w:rFonts w:ascii="Times New Roman" w:cs="Times New Roman" w:eastAsia="Times New Roman" w:hAnsi="Times New Roman"/>
          <w:sz w:val="20"/>
          <w:szCs w:val="20"/>
          <w:color w:val="auto"/>
        </w:rPr>
      </w:pPr>
    </w:p>
    <w:p>
      <w:pPr>
        <w:jc w:val="both"/>
        <w:ind w:left="1960" w:right="20" w:firstLine="649"/>
        <w:spacing w:after="0" w:line="257" w:lineRule="auto"/>
        <w:tabs>
          <w:tab w:leader="none" w:pos="3208" w:val="left"/>
        </w:tabs>
        <w:numPr>
          <w:ilvl w:val="2"/>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Revolving Credit Loans made with respect to the Incremental Revolving Credit Facility Increase shall mature on the Revolving Credit Maturity Date and shall bear interest at the rate applicable to the Revolving Credit Loans;</w:t>
      </w:r>
    </w:p>
    <w:p>
      <w:pPr>
        <w:spacing w:after="0" w:line="170" w:lineRule="exact"/>
        <w:rPr>
          <w:rFonts w:ascii="Times New Roman" w:cs="Times New Roman" w:eastAsia="Times New Roman" w:hAnsi="Times New Roman"/>
          <w:sz w:val="20"/>
          <w:szCs w:val="20"/>
          <w:color w:val="auto"/>
        </w:rPr>
      </w:pPr>
    </w:p>
    <w:p>
      <w:pPr>
        <w:jc w:val="both"/>
        <w:ind w:left="1960" w:firstLine="649"/>
        <w:spacing w:after="0" w:line="248" w:lineRule="auto"/>
        <w:tabs>
          <w:tab w:leader="none" w:pos="3197" w:val="left"/>
        </w:tabs>
        <w:numPr>
          <w:ilvl w:val="2"/>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outstanding Revolving Credit Loans and Revolving Credit Commitment Percentages of Swingline Loans and L/C Obligations will be reallocated by the Administrative Agent on the applicable Increase Effective Date among the Revolving Credit Lenders (including the Incremental Lenders providing such Incremental Revolving Credit Facility Increase) in accordance with their revised Revolving Credit Commitment Percentages (and the Revolving Credit Lenders (including the Incremental Lenders providing such Incremental Revolving Credit Facility Increase) agree to make all payments and adjustments necessary to effect such reallocation and the applicable Borrower shall pay any and all costs required pursuant to </w:t>
      </w:r>
      <w:r>
        <w:rPr>
          <w:rFonts w:ascii="Times New Roman" w:cs="Times New Roman" w:eastAsia="Times New Roman" w:hAnsi="Times New Roman"/>
          <w:sz w:val="20"/>
          <w:szCs w:val="20"/>
          <w:u w:val="single" w:color="auto"/>
          <w:color w:val="auto"/>
        </w:rPr>
        <w:t>Section 5.9</w:t>
      </w:r>
      <w:r>
        <w:rPr>
          <w:rFonts w:ascii="Times New Roman" w:cs="Times New Roman" w:eastAsia="Times New Roman" w:hAnsi="Times New Roman"/>
          <w:sz w:val="20"/>
          <w:szCs w:val="20"/>
          <w:color w:val="auto"/>
        </w:rPr>
        <w:t xml:space="preserve"> in connection with such reallocation as if such reallocation were a repayment); and</w:t>
      </w:r>
    </w:p>
    <w:p>
      <w:pPr>
        <w:spacing w:after="0" w:line="185" w:lineRule="exact"/>
        <w:rPr>
          <w:rFonts w:ascii="Times New Roman" w:cs="Times New Roman" w:eastAsia="Times New Roman" w:hAnsi="Times New Roman"/>
          <w:sz w:val="20"/>
          <w:szCs w:val="20"/>
          <w:color w:val="auto"/>
        </w:rPr>
      </w:pPr>
    </w:p>
    <w:p>
      <w:pPr>
        <w:jc w:val="both"/>
        <w:ind w:left="1960" w:right="40" w:firstLine="650"/>
        <w:spacing w:after="0" w:line="255" w:lineRule="auto"/>
        <w:tabs>
          <w:tab w:leader="none" w:pos="3197" w:val="left"/>
        </w:tabs>
        <w:numPr>
          <w:ilvl w:val="2"/>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provided above, all of the other terms and conditions applicable to such Incremental Revolving Credit Facility Increase shall, except to the extent otherwise provided in this </w:t>
      </w:r>
      <w:r>
        <w:rPr>
          <w:rFonts w:ascii="Times New Roman" w:cs="Times New Roman" w:eastAsia="Times New Roman" w:hAnsi="Times New Roman"/>
          <w:sz w:val="20"/>
          <w:szCs w:val="20"/>
          <w:u w:val="single" w:color="auto"/>
          <w:color w:val="auto"/>
        </w:rPr>
        <w:t>Section 5.13</w:t>
      </w:r>
      <w:r>
        <w:rPr>
          <w:rFonts w:ascii="Times New Roman" w:cs="Times New Roman" w:eastAsia="Times New Roman" w:hAnsi="Times New Roman"/>
          <w:sz w:val="20"/>
          <w:szCs w:val="20"/>
          <w:color w:val="auto"/>
        </w:rPr>
        <w:t>, be identical to the terms and conditions applicable to the Revolving Credit Facility, including the Applicable Margin and unused fees (but may have different upfront fees);</w:t>
      </w:r>
    </w:p>
    <w:p>
      <w:pPr>
        <w:spacing w:after="0" w:line="172" w:lineRule="exact"/>
        <w:rPr>
          <w:rFonts w:ascii="Times New Roman" w:cs="Times New Roman" w:eastAsia="Times New Roman" w:hAnsi="Times New Roman"/>
          <w:sz w:val="20"/>
          <w:szCs w:val="20"/>
          <w:color w:val="auto"/>
        </w:rPr>
      </w:pPr>
    </w:p>
    <w:p>
      <w:pPr>
        <w:jc w:val="both"/>
        <w:ind w:left="1320" w:right="40" w:firstLine="648"/>
        <w:spacing w:after="0" w:line="264" w:lineRule="auto"/>
        <w:tabs>
          <w:tab w:leader="none" w:pos="2563"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Incremental Increase shall constitute US Obligations of the US Borrowers or Canadian Obligations of the Canadian Borrowers, as applicable, and shall be secured and guaranteed with the other Extensions of Credit on a pari passu basis; and</w:t>
      </w:r>
    </w:p>
    <w:p>
      <w:pPr>
        <w:spacing w:after="0" w:line="163" w:lineRule="exact"/>
        <w:rPr>
          <w:rFonts w:ascii="Times New Roman" w:cs="Times New Roman" w:eastAsia="Times New Roman" w:hAnsi="Times New Roman"/>
          <w:sz w:val="20"/>
          <w:szCs w:val="20"/>
          <w:color w:val="auto"/>
        </w:rPr>
      </w:pPr>
    </w:p>
    <w:p>
      <w:pPr>
        <w:jc w:val="both"/>
        <w:ind w:left="1320" w:right="40" w:firstLine="648"/>
        <w:spacing w:after="0" w:line="255" w:lineRule="auto"/>
        <w:tabs>
          <w:tab w:leader="none" w:pos="2566"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Incremental Lender with an Incremental Revolving Credit Facility Increase shall be entitled to the same voting rights as the existing Revolving Credit Lenders under the Revolving Credit Facility and any Extensions of Credit made in connection with each Incremental Revolving Credit Facility Increase shall receive proceeds of prepayments on the same basis as the other Revolving Credit Loans made hereunder.</w:t>
      </w:r>
    </w:p>
    <w:p>
      <w:pPr>
        <w:spacing w:after="0" w:line="172" w:lineRule="exact"/>
        <w:rPr>
          <w:rFonts w:ascii="Times New Roman" w:cs="Times New Roman" w:eastAsia="Times New Roman" w:hAnsi="Times New Roman"/>
          <w:sz w:val="20"/>
          <w:szCs w:val="20"/>
          <w:color w:val="auto"/>
        </w:rPr>
      </w:pPr>
    </w:p>
    <w:p>
      <w:pPr>
        <w:jc w:val="both"/>
        <w:ind w:left="680" w:right="40" w:firstLine="646"/>
        <w:spacing w:after="0" w:line="257" w:lineRule="auto"/>
        <w:tabs>
          <w:tab w:leader="none" w:pos="1927"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to Effectiveness of Incremental Increases</w:t>
      </w:r>
      <w:r>
        <w:rPr>
          <w:rFonts w:ascii="Times New Roman" w:cs="Times New Roman" w:eastAsia="Times New Roman" w:hAnsi="Times New Roman"/>
          <w:sz w:val="20"/>
          <w:szCs w:val="20"/>
          <w:color w:val="auto"/>
        </w:rPr>
        <w:t xml:space="preserve">. Any Incremental Increase shall become effective as of such Increase Effective Date and shall be subject to the following conditions precedent, which, in the case of an Incremental Term Loan incurred solely to finance a substantially concurrent Limited Condition Acquisition, shall be subject to </w:t>
      </w: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78">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163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312" w:name="page313"/>
    <w:bookmarkEnd w:id="312"/>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79">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164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0139"/>
          </w:cols>
          <w:pgMar w:left="320" w:top="1440" w:right="1440" w:bottom="1440" w:gutter="0" w:footer="0" w:header="0"/>
        </w:sectPr>
      </w:pPr>
    </w:p>
    <w:bookmarkStart w:id="313" w:name="page314"/>
    <w:bookmarkEnd w:id="313"/>
    <w:p>
      <w:pPr>
        <w:spacing w:after="0" w:line="201" w:lineRule="exact"/>
        <w:rPr>
          <w:sz w:val="20"/>
          <w:szCs w:val="20"/>
          <w:color w:val="auto"/>
        </w:rPr>
      </w:pPr>
    </w:p>
    <w:p>
      <w:pPr>
        <w:ind w:left="1320" w:right="40" w:firstLine="648"/>
        <w:spacing w:after="0" w:line="263" w:lineRule="auto"/>
        <w:tabs>
          <w:tab w:leader="none" w:pos="2561"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shall exist on such Increase Effective Date immediately prior to or after giving effect to (A) such Incremental Increase or (B) the making of any Extensions of Credit pursuant thereto;</w:t>
      </w:r>
    </w:p>
    <w:p>
      <w:pPr>
        <w:spacing w:after="0" w:line="178" w:lineRule="exact"/>
        <w:rPr>
          <w:rFonts w:ascii="Times New Roman" w:cs="Times New Roman" w:eastAsia="Times New Roman" w:hAnsi="Times New Roman"/>
          <w:sz w:val="20"/>
          <w:szCs w:val="20"/>
          <w:color w:val="auto"/>
        </w:rPr>
      </w:pPr>
    </w:p>
    <w:p>
      <w:pPr>
        <w:jc w:val="both"/>
        <w:ind w:left="1320" w:right="20" w:firstLine="648"/>
        <w:spacing w:after="0" w:line="257" w:lineRule="auto"/>
        <w:tabs>
          <w:tab w:leader="none" w:pos="2562"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of the representations and warranties set forth in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shall be true and correct in all material respects (or if qualified by materiality or Material Adverse Effect, in all respects) as of such Increase Effective Date, or if such representation speaks as of an earlier date, as of such earlier date;</w:t>
      </w:r>
    </w:p>
    <w:p>
      <w:pPr>
        <w:spacing w:after="0" w:line="170" w:lineRule="exact"/>
        <w:rPr>
          <w:rFonts w:ascii="Times New Roman" w:cs="Times New Roman" w:eastAsia="Times New Roman" w:hAnsi="Times New Roman"/>
          <w:sz w:val="20"/>
          <w:szCs w:val="20"/>
          <w:color w:val="auto"/>
        </w:rPr>
      </w:pPr>
    </w:p>
    <w:p>
      <w:pPr>
        <w:jc w:val="both"/>
        <w:ind w:left="1320" w:right="40" w:firstLine="648"/>
        <w:spacing w:after="0" w:line="249" w:lineRule="auto"/>
        <w:tabs>
          <w:tab w:leader="none" w:pos="2563"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from Centuri, an Officer’s Compliance Certificate demonstrating that the Consolidated Companies are in pro forma compliance with (A) a Consolidated Interest Coverage Ratio of 2.50 to 1.00 and (B) a Consolidated Net Leverage Ratio of (1) 5.50 to 1.00 for the period beginning on September 30, 2022 through and including December 30, 2022, (2) 4.75 to 1.00 for the period beginning on</w:t>
      </w:r>
    </w:p>
    <w:p>
      <w:pPr>
        <w:spacing w:after="0" w:line="3" w:lineRule="exact"/>
        <w:rPr>
          <w:rFonts w:ascii="Times New Roman" w:cs="Times New Roman" w:eastAsia="Times New Roman" w:hAnsi="Times New Roman"/>
          <w:sz w:val="20"/>
          <w:szCs w:val="20"/>
          <w:color w:val="auto"/>
        </w:rPr>
      </w:pPr>
    </w:p>
    <w:p>
      <w:pPr>
        <w:jc w:val="both"/>
        <w:ind w:left="1320" w:right="20"/>
        <w:spacing w:after="0" w:line="264"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 xml:space="preserve">December 31, 2022 through and including December 30, 2023 and (3) 4.00 to 1.00 for the period beginning on December 31, 2023 and thereafter (based on the financial statements most recently delivered pursuant to </w:t>
      </w:r>
      <w:r>
        <w:rPr>
          <w:rFonts w:ascii="Times New Roman" w:cs="Times New Roman" w:eastAsia="Times New Roman" w:hAnsi="Times New Roman"/>
          <w:sz w:val="19"/>
          <w:szCs w:val="19"/>
          <w:u w:val="single" w:color="auto"/>
          <w:color w:val="auto"/>
        </w:rPr>
        <w:t>Section 8.1</w:t>
      </w:r>
      <w:r>
        <w:rPr>
          <w:rFonts w:ascii="Times New Roman" w:cs="Times New Roman" w:eastAsia="Times New Roman" w:hAnsi="Times New Roman"/>
          <w:sz w:val="19"/>
          <w:szCs w:val="19"/>
          <w:color w:val="auto"/>
        </w:rPr>
        <w:t>) after giving effect to such Incremental Increase (assuming that the entire applicable Incremental Term Loan and/or Incremental Revolving Credit Facility Increase is fully funded on the effective date thereof) and any Permitted Acquisition, refinancing of Indebtedness or other event consummated in connection therewith giving rise to a Pro Forma Basis adjustment;</w:t>
      </w:r>
    </w:p>
    <w:p>
      <w:pPr>
        <w:spacing w:after="0" w:line="167" w:lineRule="exact"/>
        <w:rPr>
          <w:rFonts w:ascii="Times New Roman" w:cs="Times New Roman" w:eastAsia="Times New Roman" w:hAnsi="Times New Roman"/>
          <w:sz w:val="20"/>
          <w:szCs w:val="20"/>
          <w:color w:val="auto"/>
        </w:rPr>
      </w:pPr>
    </w:p>
    <w:p>
      <w:pPr>
        <w:ind w:left="1320" w:right="40" w:firstLine="648"/>
        <w:spacing w:after="0" w:line="263" w:lineRule="auto"/>
        <w:tabs>
          <w:tab w:leader="none" w:pos="2566"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Credit Parties shall have executed an Incremental Amendment in form and substance reasonably acceptable to the applicable Borrower and the applicable Incremental Lenders; and</w:t>
      </w:r>
    </w:p>
    <w:p>
      <w:pPr>
        <w:spacing w:after="0" w:line="178" w:lineRule="exact"/>
        <w:rPr>
          <w:rFonts w:ascii="Times New Roman" w:cs="Times New Roman" w:eastAsia="Times New Roman" w:hAnsi="Times New Roman"/>
          <w:sz w:val="20"/>
          <w:szCs w:val="20"/>
          <w:color w:val="auto"/>
        </w:rPr>
      </w:pPr>
    </w:p>
    <w:p>
      <w:pPr>
        <w:jc w:val="both"/>
        <w:ind w:left="1320" w:firstLine="648"/>
        <w:spacing w:after="0" w:line="250" w:lineRule="auto"/>
        <w:tabs>
          <w:tab w:leader="none" w:pos="2565"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from the applicable Borrower, any customary legal opinions or other documents (including a resolution duly adopted by the board of directors (or equivalent governing body) of each Credit Party authorizing such Incremental Increase), and other documents reasonably requested by Administrative Agent in connection with such Incremental Increase.</w:t>
      </w:r>
    </w:p>
    <w:p>
      <w:pPr>
        <w:spacing w:after="0" w:line="191" w:lineRule="exact"/>
        <w:rPr>
          <w:rFonts w:ascii="Times New Roman" w:cs="Times New Roman" w:eastAsia="Times New Roman" w:hAnsi="Times New Roman"/>
          <w:sz w:val="20"/>
          <w:szCs w:val="20"/>
          <w:color w:val="auto"/>
        </w:rPr>
      </w:pPr>
    </w:p>
    <w:p>
      <w:pPr>
        <w:jc w:val="both"/>
        <w:ind w:left="680" w:right="40" w:firstLine="646"/>
        <w:spacing w:after="0" w:line="250" w:lineRule="auto"/>
        <w:tabs>
          <w:tab w:leader="none" w:pos="1919"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Incremental Amendments</w:t>
      </w:r>
      <w:r>
        <w:rPr>
          <w:rFonts w:ascii="Times New Roman" w:cs="Times New Roman" w:eastAsia="Times New Roman" w:hAnsi="Times New Roman"/>
          <w:sz w:val="20"/>
          <w:szCs w:val="20"/>
          <w:color w:val="auto"/>
        </w:rPr>
        <w:t>. Each such Incremental Increase shall be effected pursuant to an amendment (an “</w:t>
      </w:r>
      <w:r>
        <w:rPr>
          <w:rFonts w:ascii="Times New Roman" w:cs="Times New Roman" w:eastAsia="Times New Roman" w:hAnsi="Times New Roman"/>
          <w:sz w:val="20"/>
          <w:szCs w:val="20"/>
          <w:u w:val="single" w:color="auto"/>
          <w:color w:val="auto"/>
        </w:rPr>
        <w:t>Incremental Amendment</w:t>
      </w:r>
      <w:r>
        <w:rPr>
          <w:rFonts w:ascii="Times New Roman" w:cs="Times New Roman" w:eastAsia="Times New Roman" w:hAnsi="Times New Roman"/>
          <w:sz w:val="20"/>
          <w:szCs w:val="20"/>
          <w:color w:val="auto"/>
        </w:rPr>
        <w:t xml:space="preserve">”) to this Agreement and, as appropriate, the other Loan Documents, executed by the Credit Parties, the Administrative Agent and the applicable Incremental Lenders, which Incremental Amendment may, without the consent of any other Lenders, effect such amendments to this Agreement and the other Loan Documents as may be necessary or appropriate, in the reasonable opinion of the Administrative Agent, to effect the provisions of this </w:t>
      </w:r>
      <w:r>
        <w:rPr>
          <w:rFonts w:ascii="Times New Roman" w:cs="Times New Roman" w:eastAsia="Times New Roman" w:hAnsi="Times New Roman"/>
          <w:sz w:val="20"/>
          <w:szCs w:val="20"/>
          <w:u w:val="single" w:color="auto"/>
          <w:color w:val="auto"/>
        </w:rPr>
        <w:t>Section 5.13</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ind w:left="1960" w:hanging="633"/>
        <w:spacing w:after="0"/>
        <w:tabs>
          <w:tab w:leader="none" w:pos="1960"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Conflicting Provisions</w:t>
      </w:r>
      <w:r>
        <w:rPr>
          <w:rFonts w:ascii="Times New Roman" w:cs="Times New Roman" w:eastAsia="Times New Roman" w:hAnsi="Times New Roman"/>
          <w:sz w:val="20"/>
          <w:szCs w:val="20"/>
          <w:color w:val="auto"/>
        </w:rPr>
        <w:t xml:space="preserve">. This Section shall supersede any provisions in </w:t>
      </w:r>
      <w:r>
        <w:rPr>
          <w:rFonts w:ascii="Times New Roman" w:cs="Times New Roman" w:eastAsia="Times New Roman" w:hAnsi="Times New Roman"/>
          <w:sz w:val="20"/>
          <w:szCs w:val="20"/>
          <w:u w:val="single" w:color="auto"/>
          <w:color w:val="auto"/>
        </w:rPr>
        <w:t>Section 5.6</w:t>
      </w:r>
      <w:r>
        <w:rPr>
          <w:rFonts w:ascii="Times New Roman" w:cs="Times New Roman" w:eastAsia="Times New Roman" w:hAnsi="Times New Roman"/>
          <w:sz w:val="20"/>
          <w:szCs w:val="20"/>
          <w:color w:val="auto"/>
        </w:rPr>
        <w:t xml:space="preserve"> or</w:t>
      </w:r>
    </w:p>
    <w:p>
      <w:pPr>
        <w:spacing w:after="0" w:line="1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u w:val="single" w:color="auto"/>
          <w:color w:val="auto"/>
        </w:rPr>
        <w:t>12.2</w:t>
      </w:r>
      <w:r>
        <w:rPr>
          <w:rFonts w:ascii="Times New Roman" w:cs="Times New Roman" w:eastAsia="Times New Roman" w:hAnsi="Times New Roman"/>
          <w:sz w:val="20"/>
          <w:szCs w:val="20"/>
          <w:color w:val="auto"/>
        </w:rPr>
        <w:t xml:space="preserve"> to the contrary.</w:t>
      </w:r>
    </w:p>
    <w:p>
      <w:pPr>
        <w:spacing w:after="0" w:line="189" w:lineRule="exact"/>
        <w:rPr>
          <w:sz w:val="20"/>
          <w:szCs w:val="20"/>
          <w:color w:val="auto"/>
        </w:rPr>
      </w:pPr>
    </w:p>
    <w:p>
      <w:pPr>
        <w:jc w:val="both"/>
        <w:ind w:left="680" w:firstLine="642"/>
        <w:spacing w:after="0" w:line="250" w:lineRule="auto"/>
        <w:rPr>
          <w:sz w:val="20"/>
          <w:szCs w:val="20"/>
          <w:color w:val="auto"/>
        </w:rPr>
      </w:pPr>
      <w:r>
        <w:rPr>
          <w:rFonts w:ascii="Times New Roman" w:cs="Times New Roman" w:eastAsia="Times New Roman" w:hAnsi="Times New Roman"/>
          <w:sz w:val="20"/>
          <w:szCs w:val="20"/>
          <w:color w:val="auto"/>
        </w:rPr>
        <w:t xml:space="preserve">SECTION 5.14 </w:t>
      </w:r>
      <w:r>
        <w:rPr>
          <w:rFonts w:ascii="Times New Roman" w:cs="Times New Roman" w:eastAsia="Times New Roman" w:hAnsi="Times New Roman"/>
          <w:sz w:val="20"/>
          <w:szCs w:val="20"/>
          <w:u w:val="single" w:color="auto"/>
          <w:color w:val="auto"/>
        </w:rPr>
        <w:t>Cash Collateral</w:t>
      </w:r>
      <w:r>
        <w:rPr>
          <w:rFonts w:ascii="Times New Roman" w:cs="Times New Roman" w:eastAsia="Times New Roman" w:hAnsi="Times New Roman"/>
          <w:sz w:val="20"/>
          <w:szCs w:val="20"/>
          <w:color w:val="auto"/>
        </w:rPr>
        <w:t xml:space="preserve">. At any time that there shall exist a Defaulting Lender, within one Business Day following the written request of the Administrative Agent, any Issuing Lender (with a copy to the Administrative Agent) or any Swingline Lender (with a copy to the Administrative Agent), the Borrowers shall Cash Collateralize the Fronting Exposure of such Issuing Lender and/or such Swingline Lender, as applicable, with respect to such Defaulting Lender (determined after giving effect to </w:t>
      </w:r>
      <w:r>
        <w:rPr>
          <w:rFonts w:ascii="Times New Roman" w:cs="Times New Roman" w:eastAsia="Times New Roman" w:hAnsi="Times New Roman"/>
          <w:sz w:val="20"/>
          <w:szCs w:val="20"/>
          <w:u w:val="single" w:color="auto"/>
          <w:color w:val="auto"/>
        </w:rPr>
        <w:t>Section 5.15(a)(iv)</w:t>
      </w:r>
      <w:r>
        <w:rPr>
          <w:rFonts w:ascii="Times New Roman" w:cs="Times New Roman" w:eastAsia="Times New Roman" w:hAnsi="Times New Roman"/>
          <w:sz w:val="20"/>
          <w:szCs w:val="20"/>
          <w:color w:val="auto"/>
        </w:rPr>
        <w:t xml:space="preserve"> and any Cash Collateral provided by such Defaulting Lender) in an amount not less than the Minimum Collateral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80">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165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314" w:name="page315"/>
    <w:bookmarkEnd w:id="314"/>
    <w:p>
      <w:pPr>
        <w:spacing w:after="0" w:line="201" w:lineRule="exact"/>
        <w:rPr>
          <w:sz w:val="20"/>
          <w:szCs w:val="20"/>
          <w:color w:val="auto"/>
        </w:rPr>
      </w:pPr>
    </w:p>
    <w:p>
      <w:pPr>
        <w:jc w:val="both"/>
        <w:ind w:left="680" w:right="20" w:firstLine="646"/>
        <w:spacing w:after="0" w:line="262" w:lineRule="auto"/>
        <w:tabs>
          <w:tab w:leader="none" w:pos="1927" w:val="left"/>
        </w:tabs>
        <w:numPr>
          <w:ilvl w:val="0"/>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Grant of Security Interest</w:t>
      </w:r>
      <w:r>
        <w:rPr>
          <w:rFonts w:ascii="Times New Roman" w:cs="Times New Roman" w:eastAsia="Times New Roman" w:hAnsi="Times New Roman"/>
          <w:sz w:val="19"/>
          <w:szCs w:val="19"/>
          <w:color w:val="auto"/>
        </w:rPr>
        <w:t>. Each Borrower, and to the extent provided by any Defaulting Lender, such Defaulting Lender, hereby grants to the Administrative Agent, for the benefit of each Issuing Lender and each Swingline Lender, and agrees to maintain, a first priority security interest in all such Cash Collateral as security for the Defaulting Lender’s obligation to fund participations in respect of L/C Obligations and Swingline Loans, to be applied pursuant to subsection (b) below. If at any time the Administrative Agent determines that Cash Collateral is subject to any right or claim of any Person other than the Administrative Agent, each Issuing Lender and each Swingline Lender as herein provided (other than Permitted Liens in favor of a depository bank), or that the total amount of such Cash Collateral is less than the Minimum Collateral Amount, the Borrowers will, promptly upon demand by the Administrative Agent, pay or provide to the Administrative Agent additional Cash Collateral in an amount sufficient to eliminate such deficiency (after giving effect to any Cash Collateral provided by the Defaulting Lender).</w:t>
      </w:r>
    </w:p>
    <w:p>
      <w:pPr>
        <w:spacing w:after="0" w:line="167" w:lineRule="exact"/>
        <w:rPr>
          <w:rFonts w:ascii="Times New Roman" w:cs="Times New Roman" w:eastAsia="Times New Roman" w:hAnsi="Times New Roman"/>
          <w:sz w:val="19"/>
          <w:szCs w:val="19"/>
          <w:color w:val="auto"/>
        </w:rPr>
      </w:pPr>
    </w:p>
    <w:p>
      <w:pPr>
        <w:jc w:val="both"/>
        <w:ind w:left="680" w:right="40" w:firstLine="646"/>
        <w:spacing w:after="0" w:line="270" w:lineRule="auto"/>
        <w:tabs>
          <w:tab w:leader="none" w:pos="1925" w:val="left"/>
        </w:tabs>
        <w:numPr>
          <w:ilvl w:val="0"/>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Application</w:t>
      </w:r>
      <w:r>
        <w:rPr>
          <w:rFonts w:ascii="Times New Roman" w:cs="Times New Roman" w:eastAsia="Times New Roman" w:hAnsi="Times New Roman"/>
          <w:sz w:val="19"/>
          <w:szCs w:val="19"/>
          <w:color w:val="auto"/>
        </w:rPr>
        <w:t xml:space="preserve">. Notwithstanding anything to the contrary contained in this Agreement or any other Loan Document, Cash Collateral provided under this </w:t>
      </w:r>
      <w:r>
        <w:rPr>
          <w:rFonts w:ascii="Times New Roman" w:cs="Times New Roman" w:eastAsia="Times New Roman" w:hAnsi="Times New Roman"/>
          <w:sz w:val="19"/>
          <w:szCs w:val="19"/>
          <w:u w:val="single" w:color="auto"/>
          <w:color w:val="auto"/>
        </w:rPr>
        <w:t>Section 5.14</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5.15</w:t>
      </w:r>
      <w:r>
        <w:rPr>
          <w:rFonts w:ascii="Times New Roman" w:cs="Times New Roman" w:eastAsia="Times New Roman" w:hAnsi="Times New Roman"/>
          <w:sz w:val="19"/>
          <w:szCs w:val="19"/>
          <w:color w:val="auto"/>
        </w:rPr>
        <w:t xml:space="preserve"> in respect of Letters of Credit and Swingline Loans shall be applied to the satisfaction of the Defaulting Lender’s obligation to fund participations in respect of L/C Obligations and Swingline Loans (including, as to Cash Collateral provided by a Defaulting Lender, any interest accrued on such obligation) for which the Cash Collateral was so provided, prior to any other application of such property as may otherwise be provided for herein.</w:t>
      </w:r>
    </w:p>
    <w:p>
      <w:pPr>
        <w:spacing w:after="0" w:line="161" w:lineRule="exact"/>
        <w:rPr>
          <w:rFonts w:ascii="Times New Roman" w:cs="Times New Roman" w:eastAsia="Times New Roman" w:hAnsi="Times New Roman"/>
          <w:sz w:val="19"/>
          <w:szCs w:val="19"/>
          <w:color w:val="auto"/>
        </w:rPr>
      </w:pPr>
    </w:p>
    <w:p>
      <w:pPr>
        <w:jc w:val="both"/>
        <w:ind w:left="680" w:firstLine="646"/>
        <w:spacing w:after="0" w:line="248" w:lineRule="auto"/>
        <w:tabs>
          <w:tab w:leader="none" w:pos="1927"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Requirement</w:t>
      </w:r>
      <w:r>
        <w:rPr>
          <w:rFonts w:ascii="Times New Roman" w:cs="Times New Roman" w:eastAsia="Times New Roman" w:hAnsi="Times New Roman"/>
          <w:sz w:val="20"/>
          <w:szCs w:val="20"/>
          <w:color w:val="auto"/>
        </w:rPr>
        <w:t xml:space="preserve">. Cash Collateral (or the appropriate portion thereof) provided to reduce the Fronting Exposure of any Issuing Lender and/or any Swingline Lender, as applicable, shall no longer be required to be held as Cash Collateral pursuant to this </w:t>
      </w:r>
      <w:r>
        <w:rPr>
          <w:rFonts w:ascii="Times New Roman" w:cs="Times New Roman" w:eastAsia="Times New Roman" w:hAnsi="Times New Roman"/>
          <w:sz w:val="20"/>
          <w:szCs w:val="20"/>
          <w:u w:val="single" w:color="auto"/>
          <w:color w:val="auto"/>
        </w:rPr>
        <w:t>Section 5.14</w:t>
      </w:r>
      <w:r>
        <w:rPr>
          <w:rFonts w:ascii="Times New Roman" w:cs="Times New Roman" w:eastAsia="Times New Roman" w:hAnsi="Times New Roman"/>
          <w:sz w:val="20"/>
          <w:szCs w:val="20"/>
          <w:color w:val="auto"/>
        </w:rPr>
        <w:t xml:space="preserve"> following (i) the elimination of the applicable Fronting Exposure (including by the termination of Defaulting Lender status of the applicable Lender), or (ii) the determination by the Administrative Agent, the Issuing Lenders and the Swingline Lenders that there exists excess Cash Collateral;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subject to </w:t>
      </w:r>
      <w:r>
        <w:rPr>
          <w:rFonts w:ascii="Times New Roman" w:cs="Times New Roman" w:eastAsia="Times New Roman" w:hAnsi="Times New Roman"/>
          <w:sz w:val="20"/>
          <w:szCs w:val="20"/>
          <w:u w:val="single" w:color="auto"/>
          <w:color w:val="auto"/>
        </w:rPr>
        <w:t>Section 5.15</w:t>
      </w:r>
      <w:r>
        <w:rPr>
          <w:rFonts w:ascii="Times New Roman" w:cs="Times New Roman" w:eastAsia="Times New Roman" w:hAnsi="Times New Roman"/>
          <w:sz w:val="20"/>
          <w:szCs w:val="20"/>
          <w:color w:val="auto"/>
        </w:rPr>
        <w:t>, the Person providing Cash Collateral, the Issuing Lenders and the Swingline Lenders may agree that Cash Collateral shall be held to support future anticipated Fronting Exposure or other obligations.</w:t>
      </w:r>
    </w:p>
    <w:p>
      <w:pPr>
        <w:spacing w:after="0" w:line="182" w:lineRule="exact"/>
        <w:rPr>
          <w:sz w:val="20"/>
          <w:szCs w:val="20"/>
          <w:color w:val="auto"/>
        </w:rPr>
      </w:pPr>
    </w:p>
    <w:p>
      <w:pPr>
        <w:ind w:left="1320"/>
        <w:spacing w:after="0"/>
        <w:tabs>
          <w:tab w:leader="none" w:pos="2720" w:val="left"/>
        </w:tabs>
        <w:rPr>
          <w:sz w:val="20"/>
          <w:szCs w:val="20"/>
          <w:color w:val="auto"/>
        </w:rPr>
      </w:pPr>
      <w:r>
        <w:rPr>
          <w:rFonts w:ascii="Times New Roman" w:cs="Times New Roman" w:eastAsia="Times New Roman" w:hAnsi="Times New Roman"/>
          <w:sz w:val="20"/>
          <w:szCs w:val="20"/>
          <w:color w:val="auto"/>
        </w:rPr>
        <w:t>SECTION 5.15</w:t>
      </w:r>
      <w:r>
        <w:rPr>
          <w:sz w:val="20"/>
          <w:szCs w:val="20"/>
          <w:color w:val="auto"/>
        </w:rPr>
        <w:tab/>
      </w:r>
      <w:r>
        <w:rPr>
          <w:rFonts w:ascii="Times New Roman" w:cs="Times New Roman" w:eastAsia="Times New Roman" w:hAnsi="Times New Roman"/>
          <w:sz w:val="19"/>
          <w:szCs w:val="19"/>
          <w:u w:val="single" w:color="auto"/>
          <w:color w:val="auto"/>
        </w:rPr>
        <w:t>Defaulting Lenders</w:t>
      </w:r>
      <w:r>
        <w:rPr>
          <w:rFonts w:ascii="Times New Roman" w:cs="Times New Roman" w:eastAsia="Times New Roman" w:hAnsi="Times New Roman"/>
          <w:sz w:val="19"/>
          <w:szCs w:val="19"/>
          <w:color w:val="auto"/>
        </w:rPr>
        <w:t>.</w:t>
      </w:r>
    </w:p>
    <w:p>
      <w:pPr>
        <w:spacing w:after="0" w:line="225" w:lineRule="exact"/>
        <w:rPr>
          <w:sz w:val="20"/>
          <w:szCs w:val="20"/>
          <w:color w:val="auto"/>
        </w:rPr>
      </w:pPr>
    </w:p>
    <w:p>
      <w:pPr>
        <w:jc w:val="both"/>
        <w:ind w:left="680" w:right="40" w:firstLine="646"/>
        <w:spacing w:after="0" w:line="257" w:lineRule="auto"/>
        <w:tabs>
          <w:tab w:leader="none" w:pos="1927"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 Adjustments</w:t>
      </w:r>
      <w:r>
        <w:rPr>
          <w:rFonts w:ascii="Times New Roman" w:cs="Times New Roman" w:eastAsia="Times New Roman" w:hAnsi="Times New Roman"/>
          <w:sz w:val="20"/>
          <w:szCs w:val="20"/>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70" w:lineRule="exact"/>
        <w:rPr>
          <w:rFonts w:ascii="Times New Roman" w:cs="Times New Roman" w:eastAsia="Times New Roman" w:hAnsi="Times New Roman"/>
          <w:sz w:val="20"/>
          <w:szCs w:val="20"/>
          <w:color w:val="auto"/>
        </w:rPr>
      </w:pPr>
    </w:p>
    <w:p>
      <w:pPr>
        <w:jc w:val="both"/>
        <w:ind w:left="1320" w:right="40" w:firstLine="648"/>
        <w:spacing w:after="0" w:line="257" w:lineRule="auto"/>
        <w:tabs>
          <w:tab w:leader="none" w:pos="2561" w:val="left"/>
        </w:tabs>
        <w:numPr>
          <w:ilvl w:val="1"/>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Waivers and Amendments</w:t>
      </w:r>
      <w:r>
        <w:rPr>
          <w:rFonts w:ascii="Times New Roman" w:cs="Times New Roman" w:eastAsia="Times New Roman" w:hAnsi="Times New Roman"/>
          <w:sz w:val="20"/>
          <w:szCs w:val="20"/>
          <w:color w:val="auto"/>
        </w:rPr>
        <w:t xml:space="preserve">. Such Defaulting Lender’s right to approve or disapprove any amendment, waiver or consent with respect to this Agreement shall be restricted as set forth in the definitions of “Required Lenders”, “Required Revolving Credit Lenders” or “Required Term Loan Lenders” and </w:t>
      </w:r>
      <w:r>
        <w:rPr>
          <w:rFonts w:ascii="Times New Roman" w:cs="Times New Roman" w:eastAsia="Times New Roman" w:hAnsi="Times New Roman"/>
          <w:sz w:val="20"/>
          <w:szCs w:val="20"/>
          <w:u w:val="single" w:color="auto"/>
          <w:color w:val="auto"/>
        </w:rPr>
        <w:t>Section 12.2</w:t>
      </w:r>
      <w:r>
        <w:rPr>
          <w:rFonts w:ascii="Times New Roman" w:cs="Times New Roman" w:eastAsia="Times New Roman" w:hAnsi="Times New Roman"/>
          <w:sz w:val="20"/>
          <w:szCs w:val="20"/>
          <w:color w:val="auto"/>
        </w:rPr>
        <w:t>.</w:t>
      </w:r>
    </w:p>
    <w:p>
      <w:pPr>
        <w:spacing w:after="0" w:line="183" w:lineRule="exact"/>
        <w:rPr>
          <w:rFonts w:ascii="Times New Roman" w:cs="Times New Roman" w:eastAsia="Times New Roman" w:hAnsi="Times New Roman"/>
          <w:sz w:val="20"/>
          <w:szCs w:val="20"/>
          <w:color w:val="auto"/>
        </w:rPr>
      </w:pPr>
    </w:p>
    <w:p>
      <w:pPr>
        <w:jc w:val="both"/>
        <w:ind w:left="1320" w:right="20" w:firstLine="648"/>
        <w:spacing w:after="0" w:line="250" w:lineRule="auto"/>
        <w:tabs>
          <w:tab w:leader="none" w:pos="2562" w:val="left"/>
        </w:tabs>
        <w:numPr>
          <w:ilvl w:val="1"/>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 Waterfall</w:t>
      </w:r>
      <w:r>
        <w:rPr>
          <w:rFonts w:ascii="Times New Roman" w:cs="Times New Roman" w:eastAsia="Times New Roman" w:hAnsi="Times New Roman"/>
          <w:sz w:val="20"/>
          <w:szCs w:val="20"/>
          <w:color w:val="auto"/>
        </w:rPr>
        <w:t xml:space="preserve">. 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or otherwise) or received by the Administrative Agent from a Defaulting Lender pursuant to </w:t>
      </w:r>
      <w:r>
        <w:rPr>
          <w:rFonts w:ascii="Times New Roman" w:cs="Times New Roman" w:eastAsia="Times New Roman" w:hAnsi="Times New Roman"/>
          <w:sz w:val="20"/>
          <w:szCs w:val="20"/>
          <w:u w:val="single" w:color="auto"/>
          <w:color w:val="auto"/>
        </w:rPr>
        <w:t>Section 12.4</w:t>
      </w:r>
      <w:r>
        <w:rPr>
          <w:rFonts w:ascii="Times New Roman" w:cs="Times New Roman" w:eastAsia="Times New Roman" w:hAnsi="Times New Roman"/>
          <w:sz w:val="20"/>
          <w:szCs w:val="20"/>
          <w:color w:val="auto"/>
        </w:rPr>
        <w:t xml:space="preserve"> shall be applied at such time or times as may be determined by the Administrative Agent as follows: </w:t>
      </w:r>
      <w:r>
        <w:rPr>
          <w:rFonts w:ascii="Times New Roman" w:cs="Times New Roman" w:eastAsia="Times New Roman" w:hAnsi="Times New Roman"/>
          <w:sz w:val="20"/>
          <w:szCs w:val="20"/>
          <w:i w:val="1"/>
          <w:iCs w:val="1"/>
          <w:color w:val="auto"/>
        </w:rPr>
        <w:t>first</w:t>
      </w:r>
      <w:r>
        <w:rPr>
          <w:rFonts w:ascii="Times New Roman" w:cs="Times New Roman" w:eastAsia="Times New Roman" w:hAnsi="Times New Roman"/>
          <w:sz w:val="20"/>
          <w:szCs w:val="20"/>
          <w:color w:val="auto"/>
        </w:rPr>
        <w:t xml:space="preserve">, to the payment of any amounts owing by such Defaulting Lender to the Administrative Agent hereunder; </w:t>
      </w:r>
      <w:r>
        <w:rPr>
          <w:rFonts w:ascii="Times New Roman" w:cs="Times New Roman" w:eastAsia="Times New Roman" w:hAnsi="Times New Roman"/>
          <w:sz w:val="20"/>
          <w:szCs w:val="20"/>
          <w:i w:val="1"/>
          <w:iCs w:val="1"/>
          <w:color w:val="auto"/>
        </w:rPr>
        <w:t>second</w:t>
      </w:r>
      <w:r>
        <w:rPr>
          <w:rFonts w:ascii="Times New Roman" w:cs="Times New Roman" w:eastAsia="Times New Roman" w:hAnsi="Times New Roman"/>
          <w:sz w:val="20"/>
          <w:szCs w:val="20"/>
          <w:color w:val="auto"/>
        </w:rPr>
        <w:t xml:space="preserve">, to the payment on a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basis of any amounts owing by such Defaulting</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81">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166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315" w:name="page316"/>
    <w:bookmarkEnd w:id="315"/>
    <w:p>
      <w:pPr>
        <w:spacing w:after="0" w:line="92" w:lineRule="exact"/>
        <w:rPr>
          <w:sz w:val="20"/>
          <w:szCs w:val="20"/>
          <w:color w:val="auto"/>
        </w:rPr>
      </w:pPr>
    </w:p>
    <w:p>
      <w:pPr>
        <w:ind w:left="1320"/>
        <w:spacing w:after="0" w:line="279" w:lineRule="auto"/>
        <w:rPr>
          <w:sz w:val="20"/>
          <w:szCs w:val="20"/>
          <w:color w:val="auto"/>
        </w:rPr>
      </w:pPr>
      <w:r>
        <w:rPr>
          <w:rFonts w:ascii="Times New Roman" w:cs="Times New Roman" w:eastAsia="Times New Roman" w:hAnsi="Times New Roman"/>
          <w:sz w:val="20"/>
          <w:szCs w:val="20"/>
          <w:color w:val="auto"/>
        </w:rPr>
        <w:t xml:space="preserve">Lender to the Issuing Lenders or the Swingline Lenders hereunder; </w:t>
      </w:r>
      <w:r>
        <w:rPr>
          <w:rFonts w:ascii="Times New Roman" w:cs="Times New Roman" w:eastAsia="Times New Roman" w:hAnsi="Times New Roman"/>
          <w:sz w:val="20"/>
          <w:szCs w:val="20"/>
          <w:i w:val="1"/>
          <w:iCs w:val="1"/>
          <w:color w:val="auto"/>
        </w:rPr>
        <w:t>third</w:t>
      </w:r>
      <w:r>
        <w:rPr>
          <w:rFonts w:ascii="Times New Roman" w:cs="Times New Roman" w:eastAsia="Times New Roman" w:hAnsi="Times New Roman"/>
          <w:sz w:val="20"/>
          <w:szCs w:val="20"/>
          <w:color w:val="auto"/>
        </w:rPr>
        <w:t>, to Cash Collateralize the Fronting Exposure of the Issuing Lenders and the Swingline Lenders with respect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82">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167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060"/>
          </w:cols>
          <w:pgMar w:left="320" w:top="1440" w:right="519" w:bottom="1440" w:gutter="0" w:footer="0" w:header="0"/>
        </w:sectPr>
      </w:pPr>
    </w:p>
    <w:bookmarkStart w:id="316" w:name="page317"/>
    <w:bookmarkEnd w:id="316"/>
    <w:p>
      <w:pPr>
        <w:spacing w:after="0" w:line="199" w:lineRule="exact"/>
        <w:rPr>
          <w:sz w:val="20"/>
          <w:szCs w:val="20"/>
          <w:color w:val="auto"/>
        </w:rPr>
      </w:pPr>
    </w:p>
    <w:p>
      <w:pPr>
        <w:jc w:val="both"/>
        <w:ind w:left="1320"/>
        <w:spacing w:after="0" w:line="260" w:lineRule="auto"/>
        <w:rPr>
          <w:sz w:val="20"/>
          <w:szCs w:val="20"/>
          <w:color w:val="auto"/>
        </w:rPr>
      </w:pPr>
      <w:r>
        <w:rPr>
          <w:rFonts w:ascii="Times New Roman" w:cs="Times New Roman" w:eastAsia="Times New Roman" w:hAnsi="Times New Roman"/>
          <w:sz w:val="19"/>
          <w:szCs w:val="19"/>
          <w:color w:val="auto"/>
        </w:rPr>
        <w:t xml:space="preserve">Defaulting Lender in accordance with </w:t>
      </w:r>
      <w:r>
        <w:rPr>
          <w:rFonts w:ascii="Times New Roman" w:cs="Times New Roman" w:eastAsia="Times New Roman" w:hAnsi="Times New Roman"/>
          <w:sz w:val="19"/>
          <w:szCs w:val="19"/>
          <w:u w:val="single" w:color="auto"/>
          <w:color w:val="auto"/>
        </w:rPr>
        <w:t>Section 5.14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fourth</w:t>
      </w:r>
      <w:r>
        <w:rPr>
          <w:rFonts w:ascii="Times New Roman" w:cs="Times New Roman" w:eastAsia="Times New Roman" w:hAnsi="Times New Roman"/>
          <w:sz w:val="19"/>
          <w:szCs w:val="19"/>
          <w:color w:val="auto"/>
        </w:rPr>
        <w:t xml:space="preserve">, as the Borrowers may request (so long as no Default or Event of Default exists), to the funding of any Loan or funded participation in respect of which such Defaulting Lender has failed to fund its portion thereof as required by this Agreement, as determined by the Administrative Agent; </w:t>
      </w:r>
      <w:r>
        <w:rPr>
          <w:rFonts w:ascii="Times New Roman" w:cs="Times New Roman" w:eastAsia="Times New Roman" w:hAnsi="Times New Roman"/>
          <w:sz w:val="19"/>
          <w:szCs w:val="19"/>
          <w:i w:val="1"/>
          <w:iCs w:val="1"/>
          <w:color w:val="auto"/>
        </w:rPr>
        <w:t>fifth</w:t>
      </w:r>
      <w:r>
        <w:rPr>
          <w:rFonts w:ascii="Times New Roman" w:cs="Times New Roman" w:eastAsia="Times New Roman" w:hAnsi="Times New Roman"/>
          <w:sz w:val="19"/>
          <w:szCs w:val="19"/>
          <w:color w:val="auto"/>
        </w:rPr>
        <w:t xml:space="preserve">, if so determined by the Administrative Agent and the Borrowers, to be held in a deposit account and released </w:t>
      </w:r>
      <w:r>
        <w:rPr>
          <w:rFonts w:ascii="Times New Roman" w:cs="Times New Roman" w:eastAsia="Times New Roman" w:hAnsi="Times New Roman"/>
          <w:sz w:val="19"/>
          <w:szCs w:val="19"/>
          <w:u w:val="single" w:color="auto"/>
          <w:color w:val="auto"/>
        </w:rPr>
        <w:t>pro rata</w:t>
      </w:r>
      <w:r>
        <w:rPr>
          <w:rFonts w:ascii="Times New Roman" w:cs="Times New Roman" w:eastAsia="Times New Roman" w:hAnsi="Times New Roman"/>
          <w:sz w:val="19"/>
          <w:szCs w:val="19"/>
          <w:color w:val="auto"/>
        </w:rPr>
        <w:t xml:space="preserve"> in order to (A) satisfy such Defaulting Lender’s potential future funding obligations with respect to Loans and funded participations under this Agreement and (B) Cash Collateralize the Issuing Lenders’ future Fronting Exposure with respect to such Defaulting Lender with respect to future Letters of Credit and Swingline Loans issued under this Agreement, in accordance with </w:t>
      </w:r>
      <w:r>
        <w:rPr>
          <w:rFonts w:ascii="Times New Roman" w:cs="Times New Roman" w:eastAsia="Times New Roman" w:hAnsi="Times New Roman"/>
          <w:sz w:val="19"/>
          <w:szCs w:val="19"/>
          <w:u w:val="single" w:color="auto"/>
          <w:color w:val="auto"/>
        </w:rPr>
        <w:t>Section 5.14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sixth</w:t>
      </w:r>
      <w:r>
        <w:rPr>
          <w:rFonts w:ascii="Times New Roman" w:cs="Times New Roman" w:eastAsia="Times New Roman" w:hAnsi="Times New Roman"/>
          <w:sz w:val="19"/>
          <w:szCs w:val="19"/>
          <w:color w:val="auto"/>
        </w:rPr>
        <w:t>, to the payment of any amounts owing to the Lenders, the Issuing Lenders or the Swingline Lenders as a result of 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judgment of a court of competent jurisdiction obtained by any Lender, any Issuing Lender or any Swingline Lender against such Defaulting Lender as a result of such Defaulting Lender’s breach of its obligations under this Agreement; </w:t>
      </w:r>
      <w:r>
        <w:rPr>
          <w:rFonts w:ascii="Times New Roman" w:cs="Times New Roman" w:eastAsia="Times New Roman" w:hAnsi="Times New Roman"/>
          <w:sz w:val="19"/>
          <w:szCs w:val="19"/>
          <w:i w:val="1"/>
          <w:iCs w:val="1"/>
          <w:color w:val="auto"/>
        </w:rPr>
        <w:t>seventh</w:t>
      </w:r>
      <w:r>
        <w:rPr>
          <w:rFonts w:ascii="Times New Roman" w:cs="Times New Roman" w:eastAsia="Times New Roman" w:hAnsi="Times New Roman"/>
          <w:sz w:val="19"/>
          <w:szCs w:val="19"/>
          <w:color w:val="auto"/>
        </w:rPr>
        <w:t xml:space="preserve">, so long as no Default or Event of Default exists, to the payment of any amounts owing to any Borrower as a result of any judgment of a court of competent jurisdiction obtained by such Borrower against such Defaulting Lender as a result of such Defaulting Lender’s breach of its obligations under this Agreement; and </w:t>
      </w:r>
      <w:r>
        <w:rPr>
          <w:rFonts w:ascii="Times New Roman" w:cs="Times New Roman" w:eastAsia="Times New Roman" w:hAnsi="Times New Roman"/>
          <w:sz w:val="19"/>
          <w:szCs w:val="19"/>
          <w:i w:val="1"/>
          <w:iCs w:val="1"/>
          <w:color w:val="auto"/>
        </w:rPr>
        <w:t>eighth</w:t>
      </w:r>
      <w:r>
        <w:rPr>
          <w:rFonts w:ascii="Times New Roman" w:cs="Times New Roman" w:eastAsia="Times New Roman" w:hAnsi="Times New Roman"/>
          <w:sz w:val="19"/>
          <w:szCs w:val="19"/>
          <w:color w:val="auto"/>
        </w:rPr>
        <w:t xml:space="preserve">, to such Defaulting Lender or as otherwise directed by a court of competent jurisdiction;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(1) such payment is a payment of the principal amount of any Loans or funded participations in Letters of Credit or Swingline Loans in respect of which such Defaulting Lender has not fully funded its appropriate share, and (2) such Loans were made or the related Letters of Credit or Swingline Loans were issued at a time when the conditions set forth in </w:t>
      </w:r>
      <w:r>
        <w:rPr>
          <w:rFonts w:ascii="Times New Roman" w:cs="Times New Roman" w:eastAsia="Times New Roman" w:hAnsi="Times New Roman"/>
          <w:sz w:val="19"/>
          <w:szCs w:val="19"/>
          <w:u w:val="single" w:color="auto"/>
          <w:color w:val="auto"/>
        </w:rPr>
        <w:t>Section 6.2</w:t>
      </w:r>
      <w:r>
        <w:rPr>
          <w:rFonts w:ascii="Times New Roman" w:cs="Times New Roman" w:eastAsia="Times New Roman" w:hAnsi="Times New Roman"/>
          <w:sz w:val="19"/>
          <w:szCs w:val="19"/>
          <w:color w:val="auto"/>
        </w:rPr>
        <w:t xml:space="preserve"> were satisfied or waived, such payment shall be applied solely to pay the Loans of, and funded participations in Letters of Credit or Swingline Loans owed to, all Non-Defaulting Lenders on a </w:t>
      </w:r>
      <w:r>
        <w:rPr>
          <w:rFonts w:ascii="Times New Roman" w:cs="Times New Roman" w:eastAsia="Times New Roman" w:hAnsi="Times New Roman"/>
          <w:sz w:val="19"/>
          <w:szCs w:val="19"/>
          <w:u w:val="single" w:color="auto"/>
          <w:color w:val="auto"/>
        </w:rPr>
        <w:t>pro rata</w:t>
      </w:r>
      <w:r>
        <w:rPr>
          <w:rFonts w:ascii="Times New Roman" w:cs="Times New Roman" w:eastAsia="Times New Roman" w:hAnsi="Times New Roman"/>
          <w:sz w:val="19"/>
          <w:szCs w:val="19"/>
          <w:color w:val="auto"/>
        </w:rPr>
        <w:t xml:space="preserve"> basis prior to being applied to the payment of any Loans of, or funded participations in Letters of Credit or Swingline Loans owed to, such Defaulting Lender until such time as all Loans and funded and unfunded participations in L/C Obligations and Swingline Loans are held by the Lenders </w:t>
      </w:r>
      <w:r>
        <w:rPr>
          <w:rFonts w:ascii="Times New Roman" w:cs="Times New Roman" w:eastAsia="Times New Roman" w:hAnsi="Times New Roman"/>
          <w:sz w:val="19"/>
          <w:szCs w:val="19"/>
          <w:u w:val="single" w:color="auto"/>
          <w:color w:val="auto"/>
        </w:rPr>
        <w:t>pro rata</w:t>
      </w:r>
      <w:r>
        <w:rPr>
          <w:rFonts w:ascii="Times New Roman" w:cs="Times New Roman" w:eastAsia="Times New Roman" w:hAnsi="Times New Roman"/>
          <w:sz w:val="19"/>
          <w:szCs w:val="19"/>
          <w:color w:val="auto"/>
        </w:rPr>
        <w:t xml:space="preserve"> in accordance with the Revolving Credit Commitments under the applicable Revolving Credit Facility without giving effect to </w:t>
      </w:r>
      <w:r>
        <w:rPr>
          <w:rFonts w:ascii="Times New Roman" w:cs="Times New Roman" w:eastAsia="Times New Roman" w:hAnsi="Times New Roman"/>
          <w:sz w:val="19"/>
          <w:szCs w:val="19"/>
          <w:u w:val="single" w:color="auto"/>
          <w:color w:val="auto"/>
        </w:rPr>
        <w:t>Section 5.15(a)(iv)</w:t>
      </w:r>
      <w:r>
        <w:rPr>
          <w:rFonts w:ascii="Times New Roman" w:cs="Times New Roman" w:eastAsia="Times New Roman" w:hAnsi="Times New Roman"/>
          <w:sz w:val="19"/>
          <w:szCs w:val="19"/>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19"/>
          <w:szCs w:val="19"/>
          <w:u w:val="single" w:color="auto"/>
          <w:color w:val="auto"/>
        </w:rPr>
        <w:t>Section 5.15(a)(ii)</w:t>
      </w:r>
      <w:r>
        <w:rPr>
          <w:rFonts w:ascii="Times New Roman" w:cs="Times New Roman" w:eastAsia="Times New Roman" w:hAnsi="Times New Roman"/>
          <w:sz w:val="19"/>
          <w:szCs w:val="19"/>
          <w:color w:val="auto"/>
        </w:rPr>
        <w:t xml:space="preserve"> shall be deemed paid to and redirected by such Defaulting Lender, and each Lender irrevocably consents hereto.</w:t>
      </w:r>
    </w:p>
    <w:p>
      <w:pPr>
        <w:spacing w:after="0" w:line="380" w:lineRule="exact"/>
        <w:rPr>
          <w:sz w:val="20"/>
          <w:szCs w:val="20"/>
          <w:color w:val="auto"/>
        </w:rPr>
      </w:pPr>
    </w:p>
    <w:p>
      <w:pPr>
        <w:ind w:left="2600" w:hanging="631"/>
        <w:spacing w:after="0"/>
        <w:tabs>
          <w:tab w:leader="none" w:pos="2600"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Fees</w:t>
      </w:r>
      <w:r>
        <w:rPr>
          <w:rFonts w:ascii="Times New Roman" w:cs="Times New Roman" w:eastAsia="Times New Roman" w:hAnsi="Times New Roman"/>
          <w:sz w:val="20"/>
          <w:szCs w:val="20"/>
          <w:color w:val="auto"/>
        </w:rPr>
        <w:t>.</w:t>
      </w:r>
    </w:p>
    <w:p>
      <w:pPr>
        <w:spacing w:after="0" w:line="224" w:lineRule="exact"/>
        <w:rPr>
          <w:rFonts w:ascii="Times New Roman" w:cs="Times New Roman" w:eastAsia="Times New Roman" w:hAnsi="Times New Roman"/>
          <w:sz w:val="20"/>
          <w:szCs w:val="20"/>
          <w:color w:val="auto"/>
        </w:rPr>
      </w:pPr>
    </w:p>
    <w:p>
      <w:pPr>
        <w:jc w:val="both"/>
        <w:ind w:left="1960" w:right="60" w:firstLine="650"/>
        <w:spacing w:after="0" w:line="257" w:lineRule="auto"/>
        <w:tabs>
          <w:tab w:leader="none" w:pos="3195" w:val="left"/>
        </w:tabs>
        <w:numPr>
          <w:ilvl w:val="1"/>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Defaulting Lender shall be entitled to receive any Commitment Fee for any period during which that Lender is a Defaulting Lender (and the Borrowers shall not be required to pay any such fee that otherwise would have been required to have been paid to that Defaulting Lender).</w:t>
      </w:r>
    </w:p>
    <w:p>
      <w:pPr>
        <w:spacing w:after="0" w:line="170" w:lineRule="exact"/>
        <w:rPr>
          <w:rFonts w:ascii="Times New Roman" w:cs="Times New Roman" w:eastAsia="Times New Roman" w:hAnsi="Times New Roman"/>
          <w:sz w:val="20"/>
          <w:szCs w:val="20"/>
          <w:color w:val="auto"/>
        </w:rPr>
      </w:pPr>
    </w:p>
    <w:p>
      <w:pPr>
        <w:jc w:val="both"/>
        <w:ind w:left="1960" w:right="60" w:firstLine="649"/>
        <w:spacing w:after="0" w:line="255" w:lineRule="auto"/>
        <w:tabs>
          <w:tab w:leader="none" w:pos="3197" w:val="left"/>
        </w:tabs>
        <w:numPr>
          <w:ilvl w:val="1"/>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Defaulting Lender shall be entitled to receive letter of credit commissions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3.3</w:t>
      </w:r>
      <w:r>
        <w:rPr>
          <w:rFonts w:ascii="Times New Roman" w:cs="Times New Roman" w:eastAsia="Times New Roman" w:hAnsi="Times New Roman"/>
          <w:sz w:val="20"/>
          <w:szCs w:val="20"/>
          <w:color w:val="auto"/>
        </w:rPr>
        <w:t xml:space="preserve"> for any period during which that Lender is a Defaulting Lender only to the extent allocable to its Revolving Credit Commitment Percentage of the stated amount of Letters of Credit for which it has provided Cash Collateral pursuant to </w:t>
      </w:r>
      <w:r>
        <w:rPr>
          <w:rFonts w:ascii="Times New Roman" w:cs="Times New Roman" w:eastAsia="Times New Roman" w:hAnsi="Times New Roman"/>
          <w:sz w:val="20"/>
          <w:szCs w:val="20"/>
          <w:u w:val="single" w:color="auto"/>
          <w:color w:val="auto"/>
        </w:rPr>
        <w:t>Section 5.14</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jc w:val="both"/>
        <w:ind w:left="1960" w:right="60" w:firstLine="650"/>
        <w:spacing w:after="0" w:line="264" w:lineRule="auto"/>
        <w:tabs>
          <w:tab w:leader="none" w:pos="3197" w:val="left"/>
        </w:tabs>
        <w:numPr>
          <w:ilvl w:val="1"/>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Commitment Fee or letter of credit commission not required to be paid to any Defaulting Lender pursuant to clause (A) or (B) above, the Borrowers shall (1) pay to each Non-Defaulting Lender that portion of any such fee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83">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168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20"/>
          </w:cols>
          <w:pgMar w:left="320" w:top="1440" w:right="459" w:bottom="1440" w:gutter="0" w:footer="0" w:header="0"/>
        </w:sectPr>
      </w:pPr>
    </w:p>
    <w:bookmarkStart w:id="317" w:name="page318"/>
    <w:bookmarkEnd w:id="317"/>
    <w:p>
      <w:pPr>
        <w:spacing w:after="0" w:line="94" w:lineRule="exact"/>
        <w:rPr>
          <w:sz w:val="20"/>
          <w:szCs w:val="20"/>
          <w:color w:val="auto"/>
        </w:rPr>
      </w:pPr>
    </w:p>
    <w:p>
      <w:pPr>
        <w:ind w:left="1960"/>
        <w:spacing w:after="0" w:line="263" w:lineRule="auto"/>
        <w:rPr>
          <w:sz w:val="20"/>
          <w:szCs w:val="20"/>
          <w:color w:val="auto"/>
        </w:rPr>
      </w:pPr>
      <w:r>
        <w:rPr>
          <w:rFonts w:ascii="Times New Roman" w:cs="Times New Roman" w:eastAsia="Times New Roman" w:hAnsi="Times New Roman"/>
          <w:sz w:val="20"/>
          <w:szCs w:val="20"/>
          <w:color w:val="auto"/>
        </w:rPr>
        <w:t>otherwise payable to such Defaulting Lender with respect to such Defaulting Lender’s participation in L/C Obligations or Swingline Loans that has been reallocated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84">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169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060"/>
          </w:cols>
          <w:pgMar w:left="320" w:top="1440" w:right="519" w:bottom="1440" w:gutter="0" w:footer="0" w:header="0"/>
        </w:sectPr>
      </w:pPr>
    </w:p>
    <w:bookmarkStart w:id="318" w:name="page319"/>
    <w:bookmarkEnd w:id="318"/>
    <w:p>
      <w:pPr>
        <w:spacing w:after="0" w:line="201" w:lineRule="exact"/>
        <w:rPr>
          <w:sz w:val="20"/>
          <w:szCs w:val="20"/>
          <w:color w:val="auto"/>
        </w:rPr>
      </w:pPr>
    </w:p>
    <w:p>
      <w:pPr>
        <w:jc w:val="both"/>
        <w:ind w:left="1960" w:right="20"/>
        <w:spacing w:after="0" w:line="250" w:lineRule="auto"/>
        <w:rPr>
          <w:sz w:val="20"/>
          <w:szCs w:val="20"/>
          <w:color w:val="auto"/>
        </w:rPr>
      </w:pPr>
      <w:r>
        <w:rPr>
          <w:rFonts w:ascii="Times New Roman" w:cs="Times New Roman" w:eastAsia="Times New Roman" w:hAnsi="Times New Roman"/>
          <w:sz w:val="20"/>
          <w:szCs w:val="20"/>
          <w:color w:val="auto"/>
        </w:rPr>
        <w:t>Non-Defaulting Lender pursuant to clause (iv) below, (2) pay to each applicable Issuing Lender and Swingline Lender, as applicable, the amount of any such fee otherwise payable to such Defaulting Lender to the extent allocable to such Issuing Lender’s or Swingline Lender’s Fronting Exposure to such Defaulting Lender, and (3) not be required to pay the remaining amount of any such fee.</w:t>
      </w:r>
    </w:p>
    <w:p>
      <w:pPr>
        <w:spacing w:after="0" w:line="192" w:lineRule="exact"/>
        <w:rPr>
          <w:sz w:val="20"/>
          <w:szCs w:val="20"/>
          <w:color w:val="auto"/>
        </w:rPr>
      </w:pPr>
    </w:p>
    <w:p>
      <w:pPr>
        <w:jc w:val="both"/>
        <w:ind w:left="1320" w:right="20" w:firstLine="648"/>
        <w:spacing w:after="0" w:line="248" w:lineRule="auto"/>
        <w:tabs>
          <w:tab w:leader="none" w:pos="2566" w:val="left"/>
        </w:tabs>
        <w:numPr>
          <w:ilvl w:val="1"/>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Reallocation of Participations to Reduce Fronting Exposure</w:t>
      </w:r>
      <w:r>
        <w:rPr>
          <w:rFonts w:ascii="Times New Roman" w:cs="Times New Roman" w:eastAsia="Times New Roman" w:hAnsi="Times New Roman"/>
          <w:sz w:val="20"/>
          <w:szCs w:val="20"/>
          <w:color w:val="auto"/>
        </w:rPr>
        <w:t xml:space="preserve">. All or any part of such Defaulting Lender’s participation in L/C Obligations and Swingline Loans shall be reallocated among the Non-Defaulting Lenders in accordance with their respective Revolving Credit Commitment Percentages (calculated without regard to such Defaulting Lender’s Revolving Credit Commitment) but only to the extent that (x) the conditions set forth in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are satisfied at the time of such reallocation (and, unless the Borrowers shall have otherwise notified the Administrative Agent at such time, the Borrowers shall be deemed to have represented and warranted that such conditions are satisfied at such time), and (y) such reallocation does not cause the aggregate Revolving Credit Exposure of any Non-Defaulting Lender to exceed such Non-Defaulting Lender’s Revolving Credit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67" w:lineRule="exact"/>
        <w:rPr>
          <w:rFonts w:ascii="Times New Roman" w:cs="Times New Roman" w:eastAsia="Times New Roman" w:hAnsi="Times New Roman"/>
          <w:sz w:val="20"/>
          <w:szCs w:val="20"/>
          <w:color w:val="auto"/>
        </w:rPr>
      </w:pPr>
    </w:p>
    <w:p>
      <w:pPr>
        <w:jc w:val="both"/>
        <w:ind w:left="1320" w:right="40" w:firstLine="648"/>
        <w:spacing w:after="0" w:line="254" w:lineRule="auto"/>
        <w:tabs>
          <w:tab w:leader="none" w:pos="2565" w:val="left"/>
        </w:tabs>
        <w:numPr>
          <w:ilvl w:val="1"/>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Collateral, Repayment of Swingline Loans</w:t>
      </w:r>
      <w:r>
        <w:rPr>
          <w:rFonts w:ascii="Times New Roman" w:cs="Times New Roman" w:eastAsia="Times New Roman" w:hAnsi="Times New Roman"/>
          <w:sz w:val="20"/>
          <w:szCs w:val="20"/>
          <w:color w:val="auto"/>
        </w:rPr>
        <w:t xml:space="preserve">. If the reallocation described in clause (iv) above cannot, or can only partially, be effected, the Borrowers shall, without prejudice to any right or remedy available to it hereunder or under law, (x)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repay Swingline Loans in an amount equal to the Swingline Lenders’ Fronting Exposure and (y)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Cash Collateralize the Issuing Lenders’ Fronting Exposure in accordance with the procedures set forth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5.14</w:t>
      </w:r>
      <w:r>
        <w:rPr>
          <w:rFonts w:ascii="Times New Roman" w:cs="Times New Roman" w:eastAsia="Times New Roman" w:hAnsi="Times New Roman"/>
          <w:sz w:val="20"/>
          <w:szCs w:val="20"/>
          <w:color w:val="auto"/>
        </w:rPr>
        <w:t>.</w:t>
      </w:r>
    </w:p>
    <w:p>
      <w:pPr>
        <w:spacing w:after="0" w:line="173" w:lineRule="exact"/>
        <w:rPr>
          <w:rFonts w:ascii="Times New Roman" w:cs="Times New Roman" w:eastAsia="Times New Roman" w:hAnsi="Times New Roman"/>
          <w:sz w:val="20"/>
          <w:szCs w:val="20"/>
          <w:color w:val="auto"/>
        </w:rPr>
      </w:pPr>
    </w:p>
    <w:p>
      <w:pPr>
        <w:jc w:val="both"/>
        <w:ind w:left="680" w:right="20" w:firstLine="646"/>
        <w:spacing w:after="0" w:line="262" w:lineRule="auto"/>
        <w:tabs>
          <w:tab w:leader="none" w:pos="1925" w:val="left"/>
        </w:tabs>
        <w:numPr>
          <w:ilvl w:val="0"/>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Defaulting Lender Cure</w:t>
      </w:r>
      <w:r>
        <w:rPr>
          <w:rFonts w:ascii="Times New Roman" w:cs="Times New Roman" w:eastAsia="Times New Roman" w:hAnsi="Times New Roman"/>
          <w:sz w:val="19"/>
          <w:szCs w:val="19"/>
          <w:color w:val="auto"/>
        </w:rPr>
        <w:t xml:space="preserve">. If the Borrowers, the Administrative Agent, the Issuing Lenders and the Swingline Lenders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w:t>
      </w:r>
      <w:r>
        <w:rPr>
          <w:rFonts w:ascii="Times New Roman" w:cs="Times New Roman" w:eastAsia="Times New Roman" w:hAnsi="Times New Roman"/>
          <w:sz w:val="19"/>
          <w:szCs w:val="19"/>
          <w:u w:val="single" w:color="auto"/>
          <w:color w:val="auto"/>
        </w:rPr>
        <w:t>pro rata</w:t>
      </w:r>
      <w:r>
        <w:rPr>
          <w:rFonts w:ascii="Times New Roman" w:cs="Times New Roman" w:eastAsia="Times New Roman" w:hAnsi="Times New Roman"/>
          <w:sz w:val="19"/>
          <w:szCs w:val="19"/>
          <w:color w:val="auto"/>
        </w:rPr>
        <w:t xml:space="preserve"> by the Lenders in accordance with the Commitments under the applicable Credit Facility (without giving effect to </w:t>
      </w:r>
      <w:r>
        <w:rPr>
          <w:rFonts w:ascii="Times New Roman" w:cs="Times New Roman" w:eastAsia="Times New Roman" w:hAnsi="Times New Roman"/>
          <w:sz w:val="19"/>
          <w:szCs w:val="19"/>
          <w:u w:val="single" w:color="auto"/>
          <w:color w:val="auto"/>
        </w:rPr>
        <w:t>Section 5.15(a)(iv)</w:t>
      </w:r>
      <w:r>
        <w:rPr>
          <w:rFonts w:ascii="Times New Roman" w:cs="Times New Roman" w:eastAsia="Times New Roman" w:hAnsi="Times New Roman"/>
          <w:sz w:val="19"/>
          <w:szCs w:val="19"/>
          <w:color w:val="auto"/>
        </w:rPr>
        <w:t xml:space="preserve">), whereupon such Lender will cease to be a Defaulting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adjustments will be made retroactively with respect to fees accrued or payments made by or on behalf of the Borrowers while that Lender was a Defaulting Lender; and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58" w:lineRule="exact"/>
        <w:rPr>
          <w:sz w:val="20"/>
          <w:szCs w:val="20"/>
          <w:color w:val="auto"/>
        </w:rPr>
      </w:pPr>
    </w:p>
    <w:p>
      <w:pPr>
        <w:jc w:val="center"/>
        <w:ind w:right="-139"/>
        <w:spacing w:after="0"/>
        <w:tabs>
          <w:tab w:leader="none" w:pos="180" w:val="left"/>
        </w:tabs>
        <w:rPr>
          <w:sz w:val="20"/>
          <w:szCs w:val="20"/>
          <w:color w:val="auto"/>
        </w:rPr>
      </w:pPr>
      <w:r>
        <w:rPr>
          <w:rFonts w:ascii="Times New Roman" w:cs="Times New Roman" w:eastAsia="Times New Roman" w:hAnsi="Times New Roman"/>
          <w:sz w:val="20"/>
          <w:szCs w:val="20"/>
          <w:color w:val="auto"/>
        </w:rPr>
        <w:t>SECTION 5.16</w:t>
      </w:r>
      <w:r>
        <w:rPr>
          <w:sz w:val="20"/>
          <w:szCs w:val="20"/>
          <w:color w:val="auto"/>
        </w:rPr>
        <w:tab/>
      </w:r>
      <w:r>
        <w:rPr>
          <w:rFonts w:ascii="Times New Roman" w:cs="Times New Roman" w:eastAsia="Times New Roman" w:hAnsi="Times New Roman"/>
          <w:sz w:val="19"/>
          <w:szCs w:val="19"/>
          <w:u w:val="single" w:color="auto"/>
          <w:color w:val="auto"/>
        </w:rPr>
        <w:t>Centuri as Agent for the Borrowers; Nature of Obligations</w:t>
      </w:r>
      <w:r>
        <w:rPr>
          <w:rFonts w:ascii="Times New Roman" w:cs="Times New Roman" w:eastAsia="Times New Roman" w:hAnsi="Times New Roman"/>
          <w:sz w:val="19"/>
          <w:szCs w:val="19"/>
          <w:color w:val="auto"/>
        </w:rPr>
        <w:t>.</w:t>
      </w:r>
    </w:p>
    <w:p>
      <w:pPr>
        <w:spacing w:after="0" w:line="225" w:lineRule="exact"/>
        <w:rPr>
          <w:sz w:val="20"/>
          <w:szCs w:val="20"/>
          <w:color w:val="auto"/>
        </w:rPr>
      </w:pPr>
    </w:p>
    <w:p>
      <w:pPr>
        <w:jc w:val="both"/>
        <w:ind w:left="680" w:firstLine="646"/>
        <w:spacing w:after="0" w:line="269" w:lineRule="auto"/>
        <w:tabs>
          <w:tab w:leader="none" w:pos="1927" w:val="left"/>
        </w:tabs>
        <w:numPr>
          <w:ilvl w:val="1"/>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Borrower hereby irrevocably appoints and authorizes Centuri (a) to provide the Administrative Agent with all notices with respect to Loans obtained for the benefit of such Borrower and all other notices and instructions under this Agreement,</w:t>
      </w:r>
    </w:p>
    <w:p>
      <w:pPr>
        <w:ind w:left="960" w:hanging="276"/>
        <w:spacing w:after="0"/>
        <w:tabs>
          <w:tab w:leader="none" w:pos="960" w:val="left"/>
        </w:tabs>
        <w:numPr>
          <w:ilvl w:val="0"/>
          <w:numId w:val="1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take such action on behalf of such Borrower as Centuri deems appropriate on its behalf to such Borrower Loans or Letters of</w:t>
      </w:r>
    </w:p>
    <w:p>
      <w:pPr>
        <w:spacing w:after="0" w:line="1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Credit and to exercise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85">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170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319" w:name="page320"/>
    <w:bookmarkEnd w:id="319"/>
    <w:p>
      <w:pPr>
        <w:spacing w:after="0" w:line="94" w:lineRule="exact"/>
        <w:rPr>
          <w:sz w:val="20"/>
          <w:szCs w:val="20"/>
          <w:color w:val="auto"/>
        </w:rPr>
      </w:pPr>
    </w:p>
    <w:p>
      <w:pPr>
        <w:ind w:left="680"/>
        <w:spacing w:after="0" w:line="277" w:lineRule="auto"/>
        <w:rPr>
          <w:sz w:val="20"/>
          <w:szCs w:val="20"/>
          <w:color w:val="auto"/>
        </w:rPr>
      </w:pPr>
      <w:r>
        <w:rPr>
          <w:rFonts w:ascii="Times New Roman" w:cs="Times New Roman" w:eastAsia="Times New Roman" w:hAnsi="Times New Roman"/>
          <w:sz w:val="20"/>
          <w:szCs w:val="20"/>
          <w:color w:val="auto"/>
        </w:rPr>
        <w:t>such other powers as are reasonably incidental thereto to carry out the purposes of this Agreement and (c) to act as its agent for service of process and notices required to be delivered under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86">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171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320" w:name="page321"/>
    <w:bookmarkEnd w:id="320"/>
    <w:p>
      <w:pPr>
        <w:spacing w:after="0" w:line="201" w:lineRule="exact"/>
        <w:rPr>
          <w:sz w:val="20"/>
          <w:szCs w:val="20"/>
          <w:color w:val="auto"/>
        </w:rPr>
      </w:pPr>
    </w:p>
    <w:p>
      <w:pPr>
        <w:ind w:left="680" w:right="300"/>
        <w:spacing w:after="0" w:line="263" w:lineRule="auto"/>
        <w:rPr>
          <w:sz w:val="20"/>
          <w:szCs w:val="20"/>
          <w:color w:val="auto"/>
        </w:rPr>
      </w:pPr>
      <w:r>
        <w:rPr>
          <w:rFonts w:ascii="Times New Roman" w:cs="Times New Roman" w:eastAsia="Times New Roman" w:hAnsi="Times New Roman"/>
          <w:sz w:val="20"/>
          <w:szCs w:val="20"/>
          <w:color w:val="auto"/>
        </w:rPr>
        <w:t>Agreement or the other Loan Documents, it being understood and agreed that receipt by Centuri of any summons, notice or other similar item shall be deemed effective receipt by the Consolidated Companies.</w:t>
      </w:r>
    </w:p>
    <w:p>
      <w:pPr>
        <w:spacing w:after="0" w:line="178" w:lineRule="exact"/>
        <w:rPr>
          <w:sz w:val="20"/>
          <w:szCs w:val="20"/>
          <w:color w:val="auto"/>
        </w:rPr>
      </w:pPr>
    </w:p>
    <w:p>
      <w:pPr>
        <w:jc w:val="both"/>
        <w:ind w:left="680" w:right="40" w:firstLine="646"/>
        <w:spacing w:after="0" w:line="267" w:lineRule="auto"/>
        <w:tabs>
          <w:tab w:leader="none" w:pos="1925" w:val="left"/>
        </w:tabs>
        <w:numPr>
          <w:ilvl w:val="0"/>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to contrary contained in the Loan Documents, (a) the US Borrowers shall be jointly and severally liable for all Obligations and (b) the Canadian Borrowers shall be jointly and severally liable for all Canadian Obligations, but in no event shall any Canadian Borrower have any obligation with respect to the US Obligations. In the event of any conflict or inconsistency between this </w:t>
      </w:r>
      <w:r>
        <w:rPr>
          <w:rFonts w:ascii="Times New Roman" w:cs="Times New Roman" w:eastAsia="Times New Roman" w:hAnsi="Times New Roman"/>
          <w:sz w:val="19"/>
          <w:szCs w:val="19"/>
          <w:u w:val="single" w:color="auto"/>
          <w:color w:val="auto"/>
        </w:rPr>
        <w:t>Section 5.16(b)</w:t>
      </w:r>
      <w:r>
        <w:rPr>
          <w:rFonts w:ascii="Times New Roman" w:cs="Times New Roman" w:eastAsia="Times New Roman" w:hAnsi="Times New Roman"/>
          <w:sz w:val="19"/>
          <w:szCs w:val="19"/>
          <w:color w:val="auto"/>
        </w:rPr>
        <w:t xml:space="preserve"> and any other provision of any Loan Document, this </w:t>
      </w:r>
      <w:r>
        <w:rPr>
          <w:rFonts w:ascii="Times New Roman" w:cs="Times New Roman" w:eastAsia="Times New Roman" w:hAnsi="Times New Roman"/>
          <w:sz w:val="19"/>
          <w:szCs w:val="19"/>
          <w:u w:val="single" w:color="auto"/>
          <w:color w:val="auto"/>
        </w:rPr>
        <w:t>Section 5.16(b)</w:t>
      </w:r>
      <w:r>
        <w:rPr>
          <w:rFonts w:ascii="Times New Roman" w:cs="Times New Roman" w:eastAsia="Times New Roman" w:hAnsi="Times New Roman"/>
          <w:sz w:val="19"/>
          <w:szCs w:val="19"/>
          <w:color w:val="auto"/>
        </w:rPr>
        <w:t xml:space="preserve"> shall control.</w:t>
      </w:r>
    </w:p>
    <w:p>
      <w:pPr>
        <w:spacing w:after="0" w:line="178" w:lineRule="exact"/>
        <w:rPr>
          <w:sz w:val="20"/>
          <w:szCs w:val="20"/>
          <w:color w:val="auto"/>
        </w:rPr>
      </w:pPr>
    </w:p>
    <w:p>
      <w:pPr>
        <w:jc w:val="both"/>
        <w:ind w:left="680" w:firstLine="642"/>
        <w:spacing w:after="0" w:line="260" w:lineRule="auto"/>
        <w:rPr>
          <w:sz w:val="20"/>
          <w:szCs w:val="20"/>
          <w:color w:val="auto"/>
        </w:rPr>
      </w:pPr>
      <w:r>
        <w:rPr>
          <w:rFonts w:ascii="Times New Roman" w:cs="Times New Roman" w:eastAsia="Times New Roman" w:hAnsi="Times New Roman"/>
          <w:sz w:val="19"/>
          <w:szCs w:val="19"/>
          <w:color w:val="auto"/>
        </w:rPr>
        <w:t xml:space="preserve">SECTION 5.17 </w:t>
      </w:r>
      <w:r>
        <w:rPr>
          <w:rFonts w:ascii="Times New Roman" w:cs="Times New Roman" w:eastAsia="Times New Roman" w:hAnsi="Times New Roman"/>
          <w:sz w:val="19"/>
          <w:szCs w:val="19"/>
          <w:u w:val="single" w:color="auto"/>
          <w:color w:val="auto"/>
        </w:rPr>
        <w:t>Additional Borrowers</w:t>
      </w:r>
      <w:r>
        <w:rPr>
          <w:rFonts w:ascii="Times New Roman" w:cs="Times New Roman" w:eastAsia="Times New Roman" w:hAnsi="Times New Roman"/>
          <w:sz w:val="19"/>
          <w:szCs w:val="19"/>
          <w:color w:val="auto"/>
        </w:rPr>
        <w:t xml:space="preserve">. Subject to </w:t>
      </w:r>
      <w:r>
        <w:rPr>
          <w:rFonts w:ascii="Times New Roman" w:cs="Times New Roman" w:eastAsia="Times New Roman" w:hAnsi="Times New Roman"/>
          <w:sz w:val="19"/>
          <w:szCs w:val="19"/>
          <w:u w:val="single" w:color="auto"/>
          <w:color w:val="auto"/>
        </w:rPr>
        <w:t>Section 8.14</w:t>
      </w:r>
      <w:r>
        <w:rPr>
          <w:rFonts w:ascii="Times New Roman" w:cs="Times New Roman" w:eastAsia="Times New Roman" w:hAnsi="Times New Roman"/>
          <w:sz w:val="19"/>
          <w:szCs w:val="19"/>
          <w:color w:val="auto"/>
        </w:rPr>
        <w:t>, Centuri may at any time, upon not less than fifteen (15) Business Days’ notice from Centuri to the Administrative Agent and the Lenders (or such shorter period as may be agreed by the Administrative Agent in its sole discretion), request that a Wholly-Owned US Subsidiary or Wholly-Owned Canadian Subsidiary (each, an “</w:t>
      </w:r>
      <w:r>
        <w:rPr>
          <w:rFonts w:ascii="Times New Roman" w:cs="Times New Roman" w:eastAsia="Times New Roman" w:hAnsi="Times New Roman"/>
          <w:sz w:val="19"/>
          <w:szCs w:val="19"/>
          <w:u w:val="single" w:color="auto"/>
          <w:color w:val="auto"/>
        </w:rPr>
        <w:t>Applicant Borrower</w:t>
      </w:r>
      <w:r>
        <w:rPr>
          <w:rFonts w:ascii="Times New Roman" w:cs="Times New Roman" w:eastAsia="Times New Roman" w:hAnsi="Times New Roman"/>
          <w:sz w:val="19"/>
          <w:szCs w:val="19"/>
          <w:color w:val="auto"/>
        </w:rPr>
        <w:t xml:space="preserve">”) be designated as an Additional Borrower to receive Loans and request Letters of Credit hereunder by delivering to the Administrative Agent (which shall promptly deliver counterparts thereof to each Lender) a duly executed notice and agreement in substantially the form of </w:t>
      </w:r>
      <w:r>
        <w:rPr>
          <w:rFonts w:ascii="Times New Roman" w:cs="Times New Roman" w:eastAsia="Times New Roman" w:hAnsi="Times New Roman"/>
          <w:sz w:val="19"/>
          <w:szCs w:val="19"/>
          <w:b w:val="1"/>
          <w:bCs w:val="1"/>
          <w:i w:val="1"/>
          <w:iCs w:val="1"/>
          <w:color w:val="auto"/>
        </w:rPr>
        <w:t>Exhibit I</w:t>
      </w:r>
      <w:r>
        <w:rPr>
          <w:rFonts w:ascii="Times New Roman" w:cs="Times New Roman" w:eastAsia="Times New Roman" w:hAnsi="Times New Roman"/>
          <w:sz w:val="19"/>
          <w:szCs w:val="19"/>
          <w:color w:val="auto"/>
        </w:rPr>
        <w:t xml:space="preserve"> (an “</w:t>
      </w:r>
      <w:r>
        <w:rPr>
          <w:rFonts w:ascii="Times New Roman" w:cs="Times New Roman" w:eastAsia="Times New Roman" w:hAnsi="Times New Roman"/>
          <w:sz w:val="19"/>
          <w:szCs w:val="19"/>
          <w:u w:val="single" w:color="auto"/>
          <w:color w:val="auto"/>
        </w:rPr>
        <w:t>Additional Borrower Request and Assumption Agreement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US Subsidiary or Canadian Subsidiary may be designated as an Additional Borrower without the consent of each Revolving Credit Lender unless such US Subsidiary or Canadian Subsidiary is already a US Subsidiary Guarantor or Canadian Subsidiary Guarantor, as applicable. The parties hereto acknowledge and agree that prior to any Applicant Borrower becoming entitled to utilize the Credit Facilities, the Administrative Agent and the Lenders shall have received such supporting Security Documents, supplements to the Loan Documents, resolutions, incumbency certificates, opinions of counsel, all documentation and other information in order to comply with requirements of any Anti-Money Laundering Laws including, without limitation, the PATRIOT Act and any applicable “know your customer” rules and regulations, Beneficial Ownership Certification and other documents or information, in form, content and scope reasonably satisfactory to the Administrative Agent, as may be required by the Administrative Agent or the Lenders in their sole discretion, and Notes signed by such new Borrowers to the extent any Lenders so require. If the Administrative Agent and the Lenders agree that an Applicant Borrower shall be entitled to receive Loans and request Letters of Credit hereunder, then promptly following receipt of all such requested documents and information described above, the Administrative Agent shall send a notice in substantially the form of </w:t>
      </w:r>
      <w:r>
        <w:rPr>
          <w:rFonts w:ascii="Times New Roman" w:cs="Times New Roman" w:eastAsia="Times New Roman" w:hAnsi="Times New Roman"/>
          <w:sz w:val="19"/>
          <w:szCs w:val="19"/>
          <w:b w:val="1"/>
          <w:bCs w:val="1"/>
          <w:i w:val="1"/>
          <w:iCs w:val="1"/>
          <w:color w:val="auto"/>
        </w:rPr>
        <w:t>Exhibit J</w:t>
      </w:r>
      <w:r>
        <w:rPr>
          <w:rFonts w:ascii="Times New Roman" w:cs="Times New Roman" w:eastAsia="Times New Roman" w:hAnsi="Times New Roman"/>
          <w:sz w:val="19"/>
          <w:szCs w:val="19"/>
          <w:color w:val="auto"/>
        </w:rPr>
        <w:t xml:space="preserve"> (an “</w:t>
      </w:r>
      <w:r>
        <w:rPr>
          <w:rFonts w:ascii="Times New Roman" w:cs="Times New Roman" w:eastAsia="Times New Roman" w:hAnsi="Times New Roman"/>
          <w:sz w:val="19"/>
          <w:szCs w:val="19"/>
          <w:u w:val="single" w:color="auto"/>
          <w:color w:val="auto"/>
        </w:rPr>
        <w:t>Additional Borrower Notice</w:t>
      </w:r>
      <w:r>
        <w:rPr>
          <w:rFonts w:ascii="Times New Roman" w:cs="Times New Roman" w:eastAsia="Times New Roman" w:hAnsi="Times New Roman"/>
          <w:sz w:val="19"/>
          <w:szCs w:val="19"/>
          <w:color w:val="auto"/>
        </w:rPr>
        <w:t xml:space="preserve">”) to Centuri and the Lenders specifying the effective date upon which the Applicant Borrower shall constitute an Additional Borrower for purposes hereof, whereupon each of the Lenders agrees to permit such Additional Borrower to receive Loans and request Letters of Credit hereunder, on the terms and conditions set forth herein, and each of the parties agrees that such Additional Borrower otherwise shall be a Borrower for all purposes of this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Notice of Borrowing or Letter of Credit Application may be submitted by or on behalf of such Additional Borrower until the date five (5) Business Days after such effective date.</w:t>
      </w:r>
    </w:p>
    <w:p>
      <w:pPr>
        <w:spacing w:after="0" w:line="147" w:lineRule="exact"/>
        <w:rPr>
          <w:sz w:val="20"/>
          <w:szCs w:val="20"/>
          <w:color w:val="auto"/>
        </w:rPr>
      </w:pPr>
    </w:p>
    <w:p>
      <w:pPr>
        <w:ind w:left="1320"/>
        <w:spacing w:after="0"/>
        <w:tabs>
          <w:tab w:leader="none" w:pos="2720" w:val="left"/>
        </w:tabs>
        <w:rPr>
          <w:sz w:val="20"/>
          <w:szCs w:val="20"/>
          <w:color w:val="auto"/>
        </w:rPr>
      </w:pPr>
      <w:r>
        <w:rPr>
          <w:rFonts w:ascii="Times New Roman" w:cs="Times New Roman" w:eastAsia="Times New Roman" w:hAnsi="Times New Roman"/>
          <w:sz w:val="20"/>
          <w:szCs w:val="20"/>
          <w:color w:val="auto"/>
        </w:rPr>
        <w:t>SECTION 5.18</w:t>
      </w:r>
      <w:r>
        <w:rPr>
          <w:sz w:val="20"/>
          <w:szCs w:val="20"/>
          <w:color w:val="auto"/>
        </w:rPr>
        <w:tab/>
      </w:r>
      <w:r>
        <w:rPr>
          <w:rFonts w:ascii="Times New Roman" w:cs="Times New Roman" w:eastAsia="Times New Roman" w:hAnsi="Times New Roman"/>
          <w:sz w:val="19"/>
          <w:szCs w:val="19"/>
          <w:u w:val="single" w:color="auto"/>
          <w:color w:val="auto"/>
        </w:rPr>
        <w:t>Refinancing Facilities</w:t>
      </w:r>
      <w:r>
        <w:rPr>
          <w:rFonts w:ascii="Times New Roman" w:cs="Times New Roman" w:eastAsia="Times New Roman" w:hAnsi="Times New Roman"/>
          <w:sz w:val="19"/>
          <w:szCs w:val="19"/>
          <w:color w:val="auto"/>
        </w:rPr>
        <w:t>.</w:t>
      </w:r>
    </w:p>
    <w:p>
      <w:pPr>
        <w:spacing w:after="0" w:line="225" w:lineRule="exact"/>
        <w:rPr>
          <w:sz w:val="20"/>
          <w:szCs w:val="20"/>
          <w:color w:val="auto"/>
        </w:rPr>
      </w:pPr>
    </w:p>
    <w:p>
      <w:pPr>
        <w:jc w:val="both"/>
        <w:ind w:left="680" w:right="20" w:firstLine="646"/>
        <w:spacing w:after="0" w:line="250" w:lineRule="auto"/>
        <w:tabs>
          <w:tab w:leader="none" w:pos="1927"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may by written notice to the Administrative Agent elect to request the establishment of (i) one or more additional tranches or Classes of term loans under this Agreement (“</w:t>
      </w:r>
      <w:r>
        <w:rPr>
          <w:rFonts w:ascii="Times New Roman" w:cs="Times New Roman" w:eastAsia="Times New Roman" w:hAnsi="Times New Roman"/>
          <w:sz w:val="20"/>
          <w:szCs w:val="20"/>
          <w:u w:val="single" w:color="auto"/>
          <w:color w:val="auto"/>
        </w:rPr>
        <w:t>Refinancing Term Loans</w:t>
      </w:r>
      <w:r>
        <w:rPr>
          <w:rFonts w:ascii="Times New Roman" w:cs="Times New Roman" w:eastAsia="Times New Roman" w:hAnsi="Times New Roman"/>
          <w:sz w:val="20"/>
          <w:szCs w:val="20"/>
          <w:color w:val="auto"/>
        </w:rPr>
        <w:t>”) or one or more series of debt securities (“</w:t>
      </w:r>
      <w:r>
        <w:rPr>
          <w:rFonts w:ascii="Times New Roman" w:cs="Times New Roman" w:eastAsia="Times New Roman" w:hAnsi="Times New Roman"/>
          <w:sz w:val="20"/>
          <w:szCs w:val="20"/>
          <w:u w:val="single" w:color="auto"/>
          <w:color w:val="auto"/>
        </w:rPr>
        <w:t>Refinancing Notes</w:t>
      </w:r>
      <w:r>
        <w:rPr>
          <w:rFonts w:ascii="Times New Roman" w:cs="Times New Roman" w:eastAsia="Times New Roman" w:hAnsi="Times New Roman"/>
          <w:sz w:val="20"/>
          <w:szCs w:val="20"/>
          <w:color w:val="auto"/>
        </w:rPr>
        <w:t>”), which refinance, renew, replace, defease or refund (collectively, “</w:t>
      </w:r>
      <w:r>
        <w:rPr>
          <w:rFonts w:ascii="Times New Roman" w:cs="Times New Roman" w:eastAsia="Times New Roman" w:hAnsi="Times New Roman"/>
          <w:sz w:val="20"/>
          <w:szCs w:val="20"/>
          <w:u w:val="single" w:color="auto"/>
          <w:color w:val="auto"/>
        </w:rPr>
        <w:t>Refinance</w:t>
      </w:r>
      <w:r>
        <w:rPr>
          <w:rFonts w:ascii="Times New Roman" w:cs="Times New Roman" w:eastAsia="Times New Roman" w:hAnsi="Times New Roman"/>
          <w:sz w:val="20"/>
          <w:szCs w:val="20"/>
          <w:color w:val="auto"/>
        </w:rPr>
        <w:t>”) one or more Classes of Term Loans under this Agreement or (ii) one or more additional revolving facilities under this Agreement providing for revolving commitments (“</w:t>
      </w:r>
      <w:r>
        <w:rPr>
          <w:rFonts w:ascii="Times New Roman" w:cs="Times New Roman" w:eastAsia="Times New Roman" w:hAnsi="Times New Roman"/>
          <w:sz w:val="20"/>
          <w:szCs w:val="20"/>
          <w:u w:val="single" w:color="auto"/>
          <w:color w:val="auto"/>
        </w:rPr>
        <w:t>Refinancing Revolving Credit Commitments</w:t>
      </w:r>
      <w:r>
        <w:rPr>
          <w:rFonts w:ascii="Times New Roman" w:cs="Times New Roman" w:eastAsia="Times New Roman" w:hAnsi="Times New Roman"/>
          <w:sz w:val="20"/>
          <w:szCs w:val="20"/>
          <w:color w:val="auto"/>
        </w:rPr>
        <w:t>” and the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87">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172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321" w:name="page322"/>
    <w:bookmarkEnd w:id="321"/>
    <w:p>
      <w:pPr>
        <w:spacing w:after="0" w:line="20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auto"/>
        </w:rPr>
        <w:t>loans thereunder, “</w:t>
      </w:r>
      <w:r>
        <w:rPr>
          <w:rFonts w:ascii="Times New Roman" w:cs="Times New Roman" w:eastAsia="Times New Roman" w:hAnsi="Times New Roman"/>
          <w:sz w:val="19"/>
          <w:szCs w:val="19"/>
          <w:u w:val="single" w:color="auto"/>
          <w:color w:val="auto"/>
        </w:rPr>
        <w:t>Refinancing Revolving Loans</w:t>
      </w:r>
      <w:r>
        <w:rPr>
          <w:rFonts w:ascii="Times New Roman" w:cs="Times New Roman" w:eastAsia="Times New Roman" w:hAnsi="Times New Roman"/>
          <w:sz w:val="19"/>
          <w:szCs w:val="19"/>
          <w:color w:val="auto"/>
        </w:rPr>
        <w:t>”) which Refinances one or more Classes of Revolving Credit Commitments (and</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 xml:space="preserve">Revolving Credit Loans thereunder) under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203" w:lineRule="exact"/>
        <w:rPr>
          <w:sz w:val="20"/>
          <w:szCs w:val="20"/>
          <w:color w:val="auto"/>
        </w:rPr>
      </w:pPr>
    </w:p>
    <w:p>
      <w:pPr>
        <w:ind w:left="2560" w:hanging="592"/>
        <w:spacing w:after="0"/>
        <w:tabs>
          <w:tab w:leader="none" w:pos="2560"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has occurred and is continuing or would result therefrom;</w:t>
      </w:r>
    </w:p>
    <w:p>
      <w:pPr>
        <w:spacing w:after="0" w:line="211" w:lineRule="exact"/>
        <w:rPr>
          <w:rFonts w:ascii="Times New Roman" w:cs="Times New Roman" w:eastAsia="Times New Roman" w:hAnsi="Times New Roman"/>
          <w:sz w:val="20"/>
          <w:szCs w:val="20"/>
          <w:color w:val="auto"/>
        </w:rPr>
      </w:pPr>
    </w:p>
    <w:p>
      <w:pPr>
        <w:jc w:val="both"/>
        <w:ind w:left="1320" w:firstLine="648"/>
        <w:spacing w:after="0" w:line="255" w:lineRule="auto"/>
        <w:tabs>
          <w:tab w:leader="none" w:pos="2562"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principal amount of such Refinancing Debt or Refinancing Revolving Credit Commitments may not exceed the aggregate principal amount of the Term Loans or Revolving Credit Commitments being Refinanced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accrued and unpaid interest thereon, any prepayment premiums applicable thereto and reasonable fees and expenses incurred in connection therewith;</w:t>
      </w:r>
    </w:p>
    <w:p>
      <w:pPr>
        <w:spacing w:after="0" w:line="172" w:lineRule="exact"/>
        <w:rPr>
          <w:rFonts w:ascii="Times New Roman" w:cs="Times New Roman" w:eastAsia="Times New Roman" w:hAnsi="Times New Roman"/>
          <w:sz w:val="20"/>
          <w:szCs w:val="20"/>
          <w:color w:val="auto"/>
        </w:rPr>
      </w:pPr>
    </w:p>
    <w:p>
      <w:pPr>
        <w:jc w:val="both"/>
        <w:ind w:left="1320" w:right="20" w:firstLine="648"/>
        <w:spacing w:after="0" w:line="250" w:lineRule="auto"/>
        <w:tabs>
          <w:tab w:leader="none" w:pos="2563"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final maturity date of such Refinancing Debt or Refinancing Revolving Credit Commitments shall not be earlier than the maturity date of the Term Loans (or, in the case of any unsecured or junior lien Refinancing Debt, no earlier than the date that is 91 days after the latest final maturity date of the Term Loans existing at the time of such refinancing or replacement) or Revolving Credit Commitments being Refinanced, and the Weighted Average Life to Maturity of such Refinancing Debt shall be no earlier than the then remaining Weighted Average Life to Maturity of each Class of Term Loans being refinanced;</w:t>
      </w:r>
    </w:p>
    <w:p>
      <w:pPr>
        <w:spacing w:after="0" w:line="180" w:lineRule="exact"/>
        <w:rPr>
          <w:rFonts w:ascii="Times New Roman" w:cs="Times New Roman" w:eastAsia="Times New Roman" w:hAnsi="Times New Roman"/>
          <w:sz w:val="20"/>
          <w:szCs w:val="20"/>
          <w:color w:val="auto"/>
        </w:rPr>
      </w:pPr>
    </w:p>
    <w:p>
      <w:pPr>
        <w:jc w:val="both"/>
        <w:ind w:left="1320" w:firstLine="648"/>
        <w:spacing w:after="0" w:line="249" w:lineRule="auto"/>
        <w:tabs>
          <w:tab w:leader="none" w:pos="2566"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other terms and conditions of such Refinancing Debt or Refinancing Revolving Credit Commitments (except as otherwise provided in clause (iii) above and with respect to pricing, interest rate margins, premiums, discounts, fees, rate floors and optional prepayment or redemption terms), taken as a whole shall (as reasonably determined by the Borrowers) be substantially similar to, or (taken as a whole) not materially less favorable to the Borrowers and their respective Subsidiaries than, the terms, taken as a whole, applicable to Term Loans or Revolving Credit Commitments being Refinanced, except to the extent such covenants and other terms apply solely to any period after the latest final Term Loan Maturity Date or Revolving Credit Maturity Date of the Term Loans and/or Revolving Credit Commitments being Refinanced (or, in the case of any unsecured or junior lien Refinancing Debt, after the date that is 91 days after such latest final Term Loan Maturity Date or Revolving Credit Maturity Date);</w:t>
      </w:r>
    </w:p>
    <w:p>
      <w:pPr>
        <w:spacing w:after="0" w:line="179" w:lineRule="exact"/>
        <w:rPr>
          <w:rFonts w:ascii="Times New Roman" w:cs="Times New Roman" w:eastAsia="Times New Roman" w:hAnsi="Times New Roman"/>
          <w:sz w:val="20"/>
          <w:szCs w:val="20"/>
          <w:color w:val="auto"/>
        </w:rPr>
      </w:pPr>
    </w:p>
    <w:p>
      <w:pPr>
        <w:jc w:val="both"/>
        <w:ind w:left="1320" w:right="20" w:firstLine="648"/>
        <w:spacing w:after="0" w:line="250" w:lineRule="auto"/>
        <w:tabs>
          <w:tab w:leader="none" w:pos="2565"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proceeds of such Refinancing Debt, Refinancing Revolving Credit Commitments or Refinancing Revolving Loans shall be applied, concurrently or substantially concurrently with the incurrence thereof (in accordance with </w:t>
      </w:r>
      <w:r>
        <w:rPr>
          <w:rFonts w:ascii="Times New Roman" w:cs="Times New Roman" w:eastAsia="Times New Roman" w:hAnsi="Times New Roman"/>
          <w:sz w:val="20"/>
          <w:szCs w:val="20"/>
          <w:u w:val="single" w:color="auto"/>
          <w:color w:val="auto"/>
        </w:rPr>
        <w:t>Section 4.4(b)(i)</w:t>
      </w:r>
      <w:r>
        <w:rPr>
          <w:rFonts w:ascii="Times New Roman" w:cs="Times New Roman" w:eastAsia="Times New Roman" w:hAnsi="Times New Roman"/>
          <w:sz w:val="20"/>
          <w:szCs w:val="20"/>
          <w:color w:val="auto"/>
        </w:rPr>
        <w:t>), solely to the repayment of the outstanding amount of one or more Classes of Term Loans or permanently reduce one or more Classes of Revolving Credit Commitments and Revolving Credit Loans, as the case may be, being Refinanced thereby;</w:t>
      </w:r>
    </w:p>
    <w:p>
      <w:pPr>
        <w:spacing w:after="0" w:line="179" w:lineRule="exact"/>
        <w:rPr>
          <w:rFonts w:ascii="Times New Roman" w:cs="Times New Roman" w:eastAsia="Times New Roman" w:hAnsi="Times New Roman"/>
          <w:sz w:val="20"/>
          <w:szCs w:val="20"/>
          <w:color w:val="auto"/>
        </w:rPr>
      </w:pPr>
    </w:p>
    <w:p>
      <w:pPr>
        <w:ind w:left="1320" w:right="40" w:firstLine="648"/>
        <w:spacing w:after="0" w:line="258" w:lineRule="auto"/>
        <w:tabs>
          <w:tab w:leader="none" w:pos="2566"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Class of Refinancing Term Loans or Refinancing Revolving Credit Commitments shall be in an aggregate amount of $5,000,000 or any whole multiple of</w:t>
      </w:r>
    </w:p>
    <w:p>
      <w:pPr>
        <w:ind w:left="1320" w:right="240"/>
        <w:spacing w:after="0" w:line="24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$1,000,000 in excess thereof (or such other amount necessary to repay or replace any Class of outstanding Term Loans or Refinancing Revolving Credit Commitments in full);</w:t>
      </w:r>
    </w:p>
    <w:p>
      <w:pPr>
        <w:spacing w:after="0" w:line="192" w:lineRule="exact"/>
        <w:rPr>
          <w:rFonts w:ascii="Times New Roman" w:cs="Times New Roman" w:eastAsia="Times New Roman" w:hAnsi="Times New Roman"/>
          <w:sz w:val="20"/>
          <w:szCs w:val="20"/>
          <w:color w:val="auto"/>
        </w:rPr>
      </w:pPr>
    </w:p>
    <w:p>
      <w:pPr>
        <w:ind w:left="1320" w:right="40" w:firstLine="648"/>
        <w:spacing w:after="0" w:line="263" w:lineRule="auto"/>
        <w:tabs>
          <w:tab w:leader="none" w:pos="2567"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Subsidiary that is not also a Subsidiary Guarantor may be a borrower or a guarantor with respect to such Refinancing Debt, Refinancing Revolving Credit Commitments and/or Refinancing Revolving Loans;</w:t>
      </w:r>
    </w:p>
    <w:p>
      <w:pPr>
        <w:spacing w:after="0" w:line="178" w:lineRule="exact"/>
        <w:rPr>
          <w:rFonts w:ascii="Times New Roman" w:cs="Times New Roman" w:eastAsia="Times New Roman" w:hAnsi="Times New Roman"/>
          <w:sz w:val="20"/>
          <w:szCs w:val="20"/>
          <w:color w:val="auto"/>
        </w:rPr>
      </w:pPr>
    </w:p>
    <w:p>
      <w:pPr>
        <w:ind w:left="1320" w:right="40" w:firstLine="648"/>
        <w:spacing w:after="0" w:line="263" w:lineRule="auto"/>
        <w:tabs>
          <w:tab w:leader="none" w:pos="2568"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Refinancing Debt, Refinancing Revolving Credit Commitments and/or Refinancing Revolving Loans may be unsecured or may only be secured by the Collateral and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88">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173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322" w:name="page323"/>
    <w:bookmarkEnd w:id="322"/>
    <w:p>
      <w:pPr>
        <w:spacing w:after="0" w:line="95" w:lineRule="exact"/>
        <w:rPr>
          <w:sz w:val="20"/>
          <w:szCs w:val="20"/>
          <w:color w:val="auto"/>
        </w:rPr>
      </w:pPr>
    </w:p>
    <w:p>
      <w:pPr>
        <w:ind w:left="1320"/>
        <w:spacing w:after="0" w:line="277" w:lineRule="auto"/>
        <w:rPr>
          <w:sz w:val="20"/>
          <w:szCs w:val="20"/>
          <w:color w:val="auto"/>
        </w:rPr>
      </w:pPr>
      <w:r>
        <w:rPr>
          <w:rFonts w:ascii="Times New Roman" w:cs="Times New Roman" w:eastAsia="Times New Roman" w:hAnsi="Times New Roman"/>
          <w:sz w:val="20"/>
          <w:szCs w:val="20"/>
          <w:color w:val="auto"/>
        </w:rPr>
        <w:t>may rank pari passu or junior in right of payment and/or security with the remaining Revolving Credit Commitments, Revolving Credit Loans and/or Term Loans, so long as the holders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89">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174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060"/>
          </w:cols>
          <w:pgMar w:left="320" w:top="1440" w:right="519" w:bottom="1440" w:gutter="0" w:footer="0" w:header="0"/>
        </w:sectPr>
      </w:pPr>
    </w:p>
    <w:bookmarkStart w:id="323" w:name="page324"/>
    <w:bookmarkEnd w:id="323"/>
    <w:p>
      <w:pPr>
        <w:spacing w:after="0" w:line="202" w:lineRule="exact"/>
        <w:rPr>
          <w:sz w:val="20"/>
          <w:szCs w:val="20"/>
          <w:color w:val="auto"/>
        </w:rPr>
      </w:pPr>
    </w:p>
    <w:p>
      <w:pPr>
        <w:ind w:left="1320" w:right="40"/>
        <w:spacing w:after="0" w:line="263" w:lineRule="auto"/>
        <w:rPr>
          <w:sz w:val="20"/>
          <w:szCs w:val="20"/>
          <w:color w:val="auto"/>
        </w:rPr>
      </w:pPr>
      <w:r>
        <w:rPr>
          <w:rFonts w:ascii="Times New Roman" w:cs="Times New Roman" w:eastAsia="Times New Roman" w:hAnsi="Times New Roman"/>
          <w:sz w:val="20"/>
          <w:szCs w:val="20"/>
          <w:color w:val="auto"/>
        </w:rPr>
        <w:t>Refinancing Debt, Refinancing Revolving Credit Commitments and/or Refinancing Revolving Loans that are junior in right of payment and/or security are subject to an Acceptable Intercreditor Agreement;</w:t>
      </w:r>
    </w:p>
    <w:p>
      <w:pPr>
        <w:spacing w:after="0" w:line="178" w:lineRule="exact"/>
        <w:rPr>
          <w:sz w:val="20"/>
          <w:szCs w:val="20"/>
          <w:color w:val="auto"/>
        </w:rPr>
      </w:pPr>
    </w:p>
    <w:p>
      <w:pPr>
        <w:ind w:left="1320" w:right="40" w:firstLine="648"/>
        <w:spacing w:after="0" w:line="263" w:lineRule="auto"/>
        <w:tabs>
          <w:tab w:leader="none" w:pos="2566" w:val="left"/>
        </w:tabs>
        <w:numPr>
          <w:ilvl w:val="1"/>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Refinancing Debt or Refinancing Revolving Credit Commitments shall not be secured by any asset of the Borrowers and their respective Subsidiaries other than the Collateral;</w:t>
      </w:r>
    </w:p>
    <w:p>
      <w:pPr>
        <w:spacing w:after="0" w:line="178" w:lineRule="exact"/>
        <w:rPr>
          <w:rFonts w:ascii="Times New Roman" w:cs="Times New Roman" w:eastAsia="Times New Roman" w:hAnsi="Times New Roman"/>
          <w:sz w:val="20"/>
          <w:szCs w:val="20"/>
          <w:color w:val="auto"/>
        </w:rPr>
      </w:pPr>
    </w:p>
    <w:p>
      <w:pPr>
        <w:jc w:val="both"/>
        <w:ind w:left="1320" w:right="20" w:firstLine="648"/>
        <w:spacing w:after="0" w:line="250" w:lineRule="auto"/>
        <w:tabs>
          <w:tab w:leader="none" w:pos="2565" w:val="left"/>
        </w:tabs>
        <w:numPr>
          <w:ilvl w:val="1"/>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Refinancing Revolving Credit Commitments, substantially concurrently with the effectiveness thereof, all the Revolving Credit Commitments then in effect shall be terminated, and all the Revolving Credit Loans then outstanding, together with all interest thereon, and all other amounts accrued for the benefit of the Revolving Credit Lenders, shall be repaid or paid (it being understood, however, that any Letters of Credit may continue to be outstanding hereunder), and the aggregate amount of such Refinancing Revolving Credit Commitments does not exceed the aggregate amount of the Revolving Credit Commitments so terminated; and</w:t>
      </w:r>
    </w:p>
    <w:p>
      <w:pPr>
        <w:spacing w:after="0" w:line="180" w:lineRule="exact"/>
        <w:rPr>
          <w:rFonts w:ascii="Times New Roman" w:cs="Times New Roman" w:eastAsia="Times New Roman" w:hAnsi="Times New Roman"/>
          <w:sz w:val="20"/>
          <w:szCs w:val="20"/>
          <w:color w:val="auto"/>
        </w:rPr>
      </w:pPr>
    </w:p>
    <w:p>
      <w:pPr>
        <w:jc w:val="both"/>
        <w:ind w:left="1320" w:right="20" w:firstLine="648"/>
        <w:spacing w:after="0" w:line="250" w:lineRule="auto"/>
        <w:tabs>
          <w:tab w:leader="none" w:pos="2566" w:val="left"/>
        </w:tabs>
        <w:numPr>
          <w:ilvl w:val="1"/>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mandatory prepayment requirements, in the case of any Refinancing Term Loans, may provide that such Refinancing Term Loans may participate in any mandatory prepayment on a pro rata basis with any Class of existing Term Loans, but may not provide for prepayment requirements that are more favorable to the Lenders holding such Refinancing Term Loans than to the Lenders holding such Class of Term Loans.</w:t>
      </w:r>
    </w:p>
    <w:p>
      <w:pPr>
        <w:spacing w:after="0" w:line="191" w:lineRule="exact"/>
        <w:rPr>
          <w:rFonts w:ascii="Times New Roman" w:cs="Times New Roman" w:eastAsia="Times New Roman" w:hAnsi="Times New Roman"/>
          <w:sz w:val="20"/>
          <w:szCs w:val="20"/>
          <w:color w:val="auto"/>
        </w:rPr>
      </w:pPr>
    </w:p>
    <w:p>
      <w:pPr>
        <w:jc w:val="both"/>
        <w:ind w:left="680" w:right="40" w:firstLine="646"/>
        <w:spacing w:after="0" w:line="250" w:lineRule="auto"/>
        <w:tabs>
          <w:tab w:leader="none" w:pos="1925"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such notice shall specify the date (each, a “</w:t>
      </w:r>
      <w:r>
        <w:rPr>
          <w:rFonts w:ascii="Times New Roman" w:cs="Times New Roman" w:eastAsia="Times New Roman" w:hAnsi="Times New Roman"/>
          <w:sz w:val="20"/>
          <w:szCs w:val="20"/>
          <w:u w:val="single" w:color="auto"/>
          <w:color w:val="auto"/>
        </w:rPr>
        <w:t>Refinancing Effective Date</w:t>
      </w:r>
      <w:r>
        <w:rPr>
          <w:rFonts w:ascii="Times New Roman" w:cs="Times New Roman" w:eastAsia="Times New Roman" w:hAnsi="Times New Roman"/>
          <w:sz w:val="20"/>
          <w:szCs w:val="20"/>
          <w:color w:val="auto"/>
        </w:rPr>
        <w:t>”) on which the applicable Borrower proposes that the Refinancing Debt be made or the Refinancing Revolving Credit Commitments shall become effective, which shall be a date not less than three (3) Business Days (or such shorter period as may be agreed to by the Administrative Agent) after the date on which such notice is delivered to the Administrative Agent.</w:t>
      </w:r>
    </w:p>
    <w:p>
      <w:pPr>
        <w:spacing w:after="0" w:line="191" w:lineRule="exact"/>
        <w:rPr>
          <w:rFonts w:ascii="Times New Roman" w:cs="Times New Roman" w:eastAsia="Times New Roman" w:hAnsi="Times New Roman"/>
          <w:sz w:val="20"/>
          <w:szCs w:val="20"/>
          <w:color w:val="auto"/>
        </w:rPr>
      </w:pPr>
    </w:p>
    <w:p>
      <w:pPr>
        <w:jc w:val="both"/>
        <w:ind w:left="680" w:firstLine="646"/>
        <w:spacing w:after="0" w:line="248" w:lineRule="auto"/>
        <w:tabs>
          <w:tab w:leader="none" w:pos="1927"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Borrowers may approach any Lender or any other Person that would be an Eligible Assignee of the applicable Class of Loans or Commitments pursuant to </w:t>
      </w:r>
      <w:r>
        <w:rPr>
          <w:rFonts w:ascii="Times New Roman" w:cs="Times New Roman" w:eastAsia="Times New Roman" w:hAnsi="Times New Roman"/>
          <w:sz w:val="20"/>
          <w:szCs w:val="20"/>
          <w:u w:val="single" w:color="auto"/>
          <w:color w:val="auto"/>
        </w:rPr>
        <w:t>Section 12.9(b)</w:t>
      </w:r>
      <w:r>
        <w:rPr>
          <w:rFonts w:ascii="Times New Roman" w:cs="Times New Roman" w:eastAsia="Times New Roman" w:hAnsi="Times New Roman"/>
          <w:sz w:val="20"/>
          <w:szCs w:val="20"/>
          <w:color w:val="auto"/>
        </w:rPr>
        <w:t xml:space="preserve"> to provide all or a portion of the Refinancing Term Loans or Refinancing Revolving Credit Commitments (a “</w:t>
      </w:r>
      <w:r>
        <w:rPr>
          <w:rFonts w:ascii="Times New Roman" w:cs="Times New Roman" w:eastAsia="Times New Roman" w:hAnsi="Times New Roman"/>
          <w:sz w:val="20"/>
          <w:szCs w:val="20"/>
          <w:u w:val="single" w:color="auto"/>
          <w:color w:val="auto"/>
        </w:rPr>
        <w:t>Refinancing Lender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Lender offered or approached to provide all or a portion of the Refinancing Term Loans may elect or decline, in its sole discretion, to provide a Refinancing Term Loan or Refinancing Revolving Credit Commitment, as applicable. Any Refinancing Term Loans or Refinancing Revolving Credit Commitment made on any Refinancing Effective Date shall be designated a series (a “</w:t>
      </w:r>
      <w:r>
        <w:rPr>
          <w:rFonts w:ascii="Times New Roman" w:cs="Times New Roman" w:eastAsia="Times New Roman" w:hAnsi="Times New Roman"/>
          <w:sz w:val="20"/>
          <w:szCs w:val="20"/>
          <w:u w:val="single" w:color="auto"/>
          <w:color w:val="auto"/>
        </w:rPr>
        <w:t>Refinancing Series</w:t>
      </w:r>
      <w:r>
        <w:rPr>
          <w:rFonts w:ascii="Times New Roman" w:cs="Times New Roman" w:eastAsia="Times New Roman" w:hAnsi="Times New Roman"/>
          <w:sz w:val="20"/>
          <w:szCs w:val="20"/>
          <w:color w:val="auto"/>
        </w:rPr>
        <w:t xml:space="preserve">”) of Refinancing Term Loans or Refinancing Revolving Credit Commitments for all purposes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any Refinancing Term Loans may, to the extent provided in the applicable Refinancing Amendment, be designated as an increase in any previously established Refinancing Series of Refinancing Term Loans made to the applicable Borrower and (ii) any Refinancing Revolving Credit Commitments may, to the extent provided in the applicable Refinancing Amendment, be designated as an increase in any previously established Refinancing Series of Refinancing Revolving Credit Commitments.</w:t>
      </w:r>
    </w:p>
    <w:p>
      <w:pPr>
        <w:spacing w:after="0" w:line="167" w:lineRule="exact"/>
        <w:rPr>
          <w:rFonts w:ascii="Times New Roman" w:cs="Times New Roman" w:eastAsia="Times New Roman" w:hAnsi="Times New Roman"/>
          <w:sz w:val="20"/>
          <w:szCs w:val="20"/>
          <w:color w:val="auto"/>
        </w:rPr>
      </w:pPr>
    </w:p>
    <w:p>
      <w:pPr>
        <w:jc w:val="both"/>
        <w:ind w:left="680" w:right="40" w:firstLine="646"/>
        <w:spacing w:after="0" w:line="255" w:lineRule="auto"/>
        <w:tabs>
          <w:tab w:leader="none" w:pos="1925"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and the Lenders hereby consent to the transactions contemplated by this </w:t>
      </w:r>
      <w:r>
        <w:rPr>
          <w:rFonts w:ascii="Times New Roman" w:cs="Times New Roman" w:eastAsia="Times New Roman" w:hAnsi="Times New Roman"/>
          <w:sz w:val="20"/>
          <w:szCs w:val="20"/>
          <w:u w:val="single" w:color="auto"/>
          <w:color w:val="auto"/>
        </w:rPr>
        <w:t>Section 5.18</w:t>
      </w:r>
      <w:r>
        <w:rPr>
          <w:rFonts w:ascii="Times New Roman" w:cs="Times New Roman" w:eastAsia="Times New Roman" w:hAnsi="Times New Roman"/>
          <w:sz w:val="20"/>
          <w:szCs w:val="20"/>
          <w:color w:val="auto"/>
        </w:rPr>
        <w:t xml:space="preserve"> (including, for the avoidance of doubt, the payment of interest, fees, amortization or premium in respect of the Refinancing Term Loans and Refinancing Revolving Credit Commitments, and Refinancing Revolving Loans on the terms specified by the Borrowers) and hereby waive the requirements of this Agreement (including, but not limited to, </w:t>
      </w:r>
      <w:r>
        <w:rPr>
          <w:rFonts w:ascii="Times New Roman" w:cs="Times New Roman" w:eastAsia="Times New Roman" w:hAnsi="Times New Roman"/>
          <w:sz w:val="20"/>
          <w:szCs w:val="20"/>
          <w:u w:val="single" w:color="auto"/>
          <w:color w:val="auto"/>
        </w:rPr>
        <w:t>Section 5.6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12.2</w:t>
      </w:r>
      <w:r>
        <w:rPr>
          <w:rFonts w:ascii="Times New Roman" w:cs="Times New Roman" w:eastAsia="Times New Roman" w:hAnsi="Times New Roman"/>
          <w:sz w:val="20"/>
          <w:szCs w:val="20"/>
          <w:color w:val="auto"/>
        </w:rPr>
        <w:t>) or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90">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175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324" w:name="page325"/>
    <w:bookmarkEnd w:id="324"/>
    <w:p>
      <w:pPr>
        <w:spacing w:after="0" w:line="81" w:lineRule="exact"/>
        <w:rPr>
          <w:sz w:val="20"/>
          <w:szCs w:val="20"/>
          <w:color w:val="auto"/>
        </w:rPr>
      </w:pPr>
    </w:p>
    <w:p>
      <w:pPr>
        <w:ind w:left="680"/>
        <w:spacing w:after="0" w:line="277" w:lineRule="auto"/>
        <w:rPr>
          <w:sz w:val="20"/>
          <w:szCs w:val="20"/>
          <w:color w:val="auto"/>
        </w:rPr>
      </w:pPr>
      <w:r>
        <w:rPr>
          <w:rFonts w:ascii="Times New Roman" w:cs="Times New Roman" w:eastAsia="Times New Roman" w:hAnsi="Times New Roman"/>
          <w:sz w:val="20"/>
          <w:szCs w:val="20"/>
          <w:color w:val="auto"/>
        </w:rPr>
        <w:t xml:space="preserve">any other Loan Document that may otherwise prohibit such Refinance or any other transaction contemplated by this </w:t>
      </w:r>
      <w:r>
        <w:rPr>
          <w:rFonts w:ascii="Times New Roman" w:cs="Times New Roman" w:eastAsia="Times New Roman" w:hAnsi="Times New Roman"/>
          <w:sz w:val="20"/>
          <w:szCs w:val="20"/>
          <w:u w:val="single" w:color="auto"/>
          <w:color w:val="auto"/>
        </w:rPr>
        <w:t>Section 5.18</w:t>
      </w:r>
      <w:r>
        <w:rPr>
          <w:rFonts w:ascii="Times New Roman" w:cs="Times New Roman" w:eastAsia="Times New Roman" w:hAnsi="Times New Roman"/>
          <w:sz w:val="20"/>
          <w:szCs w:val="20"/>
          <w:color w:val="auto"/>
        </w:rPr>
        <w:t>. The Refinancing Term Loans and Refinancing Revolving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91">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176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060"/>
          </w:cols>
          <w:pgMar w:left="320" w:top="1440" w:right="519" w:bottom="1440" w:gutter="0" w:footer="0" w:header="0"/>
        </w:sectPr>
      </w:pPr>
    </w:p>
    <w:bookmarkStart w:id="325" w:name="page326"/>
    <w:bookmarkEnd w:id="325"/>
    <w:p>
      <w:pPr>
        <w:jc w:val="both"/>
        <w:ind w:left="680"/>
        <w:spacing w:after="0" w:line="261" w:lineRule="auto"/>
        <w:rPr>
          <w:sz w:val="20"/>
          <w:szCs w:val="20"/>
          <w:color w:val="auto"/>
        </w:rPr>
      </w:pPr>
      <w:r>
        <w:rPr>
          <w:rFonts w:ascii="Times New Roman" w:cs="Times New Roman" w:eastAsia="Times New Roman" w:hAnsi="Times New Roman"/>
          <w:sz w:val="19"/>
          <w:szCs w:val="19"/>
          <w:color w:val="auto"/>
        </w:rPr>
        <w:t>Commitments shall be established pursuant to an amendment to this Agreement among the applicable Borrower and the applicable Refinancing Lenders providing such Refinancing Term Loans or Refinancing Revolving Credit Commitments (a “</w:t>
      </w:r>
      <w:r>
        <w:rPr>
          <w:rFonts w:ascii="Times New Roman" w:cs="Times New Roman" w:eastAsia="Times New Roman" w:hAnsi="Times New Roman"/>
          <w:sz w:val="19"/>
          <w:szCs w:val="19"/>
          <w:u w:val="single" w:color="auto"/>
          <w:color w:val="auto"/>
        </w:rPr>
        <w:t>Refinancing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 xml:space="preserve">”) which shall be consistent with the provisions set forth in this </w:t>
      </w:r>
      <w:r>
        <w:rPr>
          <w:rFonts w:ascii="Times New Roman" w:cs="Times New Roman" w:eastAsia="Times New Roman" w:hAnsi="Times New Roman"/>
          <w:sz w:val="19"/>
          <w:szCs w:val="19"/>
          <w:u w:val="single" w:color="auto"/>
          <w:color w:val="auto"/>
        </w:rPr>
        <w:t>Section 5.18</w:t>
      </w:r>
      <w:r>
        <w:rPr>
          <w:rFonts w:ascii="Times New Roman" w:cs="Times New Roman" w:eastAsia="Times New Roman" w:hAnsi="Times New Roman"/>
          <w:sz w:val="19"/>
          <w:szCs w:val="19"/>
          <w:color w:val="auto"/>
        </w:rPr>
        <w:t xml:space="preserve">. The Refinancing Notes shall be established pursuant to documentation which shall be consistent with the provisions set forth in </w:t>
      </w:r>
      <w:r>
        <w:rPr>
          <w:rFonts w:ascii="Times New Roman" w:cs="Times New Roman" w:eastAsia="Times New Roman" w:hAnsi="Times New Roman"/>
          <w:sz w:val="19"/>
          <w:szCs w:val="19"/>
          <w:u w:val="single" w:color="auto"/>
          <w:color w:val="auto"/>
        </w:rPr>
        <w:t>Section 5.18(a)</w:t>
      </w:r>
      <w:r>
        <w:rPr>
          <w:rFonts w:ascii="Times New Roman" w:cs="Times New Roman" w:eastAsia="Times New Roman" w:hAnsi="Times New Roman"/>
          <w:sz w:val="19"/>
          <w:szCs w:val="19"/>
          <w:color w:val="auto"/>
        </w:rPr>
        <w:t xml:space="preserve">. Each Refinancing Amendment shall be binding on the Lenders, the Administrative Agent, the Credit Parties party thereto and the other parties hereto without the consent of any other Lender (except with respect to Refinancing Revolving Credit Commitments as provided above) and the Lenders hereby irrevocably authorize the Administrative Agent to enter into amendments to this Agreement and the other Loan Documents as may be necessary or appropriate in the reasonable opinion of the Administrative Agent and the Borrowers, to effect the provisions of this </w:t>
      </w:r>
      <w:r>
        <w:rPr>
          <w:rFonts w:ascii="Times New Roman" w:cs="Times New Roman" w:eastAsia="Times New Roman" w:hAnsi="Times New Roman"/>
          <w:sz w:val="19"/>
          <w:szCs w:val="19"/>
          <w:u w:val="single" w:color="auto"/>
          <w:color w:val="auto"/>
        </w:rPr>
        <w:t>Section 5.18</w:t>
      </w:r>
      <w:r>
        <w:rPr>
          <w:rFonts w:ascii="Times New Roman" w:cs="Times New Roman" w:eastAsia="Times New Roman" w:hAnsi="Times New Roman"/>
          <w:sz w:val="19"/>
          <w:szCs w:val="19"/>
          <w:color w:val="auto"/>
        </w:rPr>
        <w:t xml:space="preserve">, including in order to establish new tranches or sub-tranches in respect of the Refinancing Term Loans or Refinancing Revolving Credit Commitments and Refinancing Revolving Loans and such technical amendments as may be necessary or appropriate in connection therewith and to adjust the amortization schedule in </w:t>
      </w:r>
      <w:r>
        <w:rPr>
          <w:rFonts w:ascii="Times New Roman" w:cs="Times New Roman" w:eastAsia="Times New Roman" w:hAnsi="Times New Roman"/>
          <w:sz w:val="19"/>
          <w:szCs w:val="19"/>
          <w:u w:val="single" w:color="auto"/>
          <w:color w:val="auto"/>
        </w:rPr>
        <w:t>Section 4.3(a)</w:t>
      </w:r>
      <w:r>
        <w:rPr>
          <w:rFonts w:ascii="Times New Roman" w:cs="Times New Roman" w:eastAsia="Times New Roman" w:hAnsi="Times New Roman"/>
          <w:sz w:val="19"/>
          <w:szCs w:val="19"/>
          <w:color w:val="auto"/>
        </w:rPr>
        <w:t xml:space="preserve"> (insofar as such schedule relates to payments due to Lenders, the Term Loans of which are Refinanced;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such amendment shall reduce the </w:t>
      </w:r>
      <w:r>
        <w:rPr>
          <w:rFonts w:ascii="Times New Roman" w:cs="Times New Roman" w:eastAsia="Times New Roman" w:hAnsi="Times New Roman"/>
          <w:sz w:val="19"/>
          <w:szCs w:val="19"/>
          <w:u w:val="single" w:color="auto"/>
          <w:color w:val="auto"/>
        </w:rPr>
        <w:t>pro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rata</w:t>
      </w:r>
      <w:r>
        <w:rPr>
          <w:rFonts w:ascii="Times New Roman" w:cs="Times New Roman" w:eastAsia="Times New Roman" w:hAnsi="Times New Roman"/>
          <w:sz w:val="19"/>
          <w:szCs w:val="19"/>
          <w:color w:val="auto"/>
        </w:rPr>
        <w:t xml:space="preserve"> share of any such payment that would have otherwise been payable to the Lenders, the Term Loans of which are not Refinanced). The Administrative Agent shall be permitted, and is hereby authorized, to enter into such Refinancing Amendments with the Borrowers to effect the foregoing. The effectiveness of any Refinancing Amendment shall be subject to the satisfaction on the date thereof of conditions as may be required by the Refinancing Lenders providing such Refinancing Amendment.</w:t>
      </w:r>
    </w:p>
    <w:p>
      <w:pPr>
        <w:spacing w:after="0" w:line="157" w:lineRule="exact"/>
        <w:rPr>
          <w:sz w:val="20"/>
          <w:szCs w:val="20"/>
          <w:color w:val="auto"/>
        </w:rPr>
      </w:pPr>
    </w:p>
    <w:p>
      <w:pPr>
        <w:jc w:val="both"/>
        <w:ind w:left="680" w:right="40" w:firstLine="646"/>
        <w:spacing w:after="0" w:line="247" w:lineRule="auto"/>
        <w:tabs>
          <w:tab w:leader="none" w:pos="1927"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Refinancing Revolving Credit Commitment is designated as an increase in any previously established Refinancing Revolving Credit Commitment, on the Refinancing Effective Date, subject to the satisfaction of the foregoing terms and conditions, each of the Refinancing Lenders with Refinancing Revolving Credit Commitments of such Refinancing Series shall purchase from each of the other Lenders with Refinancing Revolving Credit Commitments of such Refinancing Series, at the principal amount thereof and in the applicable currencies, such interests in the Revolving Credit Loans under such Refinancing Revolving Credit Commitments outstanding immediately prior to such Refinancing as shall be necessary in order that, after giving effect to all such assignments and purchases, the Refinancing Revolving Loans of such Refinancing Series will be held by Refinancing Lenders thereunder ratably in accordance with the percentage of the total Refinancing Revolving Credit Commitments of all Refinancing Lenders represented by each such Refinancing Lender’s Refinancing Revolving Credit Commitment. After giving effect to any Refinancing Revolving Credit Commitments, all outstanding Swingline Loans and Letters of Credit shall be participated on a pro rata basis by all Lenders with a Revolving Credit Commitment in accordance with their revised Revolving Credit Commitment Percentages.</w:t>
      </w:r>
    </w:p>
    <w:p>
      <w:pPr>
        <w:spacing w:after="0" w:line="182" w:lineRule="exact"/>
        <w:rPr>
          <w:rFonts w:ascii="Times New Roman" w:cs="Times New Roman" w:eastAsia="Times New Roman" w:hAnsi="Times New Roman"/>
          <w:sz w:val="20"/>
          <w:szCs w:val="20"/>
          <w:color w:val="auto"/>
        </w:rPr>
      </w:pPr>
    </w:p>
    <w:p>
      <w:pPr>
        <w:jc w:val="both"/>
        <w:ind w:left="680" w:right="20" w:firstLine="646"/>
        <w:spacing w:after="0" w:line="249" w:lineRule="auto"/>
        <w:tabs>
          <w:tab w:leader="none" w:pos="1919"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is authorized to enter into any Acceptable Intercreditor Agreement (and any amendments, amendments and restatements, restatements or waivers of or supplements to or other modifications to, such agreements) and to take all actions (and execute all documents) required (or otherwise deemed advisable by the Administrative Agent) in connection with the incurrence by any Credit Party of any Refinancing Debt, in order to permit such Refinancing Debt to be secured by a valid, perfected lien and the parties hereto acknowledge that any Acceptable Intercreditor Agreement will be binding upon them. Each Lender (i) hereby agrees that it will be bound by and will take no actions contrary to the provisions of any Acceptable Intercreditor Agreement and (ii) hereby authorizes and instructs the Administrative Agent to enter into any Acceptable Intercreditor Agreement (and any amendments, amendments and restatements, restatements or waivers of or supplements to or other modifications to, such agreements) in connection with the incurrence by any Credit Party of any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92">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177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20"/>
          </w:cols>
          <w:pgMar w:left="320" w:top="1400" w:right="459" w:bottom="1440" w:gutter="0" w:footer="0" w:header="0"/>
        </w:sectPr>
      </w:pPr>
    </w:p>
    <w:bookmarkStart w:id="326" w:name="page327"/>
    <w:bookmarkEnd w:id="326"/>
    <w:p>
      <w:pPr>
        <w:ind w:left="680" w:right="160"/>
        <w:spacing w:after="0" w:line="263" w:lineRule="auto"/>
        <w:rPr>
          <w:sz w:val="20"/>
          <w:szCs w:val="20"/>
          <w:color w:val="auto"/>
        </w:rPr>
      </w:pPr>
      <w:r>
        <w:rPr>
          <w:rFonts w:ascii="Times New Roman" w:cs="Times New Roman" w:eastAsia="Times New Roman" w:hAnsi="Times New Roman"/>
          <w:sz w:val="20"/>
          <w:szCs w:val="20"/>
          <w:color w:val="auto"/>
        </w:rPr>
        <w:t>Refinancing Debt, in order to permit such Refinancing Debt to be secured by a valid, perfected lien and to subject the Liens on the Collateral securing the Secured Obligations to the provisions thereof.</w:t>
      </w:r>
    </w:p>
    <w:p>
      <w:pPr>
        <w:spacing w:after="0" w:line="178" w:lineRule="exact"/>
        <w:rPr>
          <w:sz w:val="20"/>
          <w:szCs w:val="20"/>
          <w:color w:val="auto"/>
        </w:rPr>
      </w:pPr>
    </w:p>
    <w:p>
      <w:pPr>
        <w:jc w:val="both"/>
        <w:ind w:left="680" w:firstLine="646"/>
        <w:spacing w:after="0" w:line="250" w:lineRule="auto"/>
        <w:tabs>
          <w:tab w:leader="none" w:pos="1925"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terms of </w:t>
      </w:r>
      <w:r>
        <w:rPr>
          <w:rFonts w:ascii="Times New Roman" w:cs="Times New Roman" w:eastAsia="Times New Roman" w:hAnsi="Times New Roman"/>
          <w:sz w:val="20"/>
          <w:szCs w:val="20"/>
          <w:u w:val="single" w:color="auto"/>
          <w:color w:val="auto"/>
        </w:rPr>
        <w:t>Sections 5.13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5.18</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5.19</w:t>
      </w:r>
      <w:r>
        <w:rPr>
          <w:rFonts w:ascii="Times New Roman" w:cs="Times New Roman" w:eastAsia="Times New Roman" w:hAnsi="Times New Roman"/>
          <w:sz w:val="20"/>
          <w:szCs w:val="20"/>
          <w:color w:val="auto"/>
        </w:rPr>
        <w:t>, in no event shall there be more than (i) two (2) tranches of revolving facilities in the aggregate in effect at any time (including the Revolving Credit Commitments, any Extended Revolving Credit Commitments and any Refinancing Revolving Credit Commitments) and (ii) four (4) tranches of term loans (including the Initial Term Loan, any Extended Term Loans, any Incremental Term Loans and any Refinancing Term Loans), in each case under this Agreement.</w:t>
      </w:r>
    </w:p>
    <w:p>
      <w:pPr>
        <w:spacing w:after="0" w:line="180" w:lineRule="exact"/>
        <w:rPr>
          <w:sz w:val="20"/>
          <w:szCs w:val="20"/>
          <w:color w:val="auto"/>
        </w:rPr>
      </w:pPr>
    </w:p>
    <w:p>
      <w:pPr>
        <w:ind w:left="1320"/>
        <w:spacing w:after="0"/>
        <w:tabs>
          <w:tab w:leader="none" w:pos="2720" w:val="left"/>
        </w:tabs>
        <w:rPr>
          <w:sz w:val="20"/>
          <w:szCs w:val="20"/>
          <w:color w:val="auto"/>
        </w:rPr>
      </w:pPr>
      <w:r>
        <w:rPr>
          <w:rFonts w:ascii="Times New Roman" w:cs="Times New Roman" w:eastAsia="Times New Roman" w:hAnsi="Times New Roman"/>
          <w:sz w:val="20"/>
          <w:szCs w:val="20"/>
          <w:color w:val="auto"/>
        </w:rPr>
        <w:t>SECTION 5.19</w:t>
      </w:r>
      <w:r>
        <w:rPr>
          <w:sz w:val="20"/>
          <w:szCs w:val="20"/>
          <w:color w:val="auto"/>
        </w:rPr>
        <w:tab/>
      </w:r>
      <w:r>
        <w:rPr>
          <w:rFonts w:ascii="Times New Roman" w:cs="Times New Roman" w:eastAsia="Times New Roman" w:hAnsi="Times New Roman"/>
          <w:sz w:val="19"/>
          <w:szCs w:val="19"/>
          <w:u w:val="single" w:color="auto"/>
          <w:color w:val="auto"/>
        </w:rPr>
        <w:t>Amend and Extend Transactions</w:t>
      </w:r>
      <w:r>
        <w:rPr>
          <w:rFonts w:ascii="Times New Roman" w:cs="Times New Roman" w:eastAsia="Times New Roman" w:hAnsi="Times New Roman"/>
          <w:sz w:val="19"/>
          <w:szCs w:val="19"/>
          <w:color w:val="auto"/>
        </w:rPr>
        <w:t>.</w:t>
      </w:r>
    </w:p>
    <w:p>
      <w:pPr>
        <w:spacing w:after="0" w:line="225" w:lineRule="exact"/>
        <w:rPr>
          <w:sz w:val="20"/>
          <w:szCs w:val="20"/>
          <w:color w:val="auto"/>
        </w:rPr>
      </w:pPr>
    </w:p>
    <w:p>
      <w:pPr>
        <w:jc w:val="both"/>
        <w:ind w:left="680" w:firstLine="646"/>
        <w:spacing w:after="0" w:line="247" w:lineRule="auto"/>
        <w:tabs>
          <w:tab w:leader="none" w:pos="1927"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may, by written notice to the Administrative Agent from time to time, request an extension (each, an “</w:t>
      </w:r>
      <w:r>
        <w:rPr>
          <w:rFonts w:ascii="Times New Roman" w:cs="Times New Roman" w:eastAsia="Times New Roman" w:hAnsi="Times New Roman"/>
          <w:sz w:val="20"/>
          <w:szCs w:val="20"/>
          <w:u w:val="single" w:color="auto"/>
          <w:color w:val="auto"/>
        </w:rPr>
        <w:t>Extension</w:t>
      </w:r>
      <w:r>
        <w:rPr>
          <w:rFonts w:ascii="Times New Roman" w:cs="Times New Roman" w:eastAsia="Times New Roman" w:hAnsi="Times New Roman"/>
          <w:sz w:val="20"/>
          <w:szCs w:val="20"/>
          <w:color w:val="auto"/>
        </w:rPr>
        <w:t>”) of the maturity date of any Class of Term Loans with a like maturity date or Revolving Credit Commitments with a like maturity date. Such notice shall (i) set forth the amount of the applicable Class of Revolving Credit Commitments and/or Term Loans that will be subject to the Extension (which shall be in a minimum amount of $25,000,000 and minimum increments of $5,000,000), (ii) set forth the date on which such Extension is requested to become effective (which shall be not less than ten (10) Business Days nor more than sixty (60) days after the date of such Extension notice (or such longer or shorter periods as the Administrative Agent shall agree in its sole discretion)) and (iii) identify the relevant Class of Revolving Credit Commitments and/or Term Loans to which such Extension relates. Each Lender of the applicable Class shall be offered (an “</w:t>
      </w:r>
      <w:r>
        <w:rPr>
          <w:rFonts w:ascii="Times New Roman" w:cs="Times New Roman" w:eastAsia="Times New Roman" w:hAnsi="Times New Roman"/>
          <w:sz w:val="20"/>
          <w:szCs w:val="20"/>
          <w:u w:val="single" w:color="auto"/>
          <w:color w:val="auto"/>
        </w:rPr>
        <w:t>Extension Offer</w:t>
      </w:r>
      <w:r>
        <w:rPr>
          <w:rFonts w:ascii="Times New Roman" w:cs="Times New Roman" w:eastAsia="Times New Roman" w:hAnsi="Times New Roman"/>
          <w:sz w:val="20"/>
          <w:szCs w:val="20"/>
          <w:color w:val="auto"/>
        </w:rPr>
        <w:t xml:space="preserve">”) an opportunity to participate in such Extension on a pro rata basis and on the same terms and conditions as each other Lender of such Class pursuant to procedures established by, or reasonably acceptable to, the Administrative Agent and the Borrowers;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Lender will be required or otherwise obligated to participate in such Extension. If the aggregate principal amount of Revolving Credit Commitments or Term Loans in respect of which Lenders shall have accepted the relevant Extension Offer shall exceed the maximum aggregate principal amount of Revolving Credit Commitments or Term Loans, as applicable, subject to the Extension Offer as set forth in the Extension notice, then the Revolving Credit Commitments or Term Loans, as applicable, of Lenders of the applicable Class shall be extended ratably up to such maximum amount based on the respective principal amounts with respect to which such Lenders have accepted such Extension Offer.</w:t>
      </w:r>
    </w:p>
    <w:p>
      <w:pPr>
        <w:spacing w:after="0" w:line="171" w:lineRule="exact"/>
        <w:rPr>
          <w:rFonts w:ascii="Times New Roman" w:cs="Times New Roman" w:eastAsia="Times New Roman" w:hAnsi="Times New Roman"/>
          <w:sz w:val="20"/>
          <w:szCs w:val="20"/>
          <w:color w:val="auto"/>
        </w:rPr>
      </w:pPr>
    </w:p>
    <w:p>
      <w:pPr>
        <w:jc w:val="both"/>
        <w:ind w:left="680" w:firstLine="646"/>
        <w:spacing w:after="0" w:line="263" w:lineRule="auto"/>
        <w:tabs>
          <w:tab w:leader="none" w:pos="1925" w:val="left"/>
        </w:tabs>
        <w:numPr>
          <w:ilvl w:val="0"/>
          <w:numId w:val="2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following shall be conditions precedent to the effectiveness of any Extension: (i) no Default or Event of Default shall have occurred and be continuing immediately prior to and immediately after giving effect to such Extension, (ii) the representations and warranties set forth in </w:t>
      </w:r>
      <w:r>
        <w:rPr>
          <w:rFonts w:ascii="Times New Roman" w:cs="Times New Roman" w:eastAsia="Times New Roman" w:hAnsi="Times New Roman"/>
          <w:sz w:val="19"/>
          <w:szCs w:val="19"/>
          <w:u w:val="single" w:color="auto"/>
          <w:color w:val="auto"/>
        </w:rPr>
        <w:t>Article VII</w:t>
      </w:r>
      <w:r>
        <w:rPr>
          <w:rFonts w:ascii="Times New Roman" w:cs="Times New Roman" w:eastAsia="Times New Roman" w:hAnsi="Times New Roman"/>
          <w:sz w:val="19"/>
          <w:szCs w:val="19"/>
          <w:color w:val="auto"/>
        </w:rPr>
        <w:t xml:space="preserve"> and in each other Loan Document shall be deemed to be made and shall be true and correct in all material respects on and as of the effective date of such Extension, (iii) the Issuing Lenders and the Swingline Lender shall have consented to any Extension of the Revolving Credit Commitments, to the extent that such Extension provides for the issuance or extension of Letters of Credit or making of Swingline Loans at any time during the extended period and (iv) the terms of such Extended Revolving Credit Commitments and Extended Term Loans shall comply with paragraph (c) of this Section.</w:t>
      </w:r>
    </w:p>
    <w:p>
      <w:pPr>
        <w:spacing w:after="0" w:line="183" w:lineRule="exact"/>
        <w:rPr>
          <w:rFonts w:ascii="Times New Roman" w:cs="Times New Roman" w:eastAsia="Times New Roman" w:hAnsi="Times New Roman"/>
          <w:sz w:val="19"/>
          <w:szCs w:val="19"/>
          <w:color w:val="auto"/>
        </w:rPr>
      </w:pPr>
    </w:p>
    <w:p>
      <w:pPr>
        <w:jc w:val="both"/>
        <w:ind w:left="680" w:right="20" w:firstLine="646"/>
        <w:spacing w:after="0" w:line="251" w:lineRule="auto"/>
        <w:tabs>
          <w:tab w:leader="none" w:pos="1927"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terms of each Extension shall be determined by the Borrowers and the applicable extending Lenders and set forth in an Extension Amendment;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final maturity date of any Extended Revolving Credit Commitment or</w:t>
      </w:r>
    </w:p>
    <w:p>
      <w:pPr>
        <w:spacing w:after="0" w:line="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auto"/>
        </w:rPr>
        <w:t>Extended Term Loan shall be no earlier than the Revolving Credit Maturity Date or the Term Loan Maturity Date, respectively, (ii)</w:t>
      </w:r>
    </w:p>
    <w:p>
      <w:pPr>
        <w:spacing w:after="0" w:line="17" w:lineRule="exact"/>
        <w:rPr>
          <w:sz w:val="20"/>
          <w:szCs w:val="20"/>
          <w:color w:val="auto"/>
        </w:rPr>
      </w:pPr>
    </w:p>
    <w:p>
      <w:pPr>
        <w:jc w:val="both"/>
        <w:ind w:left="680" w:firstLine="4"/>
        <w:spacing w:after="0" w:line="247" w:lineRule="auto"/>
        <w:tabs>
          <w:tab w:leader="none" w:pos="1029"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there shall be no scheduled amortization of the loans or reductions of commitments under any Extended Revolving Credit Commitments and (B) the Weighted Average Life to Maturity of the Extended Term Loans shall be no shorter than the remaining Weighted Average Life to Maturity of the existing Term Loans, (iii) the Extended Revolving Credit Loans and the Extended Term Loans will rank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in right of payment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93">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178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080"/>
          </w:cols>
          <w:pgMar w:left="320" w:top="1400" w:right="499" w:bottom="1440" w:gutter="0" w:footer="0" w:header="0"/>
        </w:sectPr>
      </w:pPr>
    </w:p>
    <w:bookmarkStart w:id="327" w:name="page328"/>
    <w:bookmarkEnd w:id="327"/>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94">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179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0139"/>
          </w:cols>
          <w:pgMar w:left="320" w:top="1440" w:right="1440" w:bottom="1440" w:gutter="0" w:footer="0" w:header="0"/>
        </w:sectPr>
      </w:pPr>
    </w:p>
    <w:bookmarkStart w:id="328" w:name="page329"/>
    <w:bookmarkEnd w:id="328"/>
    <w:p>
      <w:pPr>
        <w:spacing w:after="0" w:line="202" w:lineRule="exact"/>
        <w:rPr>
          <w:sz w:val="20"/>
          <w:szCs w:val="20"/>
          <w:color w:val="auto"/>
        </w:rPr>
      </w:pPr>
    </w:p>
    <w:p>
      <w:pPr>
        <w:jc w:val="both"/>
        <w:ind w:left="680"/>
        <w:spacing w:after="0" w:line="247" w:lineRule="auto"/>
        <w:rPr>
          <w:sz w:val="20"/>
          <w:szCs w:val="20"/>
          <w:color w:val="auto"/>
        </w:rPr>
      </w:pPr>
      <w:r>
        <w:rPr>
          <w:rFonts w:ascii="Times New Roman" w:cs="Times New Roman" w:eastAsia="Times New Roman" w:hAnsi="Times New Roman"/>
          <w:sz w:val="20"/>
          <w:szCs w:val="20"/>
          <w:color w:val="auto"/>
        </w:rPr>
        <w:t xml:space="preserve">and with respect to security with the existing Revolving Credit Loans and the existing Term Loans and the borrower and guarantors of the Extended Revolving Credit Commitments or Extended Term Loans, as applicable, shall be the same as the Borrowers and Subsidiary Guarantors with respect to the existing Revolving Credit Loans or Term Loans, as applicable, (iv) the interest rate margin, rate floors, fees, original issue discount and premium applicable to any Extended Revolving Credit Commitment (and the Extended Revolving Credit Loans thereunder) and Extended Term Loans shall be determined by the Borrowers and the applicable extending Lenders, (v)(A) the Extended Term Loans may participate on a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or less than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(but not greater than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basis in mandatory prepayments with the other Term Loans and (B) borrowing and prepayment of Extended Revolving Credit Loans, or reductions of Extended Revolving Credit Commitments, and participation in Letters of Credit and Swingline Loans, shall be on a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basis with the other Revolving Credit Loans or Revolving Credit Commitments (other than upon the maturity of the non-extended Revolving Credit Loans and Revolving Credit Commitments) and (vi) the terms of the Extended Revolving Credit Commitments or Extended Term Loans, as applicable, shall be substantially identical to the terms set forth herein (except as set forth in clauses (i) through (v) above).</w:t>
      </w:r>
    </w:p>
    <w:p>
      <w:pPr>
        <w:spacing w:after="0" w:line="182" w:lineRule="exact"/>
        <w:rPr>
          <w:sz w:val="20"/>
          <w:szCs w:val="20"/>
          <w:color w:val="auto"/>
        </w:rPr>
      </w:pPr>
    </w:p>
    <w:p>
      <w:pPr>
        <w:jc w:val="both"/>
        <w:ind w:left="680" w:right="20" w:firstLine="646"/>
        <w:spacing w:after="0" w:line="247" w:lineRule="auto"/>
        <w:tabs>
          <w:tab w:leader="none" w:pos="1925"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any Extension, the Borrowers, the Administrative Agent and each applicable extending Lender shall execute and deliver to the Administrative Agent an Extension Amendment and such other documentation as the Administrative Agent shall reasonably specify to evidence the Extension. The Administrative Agent shall promptly notify each Lender as to the effectiveness of each Extension. Any Extension Amendment may, without the consent of any other Lender, effect such amendments to this Agreement and the other Loan Documents as may be necessary or appropriate, in the reasonable opinion of the Administrative Agent and the Borrowers, to implement the terms of any such Extension, including any amendments necessary to establish Extended Revolving Credit Commitments or Extended Term Loans as a new Class or tranche of Revolving Credit Commitments or Term Loans, as applicable, and such other technical amendments as may be necessary or appropriate in the reasonable opinion of the Administrative Agent and the Borrowers in connection with the establishment of such new Class or tranche (including to preserve the pro rata treatment of the extended and non-extended Classes or tranches and to provide for the reallocation of Revolving Credit Exposure upon the expiration or termination of the commitments under any Class or tranche), in each case on terms consistent with this section.</w:t>
      </w:r>
    </w:p>
    <w:p>
      <w:pPr>
        <w:spacing w:after="0" w:line="182" w:lineRule="exact"/>
        <w:rPr>
          <w:rFonts w:ascii="Times New Roman" w:cs="Times New Roman" w:eastAsia="Times New Roman" w:hAnsi="Times New Roman"/>
          <w:sz w:val="20"/>
          <w:szCs w:val="20"/>
          <w:color w:val="auto"/>
        </w:rPr>
      </w:pPr>
    </w:p>
    <w:p>
      <w:pPr>
        <w:jc w:val="both"/>
        <w:ind w:left="680" w:right="20" w:firstLine="646"/>
        <w:spacing w:after="0" w:line="250" w:lineRule="auto"/>
        <w:tabs>
          <w:tab w:leader="none" w:pos="1927"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terms of </w:t>
      </w:r>
      <w:r>
        <w:rPr>
          <w:rFonts w:ascii="Times New Roman" w:cs="Times New Roman" w:eastAsia="Times New Roman" w:hAnsi="Times New Roman"/>
          <w:sz w:val="20"/>
          <w:szCs w:val="20"/>
          <w:u w:val="single" w:color="auto"/>
          <w:color w:val="auto"/>
        </w:rPr>
        <w:t>Sections 5.13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5.18</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5.19</w:t>
      </w:r>
      <w:r>
        <w:rPr>
          <w:rFonts w:ascii="Times New Roman" w:cs="Times New Roman" w:eastAsia="Times New Roman" w:hAnsi="Times New Roman"/>
          <w:sz w:val="20"/>
          <w:szCs w:val="20"/>
          <w:color w:val="auto"/>
        </w:rPr>
        <w:t>, in no event shall there be more than (i) two (2) tranches of revolving facilities in the aggregate in effect at any time (including the Revolving Credit Commitments, any Extended Revolving Credit Commitments and any Refinancing Revolving Credit Commitments) and (ii) four (4) tranches of term loans (including the Initial Term Loan, any Extended Term Loans, any Incremental Term Loans and any Refinancing Term Loans), in each case under this Agreement.</w:t>
      </w:r>
    </w:p>
    <w:p>
      <w:pPr>
        <w:spacing w:after="0" w:line="1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ARTICLE VI</w:t>
      </w:r>
    </w:p>
    <w:p>
      <w:pPr>
        <w:spacing w:after="0" w:line="23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CONDITIONS OF CLOSING AND BORROWING</w:t>
      </w:r>
    </w:p>
    <w:p>
      <w:pPr>
        <w:spacing w:after="0" w:line="211" w:lineRule="exact"/>
        <w:rPr>
          <w:sz w:val="20"/>
          <w:szCs w:val="20"/>
          <w:color w:val="auto"/>
        </w:rPr>
      </w:pPr>
    </w:p>
    <w:p>
      <w:pPr>
        <w:jc w:val="both"/>
        <w:ind w:left="680" w:right="20" w:firstLine="642"/>
        <w:spacing w:after="0" w:line="264" w:lineRule="auto"/>
        <w:rPr>
          <w:sz w:val="20"/>
          <w:szCs w:val="20"/>
          <w:color w:val="auto"/>
        </w:rPr>
      </w:pPr>
      <w:r>
        <w:rPr>
          <w:rFonts w:ascii="Times New Roman" w:cs="Times New Roman" w:eastAsia="Times New Roman" w:hAnsi="Times New Roman"/>
          <w:sz w:val="20"/>
          <w:szCs w:val="20"/>
          <w:color w:val="auto"/>
        </w:rPr>
        <w:t xml:space="preserve">SECTION 6.1 </w:t>
      </w:r>
      <w:r>
        <w:rPr>
          <w:rFonts w:ascii="Times New Roman" w:cs="Times New Roman" w:eastAsia="Times New Roman" w:hAnsi="Times New Roman"/>
          <w:sz w:val="20"/>
          <w:szCs w:val="20"/>
          <w:u w:val="single" w:color="auto"/>
          <w:color w:val="auto"/>
        </w:rPr>
        <w:t>Conditions to Closing and Initial Extensions of Credit</w:t>
      </w:r>
      <w:r>
        <w:rPr>
          <w:rFonts w:ascii="Times New Roman" w:cs="Times New Roman" w:eastAsia="Times New Roman" w:hAnsi="Times New Roman"/>
          <w:sz w:val="20"/>
          <w:szCs w:val="20"/>
          <w:color w:val="auto"/>
        </w:rPr>
        <w:t>. The obligation of the Lenders to close this Agreement and to make the initial Loans or issue or participate in the initial Letter of Credit, if any, on the Closing Date is subject to the satisfaction of each of the following conditions:</w:t>
      </w:r>
    </w:p>
    <w:p>
      <w:pPr>
        <w:spacing w:after="0" w:line="164" w:lineRule="exact"/>
        <w:rPr>
          <w:sz w:val="20"/>
          <w:szCs w:val="20"/>
          <w:color w:val="auto"/>
        </w:rPr>
      </w:pPr>
    </w:p>
    <w:p>
      <w:pPr>
        <w:ind w:left="680" w:right="20" w:firstLine="646"/>
        <w:spacing w:after="0" w:line="277" w:lineRule="auto"/>
        <w:tabs>
          <w:tab w:leader="none" w:pos="1927"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Executed Loan Documents</w:t>
      </w:r>
      <w:r>
        <w:rPr>
          <w:rFonts w:ascii="Times New Roman" w:cs="Times New Roman" w:eastAsia="Times New Roman" w:hAnsi="Times New Roman"/>
          <w:sz w:val="20"/>
          <w:szCs w:val="20"/>
          <w:color w:val="auto"/>
        </w:rPr>
        <w:t>. This Agreement, a US Revolving Credit Note and a Canadian Revolving Credit Note in favor of each Revolving Credit Lender requesting a US Revolving Credit Note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95">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180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329" w:name="page330"/>
    <w:bookmarkEnd w:id="329"/>
    <w:p>
      <w:pPr>
        <w:spacing w:after="0" w:line="95" w:lineRule="exact"/>
        <w:rPr>
          <w:sz w:val="20"/>
          <w:szCs w:val="20"/>
          <w:color w:val="auto"/>
        </w:rPr>
      </w:pPr>
    </w:p>
    <w:p>
      <w:pPr>
        <w:ind w:left="680"/>
        <w:spacing w:after="0" w:line="277" w:lineRule="auto"/>
        <w:rPr>
          <w:sz w:val="20"/>
          <w:szCs w:val="20"/>
          <w:color w:val="auto"/>
        </w:rPr>
      </w:pPr>
      <w:r>
        <w:rPr>
          <w:rFonts w:ascii="Times New Roman" w:cs="Times New Roman" w:eastAsia="Times New Roman" w:hAnsi="Times New Roman"/>
          <w:sz w:val="20"/>
          <w:szCs w:val="20"/>
          <w:color w:val="auto"/>
        </w:rPr>
        <w:t>and a Canadian Revolving Credit Note, a US Term Loan Note and a Canadian Term Loan Note in favor of each Term Loan Lender requesting a US Term Loan Note, a US Swingline Note in favor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96">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181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080"/>
          </w:cols>
          <w:pgMar w:left="320" w:top="1440" w:right="499" w:bottom="1440" w:gutter="0" w:footer="0" w:header="0"/>
        </w:sectPr>
      </w:pPr>
    </w:p>
    <w:bookmarkStart w:id="330" w:name="page331"/>
    <w:bookmarkEnd w:id="330"/>
    <w:p>
      <w:pPr>
        <w:spacing w:after="0" w:line="202" w:lineRule="exact"/>
        <w:rPr>
          <w:sz w:val="20"/>
          <w:szCs w:val="20"/>
          <w:color w:val="auto"/>
        </w:rPr>
      </w:pPr>
    </w:p>
    <w:p>
      <w:pPr>
        <w:jc w:val="both"/>
        <w:ind w:left="680" w:right="40"/>
        <w:spacing w:after="0" w:line="257" w:lineRule="auto"/>
        <w:rPr>
          <w:sz w:val="20"/>
          <w:szCs w:val="20"/>
          <w:color w:val="auto"/>
        </w:rPr>
      </w:pPr>
      <w:r>
        <w:rPr>
          <w:rFonts w:ascii="Times New Roman" w:cs="Times New Roman" w:eastAsia="Times New Roman" w:hAnsi="Times New Roman"/>
          <w:sz w:val="20"/>
          <w:szCs w:val="20"/>
          <w:color w:val="auto"/>
        </w:rPr>
        <w:t>of the Swingline Lender and a Canadian Swingline Note in favor of the Swingline Lender (in each case, if requested thereby), the Security Documents and the Guaranty Agreements, together with any other applicable Loan Documents, shall have been duly authorized, executed and delivered to the Administrative Agent by the parties thereto, shall be in full force and effect.</w:t>
      </w:r>
    </w:p>
    <w:p>
      <w:pPr>
        <w:spacing w:after="0" w:line="171" w:lineRule="exact"/>
        <w:rPr>
          <w:sz w:val="20"/>
          <w:szCs w:val="20"/>
          <w:color w:val="auto"/>
        </w:rPr>
      </w:pPr>
    </w:p>
    <w:p>
      <w:pPr>
        <w:ind w:left="680" w:right="40" w:firstLine="646"/>
        <w:spacing w:after="0" w:line="277" w:lineRule="auto"/>
        <w:tabs>
          <w:tab w:leader="none" w:pos="1925"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Closing Certificates; Etc.</w:t>
      </w:r>
      <w:r>
        <w:rPr>
          <w:rFonts w:ascii="Times New Roman" w:cs="Times New Roman" w:eastAsia="Times New Roman" w:hAnsi="Times New Roman"/>
          <w:sz w:val="20"/>
          <w:szCs w:val="20"/>
          <w:color w:val="auto"/>
        </w:rPr>
        <w:t xml:space="preserve"> The Administrative Agent shall have received each of the following in form and substance reasonably satisfactory to the Administrative Agent:</w:t>
      </w:r>
    </w:p>
    <w:p>
      <w:pPr>
        <w:spacing w:after="0" w:line="151" w:lineRule="exact"/>
        <w:rPr>
          <w:rFonts w:ascii="Times New Roman" w:cs="Times New Roman" w:eastAsia="Times New Roman" w:hAnsi="Times New Roman"/>
          <w:sz w:val="20"/>
          <w:szCs w:val="20"/>
          <w:color w:val="auto"/>
        </w:rPr>
      </w:pPr>
    </w:p>
    <w:p>
      <w:pPr>
        <w:jc w:val="both"/>
        <w:ind w:left="1320" w:firstLine="648"/>
        <w:spacing w:after="0" w:line="247" w:lineRule="auto"/>
        <w:tabs>
          <w:tab w:leader="none" w:pos="2561" w:val="left"/>
        </w:tabs>
        <w:numPr>
          <w:ilvl w:val="1"/>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Officer’s Certificate</w:t>
      </w:r>
      <w:r>
        <w:rPr>
          <w:rFonts w:ascii="Times New Roman" w:cs="Times New Roman" w:eastAsia="Times New Roman" w:hAnsi="Times New Roman"/>
          <w:sz w:val="20"/>
          <w:szCs w:val="20"/>
          <w:color w:val="auto"/>
        </w:rPr>
        <w:t xml:space="preserve">. A certificate from a Responsible Officer of Centuri to the effect that (A) all representations and warranties of the Credit Parties contained in this Agreement and the other Loan Documents are true, correct and complete in all material respects (except to the extent any such representation and warranty is qualified by materiality or reference to Material Adverse Effect, in which case, such representation and warranty shall be true, correct and complete in all respects);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only representations and warranties under this Agreement or any other Loan Document the accuracy of which shall be a condition to the availability of the initial Extensions of Credit on the Closing Date shall be the Specified Representations; (B) the condition set forth in </w:t>
      </w:r>
      <w:r>
        <w:rPr>
          <w:rFonts w:ascii="Times New Roman" w:cs="Times New Roman" w:eastAsia="Times New Roman" w:hAnsi="Times New Roman"/>
          <w:sz w:val="20"/>
          <w:szCs w:val="20"/>
          <w:u w:val="single" w:color="auto"/>
          <w:color w:val="auto"/>
        </w:rPr>
        <w:t>Section 6.1(f)(iv)</w:t>
      </w:r>
      <w:r>
        <w:rPr>
          <w:rFonts w:ascii="Times New Roman" w:cs="Times New Roman" w:eastAsia="Times New Roman" w:hAnsi="Times New Roman"/>
          <w:sz w:val="20"/>
          <w:szCs w:val="20"/>
          <w:color w:val="auto"/>
        </w:rPr>
        <w:t xml:space="preserve"> is satisfied; (C) attached thereto is a true and correct copy of the Drum Merger Agreement as in effect on the Closing Date; and</w:t>
      </w:r>
    </w:p>
    <w:p>
      <w:pPr>
        <w:spacing w:after="0" w:line="6" w:lineRule="exact"/>
        <w:rPr>
          <w:rFonts w:ascii="Times New Roman" w:cs="Times New Roman" w:eastAsia="Times New Roman" w:hAnsi="Times New Roman"/>
          <w:sz w:val="20"/>
          <w:szCs w:val="20"/>
          <w:color w:val="auto"/>
        </w:rPr>
      </w:pPr>
    </w:p>
    <w:p>
      <w:pPr>
        <w:ind w:left="13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 each of the Credit Parties, as applicable, has satisfied each of the conditions set forth in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w:t>
      </w:r>
    </w:p>
    <w:p>
      <w:pPr>
        <w:spacing w:after="0" w:line="197" w:lineRule="exact"/>
        <w:rPr>
          <w:rFonts w:ascii="Times New Roman" w:cs="Times New Roman" w:eastAsia="Times New Roman" w:hAnsi="Times New Roman"/>
          <w:sz w:val="20"/>
          <w:szCs w:val="20"/>
          <w:color w:val="auto"/>
        </w:rPr>
      </w:pPr>
    </w:p>
    <w:p>
      <w:pPr>
        <w:jc w:val="both"/>
        <w:ind w:left="1320" w:right="20" w:firstLine="648"/>
        <w:spacing w:after="0" w:line="262" w:lineRule="auto"/>
        <w:tabs>
          <w:tab w:leader="none" w:pos="2562" w:val="left"/>
        </w:tabs>
        <w:numPr>
          <w:ilvl w:val="1"/>
          <w:numId w:val="2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Officer’s Certificate of each Credit Party</w:t>
      </w:r>
      <w:r>
        <w:rPr>
          <w:rFonts w:ascii="Times New Roman" w:cs="Times New Roman" w:eastAsia="Times New Roman" w:hAnsi="Times New Roman"/>
          <w:sz w:val="19"/>
          <w:szCs w:val="19"/>
          <w:color w:val="auto"/>
        </w:rPr>
        <w:t xml:space="preserve">. A certificate of a Responsible Officer of each Credit Party certifying as to the incumbency and genuineness of the signature of each officer of such Credit Party executing Loan Documents to which it is a party and certifying that attached thereto is a true, correct and complete copy of (A) the articles or certificate of incorporation or formation (or equivalent), as applicable, of such Credit Party and all amendments thereto, and in the case of the US Credit Parties only, certified as of a recent date by the appropriate Governmental Authority in its jurisdiction of incorporation, organization or formation (or equivalent), as applicable, (B) the bylaws or other governing document of such Credit Party as in effect on the Closing Date, (C) resolutions duly adopted by the board of directors (or other governing body) of such Credit Party authorizing and approving the transactions contemplated hereunder and the execution, delivery and performance of this Agreement and the other Loan Documents to which it is a party, and (D) with respect to the US Credit Parties only, each certificate required to be delivered pursuant to </w:t>
      </w:r>
      <w:r>
        <w:rPr>
          <w:rFonts w:ascii="Times New Roman" w:cs="Times New Roman" w:eastAsia="Times New Roman" w:hAnsi="Times New Roman"/>
          <w:sz w:val="19"/>
          <w:szCs w:val="19"/>
          <w:u w:val="single" w:color="auto"/>
          <w:color w:val="auto"/>
        </w:rPr>
        <w:t>Section 6.1(b)(iii)</w:t>
      </w:r>
      <w:r>
        <w:rPr>
          <w:rFonts w:ascii="Times New Roman" w:cs="Times New Roman" w:eastAsia="Times New Roman" w:hAnsi="Times New Roman"/>
          <w:sz w:val="19"/>
          <w:szCs w:val="19"/>
          <w:color w:val="auto"/>
        </w:rPr>
        <w:t>.</w:t>
      </w:r>
    </w:p>
    <w:p>
      <w:pPr>
        <w:spacing w:after="0" w:line="169" w:lineRule="exact"/>
        <w:rPr>
          <w:rFonts w:ascii="Times New Roman" w:cs="Times New Roman" w:eastAsia="Times New Roman" w:hAnsi="Times New Roman"/>
          <w:sz w:val="19"/>
          <w:szCs w:val="19"/>
          <w:color w:val="auto"/>
        </w:rPr>
      </w:pPr>
    </w:p>
    <w:p>
      <w:pPr>
        <w:ind w:left="1320" w:right="40" w:firstLine="648"/>
        <w:spacing w:after="0" w:line="263" w:lineRule="auto"/>
        <w:tabs>
          <w:tab w:leader="none" w:pos="2563" w:val="left"/>
        </w:tabs>
        <w:numPr>
          <w:ilvl w:val="1"/>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Certificates of Good Standing</w:t>
      </w:r>
      <w:r>
        <w:rPr>
          <w:rFonts w:ascii="Times New Roman" w:cs="Times New Roman" w:eastAsia="Times New Roman" w:hAnsi="Times New Roman"/>
          <w:sz w:val="20"/>
          <w:szCs w:val="20"/>
          <w:color w:val="auto"/>
        </w:rPr>
        <w:t>. Certificates as of a recent date of the good standing of each Credit Party under the laws of its jurisdiction of incorporation, organization or formation (or equivalent), as applicable.</w:t>
      </w:r>
    </w:p>
    <w:p>
      <w:pPr>
        <w:spacing w:after="0" w:line="178" w:lineRule="exact"/>
        <w:rPr>
          <w:rFonts w:ascii="Times New Roman" w:cs="Times New Roman" w:eastAsia="Times New Roman" w:hAnsi="Times New Roman"/>
          <w:sz w:val="20"/>
          <w:szCs w:val="20"/>
          <w:color w:val="auto"/>
        </w:rPr>
      </w:pPr>
    </w:p>
    <w:p>
      <w:pPr>
        <w:jc w:val="both"/>
        <w:ind w:left="1320" w:right="40" w:firstLine="648"/>
        <w:spacing w:after="0" w:line="255" w:lineRule="auto"/>
        <w:tabs>
          <w:tab w:leader="none" w:pos="2566" w:val="left"/>
        </w:tabs>
        <w:numPr>
          <w:ilvl w:val="1"/>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Opinions of Counsel</w:t>
      </w:r>
      <w:r>
        <w:rPr>
          <w:rFonts w:ascii="Times New Roman" w:cs="Times New Roman" w:eastAsia="Times New Roman" w:hAnsi="Times New Roman"/>
          <w:sz w:val="20"/>
          <w:szCs w:val="20"/>
          <w:color w:val="auto"/>
        </w:rPr>
        <w:t>. Opinions of counsel to the Credit Parties addressed to the Administrative Agent and the Lenders with respect to the Credit Parties, the Loan Documents and such other matters as the Administrative Agent shall reasonably request (which such opinions shall expressly permit reliance by permitted successors and assigns of the addressees thereof).</w:t>
      </w:r>
    </w:p>
    <w:p>
      <w:pPr>
        <w:spacing w:after="0" w:line="172" w:lineRule="exact"/>
        <w:rPr>
          <w:rFonts w:ascii="Times New Roman" w:cs="Times New Roman" w:eastAsia="Times New Roman" w:hAnsi="Times New Roman"/>
          <w:sz w:val="20"/>
          <w:szCs w:val="20"/>
          <w:color w:val="auto"/>
        </w:rPr>
      </w:pPr>
    </w:p>
    <w:p>
      <w:pPr>
        <w:ind w:left="1960" w:hanging="633"/>
        <w:spacing w:after="0"/>
        <w:tabs>
          <w:tab w:leader="none" w:pos="1960"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Personal Property Collateral</w:t>
      </w:r>
      <w:r>
        <w:rPr>
          <w:rFonts w:ascii="Times New Roman" w:cs="Times New Roman" w:eastAsia="Times New Roman" w:hAnsi="Times New Roman"/>
          <w:sz w:val="20"/>
          <w:szCs w:val="20"/>
          <w:color w:val="auto"/>
        </w:rPr>
        <w:t>.</w:t>
      </w:r>
    </w:p>
    <w:p>
      <w:pPr>
        <w:spacing w:after="0" w:line="211" w:lineRule="exact"/>
        <w:rPr>
          <w:rFonts w:ascii="Times New Roman" w:cs="Times New Roman" w:eastAsia="Times New Roman" w:hAnsi="Times New Roman"/>
          <w:sz w:val="20"/>
          <w:szCs w:val="20"/>
          <w:color w:val="auto"/>
        </w:rPr>
      </w:pPr>
    </w:p>
    <w:p>
      <w:pPr>
        <w:ind w:left="1320" w:firstLine="648"/>
        <w:spacing w:after="0" w:line="277" w:lineRule="auto"/>
        <w:tabs>
          <w:tab w:leader="none" w:pos="2561" w:val="left"/>
        </w:tabs>
        <w:numPr>
          <w:ilvl w:val="1"/>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Filings and Recordings</w:t>
      </w:r>
      <w:r>
        <w:rPr>
          <w:rFonts w:ascii="Times New Roman" w:cs="Times New Roman" w:eastAsia="Times New Roman" w:hAnsi="Times New Roman"/>
          <w:sz w:val="20"/>
          <w:szCs w:val="20"/>
          <w:color w:val="auto"/>
        </w:rPr>
        <w:t>. The Administrative Agent shall have received all filings and recordations that are necessary to perfect the security interests of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97">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182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331" w:name="page332"/>
    <w:bookmarkEnd w:id="331"/>
    <w:p>
      <w:pPr>
        <w:spacing w:after="0" w:line="95" w:lineRule="exact"/>
        <w:rPr>
          <w:sz w:val="20"/>
          <w:szCs w:val="20"/>
          <w:color w:val="auto"/>
        </w:rPr>
      </w:pPr>
    </w:p>
    <w:p>
      <w:pPr>
        <w:ind w:left="1320"/>
        <w:spacing w:after="0" w:line="277" w:lineRule="auto"/>
        <w:rPr>
          <w:sz w:val="20"/>
          <w:szCs w:val="20"/>
          <w:color w:val="auto"/>
        </w:rPr>
      </w:pPr>
      <w:r>
        <w:rPr>
          <w:rFonts w:ascii="Times New Roman" w:cs="Times New Roman" w:eastAsia="Times New Roman" w:hAnsi="Times New Roman"/>
          <w:sz w:val="20"/>
          <w:szCs w:val="20"/>
          <w:color w:val="auto"/>
        </w:rPr>
        <w:t>on behalf of the US Secured Parties and the Canadian Secured Parties in the Collateral and the Administrative Agent shall have received evidence reasonably satisfactory to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98">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183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332" w:name="page333"/>
    <w:bookmarkEnd w:id="332"/>
    <w:p>
      <w:pPr>
        <w:spacing w:after="0" w:line="202" w:lineRule="exact"/>
        <w:rPr>
          <w:sz w:val="20"/>
          <w:szCs w:val="20"/>
          <w:color w:val="auto"/>
        </w:rPr>
      </w:pPr>
    </w:p>
    <w:p>
      <w:pPr>
        <w:ind w:left="1320"/>
        <w:spacing w:after="0" w:line="263" w:lineRule="auto"/>
        <w:rPr>
          <w:sz w:val="20"/>
          <w:szCs w:val="20"/>
          <w:color w:val="auto"/>
        </w:rPr>
      </w:pPr>
      <w:r>
        <w:rPr>
          <w:rFonts w:ascii="Times New Roman" w:cs="Times New Roman" w:eastAsia="Times New Roman" w:hAnsi="Times New Roman"/>
          <w:sz w:val="20"/>
          <w:szCs w:val="20"/>
          <w:color w:val="auto"/>
        </w:rPr>
        <w:t>Agent that upon such filings and recordations such security interests constitute valid and perfected first priority Liens thereon (subject to Permitted Liens).</w:t>
      </w:r>
    </w:p>
    <w:p>
      <w:pPr>
        <w:spacing w:after="0" w:line="178" w:lineRule="exact"/>
        <w:rPr>
          <w:sz w:val="20"/>
          <w:szCs w:val="20"/>
          <w:color w:val="auto"/>
        </w:rPr>
      </w:pPr>
    </w:p>
    <w:p>
      <w:pPr>
        <w:jc w:val="both"/>
        <w:ind w:left="1320" w:right="80" w:firstLine="648"/>
        <w:spacing w:after="0" w:line="247" w:lineRule="auto"/>
        <w:tabs>
          <w:tab w:leader="none" w:pos="2562" w:val="left"/>
        </w:tabs>
        <w:numPr>
          <w:ilvl w:val="1"/>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Pledged Collateral</w:t>
      </w:r>
      <w:r>
        <w:rPr>
          <w:rFonts w:ascii="Times New Roman" w:cs="Times New Roman" w:eastAsia="Times New Roman" w:hAnsi="Times New Roman"/>
          <w:sz w:val="20"/>
          <w:szCs w:val="20"/>
          <w:color w:val="auto"/>
        </w:rPr>
        <w:t xml:space="preserve">. The Administrative Agent shall have received, subject to </w:t>
      </w:r>
      <w:r>
        <w:rPr>
          <w:rFonts w:ascii="Times New Roman" w:cs="Times New Roman" w:eastAsia="Times New Roman" w:hAnsi="Times New Roman"/>
          <w:sz w:val="20"/>
          <w:szCs w:val="20"/>
          <w:u w:val="single" w:color="auto"/>
          <w:color w:val="auto"/>
        </w:rPr>
        <w:t>Section 8.19</w:t>
      </w:r>
      <w:r>
        <w:rPr>
          <w:rFonts w:ascii="Times New Roman" w:cs="Times New Roman" w:eastAsia="Times New Roman" w:hAnsi="Times New Roman"/>
          <w:sz w:val="20"/>
          <w:szCs w:val="20"/>
          <w:color w:val="auto"/>
        </w:rPr>
        <w:t>, (A) original stock certificates or other certificates evidencing the certificated Equity Interests pledged pursuant to the Security Documents, together with an undated stock power for each such certificate duly executed in blank by the registered owner thereof and</w:t>
      </w:r>
    </w:p>
    <w:p>
      <w:pPr>
        <w:spacing w:after="0" w:line="3" w:lineRule="exact"/>
        <w:rPr>
          <w:rFonts w:ascii="Times New Roman" w:cs="Times New Roman" w:eastAsia="Times New Roman" w:hAnsi="Times New Roman"/>
          <w:sz w:val="20"/>
          <w:szCs w:val="20"/>
          <w:color w:val="auto"/>
        </w:rPr>
      </w:pPr>
    </w:p>
    <w:p>
      <w:pPr>
        <w:ind w:left="1320" w:right="100" w:firstLine="6"/>
        <w:spacing w:after="0" w:line="262" w:lineRule="auto"/>
        <w:tabs>
          <w:tab w:leader="none" w:pos="1645"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original promissory note pledged pursuant to the Security Documents together with an undated allonge for each such promissory note duly executed in blank by the holder thereof.</w:t>
      </w:r>
    </w:p>
    <w:p>
      <w:pPr>
        <w:spacing w:after="0" w:line="165" w:lineRule="exact"/>
        <w:rPr>
          <w:rFonts w:ascii="Times New Roman" w:cs="Times New Roman" w:eastAsia="Times New Roman" w:hAnsi="Times New Roman"/>
          <w:sz w:val="20"/>
          <w:szCs w:val="20"/>
          <w:color w:val="auto"/>
        </w:rPr>
      </w:pPr>
    </w:p>
    <w:p>
      <w:pPr>
        <w:jc w:val="both"/>
        <w:ind w:left="1320" w:right="100" w:firstLine="648"/>
        <w:spacing w:after="0" w:line="255" w:lineRule="auto"/>
        <w:tabs>
          <w:tab w:leader="none" w:pos="2563" w:val="left"/>
        </w:tabs>
        <w:numPr>
          <w:ilvl w:val="1"/>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Lien Search</w:t>
      </w:r>
      <w:r>
        <w:rPr>
          <w:rFonts w:ascii="Times New Roman" w:cs="Times New Roman" w:eastAsia="Times New Roman" w:hAnsi="Times New Roman"/>
          <w:sz w:val="20"/>
          <w:szCs w:val="20"/>
          <w:color w:val="auto"/>
        </w:rPr>
        <w:t>. The Administrative Agent shall have received the results of customary Lien searches (including UCC and PPSA searches and a search as to bankruptcy, tax and intellectual property matters as applicable), in form and substance reasonably satisfactory thereto, made against the Credit Parties, indicating among other things that the assets of each such Credit Party are free and clear of any Lien (except for Permitted Liens).</w:t>
      </w:r>
    </w:p>
    <w:p>
      <w:pPr>
        <w:spacing w:after="0" w:line="173" w:lineRule="exact"/>
        <w:rPr>
          <w:sz w:val="20"/>
          <w:szCs w:val="20"/>
          <w:color w:val="auto"/>
        </w:rPr>
      </w:pPr>
    </w:p>
    <w:p>
      <w:pPr>
        <w:ind w:left="1960" w:hanging="633"/>
        <w:spacing w:after="0"/>
        <w:tabs>
          <w:tab w:leader="none" w:pos="1960" w:val="left"/>
        </w:tabs>
        <w:numPr>
          <w:ilvl w:val="2"/>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[Intentionally Omitted]</w:t>
      </w:r>
      <w:r>
        <w:rPr>
          <w:rFonts w:ascii="Times New Roman" w:cs="Times New Roman" w:eastAsia="Times New Roman" w:hAnsi="Times New Roman"/>
          <w:sz w:val="20"/>
          <w:szCs w:val="20"/>
          <w:color w:val="auto"/>
        </w:rPr>
        <w:t>.</w:t>
      </w:r>
    </w:p>
    <w:p>
      <w:pPr>
        <w:spacing w:after="0" w:line="211" w:lineRule="exact"/>
        <w:rPr>
          <w:rFonts w:ascii="Times New Roman" w:cs="Times New Roman" w:eastAsia="Times New Roman" w:hAnsi="Times New Roman"/>
          <w:sz w:val="20"/>
          <w:szCs w:val="20"/>
          <w:color w:val="auto"/>
        </w:rPr>
      </w:pPr>
    </w:p>
    <w:p>
      <w:pPr>
        <w:ind w:left="1960" w:hanging="633"/>
        <w:spacing w:after="0"/>
        <w:tabs>
          <w:tab w:leader="none" w:pos="1960" w:val="left"/>
        </w:tabs>
        <w:numPr>
          <w:ilvl w:val="2"/>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Financial Matters</w:t>
      </w:r>
      <w:r>
        <w:rPr>
          <w:rFonts w:ascii="Times New Roman" w:cs="Times New Roman" w:eastAsia="Times New Roman" w:hAnsi="Times New Roman"/>
          <w:sz w:val="20"/>
          <w:szCs w:val="20"/>
          <w:color w:val="auto"/>
        </w:rPr>
        <w:t>.</w:t>
      </w:r>
    </w:p>
    <w:p>
      <w:pPr>
        <w:spacing w:after="0" w:line="224" w:lineRule="exact"/>
        <w:rPr>
          <w:rFonts w:ascii="Times New Roman" w:cs="Times New Roman" w:eastAsia="Times New Roman" w:hAnsi="Times New Roman"/>
          <w:sz w:val="20"/>
          <w:szCs w:val="20"/>
          <w:color w:val="auto"/>
        </w:rPr>
      </w:pPr>
    </w:p>
    <w:p>
      <w:pPr>
        <w:jc w:val="both"/>
        <w:ind w:left="1320" w:right="60" w:firstLine="648"/>
        <w:spacing w:after="0" w:line="247" w:lineRule="auto"/>
        <w:tabs>
          <w:tab w:leader="none" w:pos="2561" w:val="left"/>
        </w:tabs>
        <w:numPr>
          <w:ilvl w:val="3"/>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Financial Statements</w:t>
      </w:r>
      <w:r>
        <w:rPr>
          <w:rFonts w:ascii="Times New Roman" w:cs="Times New Roman" w:eastAsia="Times New Roman" w:hAnsi="Times New Roman"/>
          <w:sz w:val="20"/>
          <w:szCs w:val="20"/>
          <w:color w:val="auto"/>
        </w:rPr>
        <w:t>. The Agents shall have received (A) the audited Consolidated balance sheet of Centuri and its Subsidiaries for the Fiscal Year ended on December 31, 2020 and the related audited statements of income and retained earnings and cash flows for each such Fiscal Year, (B) an unaudited Consolidated balance sheet of Centuri and its Subsidiaries for the fiscal quarter ended on June 30, 2021 and related statements of operations for the six-month period then ended and such financial statements described in this clause (B) are publicly available, (C) unaudited Consolidated balance sheets and the related Consolidated statements of income and cash flows of Centuri and its Subsidiaries for each interim fiscal quarter ended after June 30, 2021 and at least 45 days prior to the Closing Date, (D) the audited Consolidated balance sheet of Drum and its Subsidiaries for the fiscal years ended December 31, 2020 and December 31, 2019 and the related audited statements of income and retained earnings and cash flows for each such fiscal year, (E) an unaudited Consolidated balance sheet of Drum and its Subsidiaries for the fiscal quarter ended on June 30, 2021 and related statements of operations for the six-month period then ended and (F) unaudited Consolidated balance sheets and the related Consolidated statements of income and cash flows of Drum and its Subsidiaries for each interim fiscal quarter ended after June 30, 2021 and at least 45 days prior to the Closing Date.</w:t>
      </w:r>
    </w:p>
    <w:p>
      <w:pPr>
        <w:spacing w:after="0" w:line="172" w:lineRule="exact"/>
        <w:rPr>
          <w:rFonts w:ascii="Times New Roman" w:cs="Times New Roman" w:eastAsia="Times New Roman" w:hAnsi="Times New Roman"/>
          <w:sz w:val="20"/>
          <w:szCs w:val="20"/>
          <w:color w:val="auto"/>
        </w:rPr>
      </w:pPr>
    </w:p>
    <w:p>
      <w:pPr>
        <w:jc w:val="both"/>
        <w:ind w:left="1320" w:right="100" w:firstLine="648"/>
        <w:spacing w:after="0" w:line="251" w:lineRule="auto"/>
        <w:tabs>
          <w:tab w:leader="none" w:pos="2562" w:val="left"/>
        </w:tabs>
        <w:numPr>
          <w:ilvl w:val="3"/>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Financial Condition/Solvency Certificate</w:t>
      </w:r>
      <w:r>
        <w:rPr>
          <w:rFonts w:ascii="Times New Roman" w:cs="Times New Roman" w:eastAsia="Times New Roman" w:hAnsi="Times New Roman"/>
          <w:sz w:val="20"/>
          <w:szCs w:val="20"/>
          <w:color w:val="auto"/>
        </w:rPr>
        <w:t>. Centuri shall have delivered to the Administrative Agent a certificate, in form and substance satisfactory to the Administrative Agent, and certified as accurate by the chief financial officer of Centuri, that (A) after giving effect to the Transactions, Centuri and its Subsidiaries, on a Consolidated basis, are Solvent and</w:t>
      </w:r>
    </w:p>
    <w:p>
      <w:pPr>
        <w:spacing w:after="0" w:line="1" w:lineRule="exact"/>
        <w:rPr>
          <w:rFonts w:ascii="Times New Roman" w:cs="Times New Roman" w:eastAsia="Times New Roman" w:hAnsi="Times New Roman"/>
          <w:sz w:val="20"/>
          <w:szCs w:val="20"/>
          <w:color w:val="auto"/>
        </w:rPr>
      </w:pPr>
    </w:p>
    <w:p>
      <w:pPr>
        <w:ind w:left="1320" w:right="60" w:firstLine="6"/>
        <w:spacing w:after="0" w:line="248" w:lineRule="auto"/>
        <w:tabs>
          <w:tab w:leader="none" w:pos="1662" w:val="left"/>
        </w:tabs>
        <w:numPr>
          <w:ilvl w:val="1"/>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financial projections previously delivered to the Agents represent the good faith estimates (utilizing reasonable assumptions) of the financial condition and operations of the Consolidated Companies.</w:t>
      </w:r>
    </w:p>
    <w:p>
      <w:pPr>
        <w:spacing w:after="0" w:line="192" w:lineRule="exact"/>
        <w:rPr>
          <w:rFonts w:ascii="Times New Roman" w:cs="Times New Roman" w:eastAsia="Times New Roman" w:hAnsi="Times New Roman"/>
          <w:sz w:val="20"/>
          <w:szCs w:val="20"/>
          <w:color w:val="auto"/>
        </w:rPr>
      </w:pPr>
    </w:p>
    <w:p>
      <w:pPr>
        <w:ind w:left="2600" w:hanging="631"/>
        <w:spacing w:after="0"/>
        <w:tabs>
          <w:tab w:leader="none" w:pos="2600" w:val="left"/>
        </w:tabs>
        <w:numPr>
          <w:ilvl w:val="3"/>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at Closing</w:t>
      </w:r>
      <w:r>
        <w:rPr>
          <w:rFonts w:ascii="Times New Roman" w:cs="Times New Roman" w:eastAsia="Times New Roman" w:hAnsi="Times New Roman"/>
          <w:sz w:val="20"/>
          <w:szCs w:val="20"/>
          <w:color w:val="auto"/>
        </w:rPr>
        <w:t>. If an invoice has been provided to Centuri not less than two</w:t>
      </w:r>
    </w:p>
    <w:p>
      <w:pPr>
        <w:spacing w:after="0" w:line="6" w:lineRule="exact"/>
        <w:rPr>
          <w:rFonts w:ascii="Times New Roman" w:cs="Times New Roman" w:eastAsia="Times New Roman" w:hAnsi="Times New Roman"/>
          <w:sz w:val="20"/>
          <w:szCs w:val="20"/>
          <w:color w:val="auto"/>
        </w:rPr>
      </w:pPr>
    </w:p>
    <w:p>
      <w:pPr>
        <w:ind w:left="1600" w:hanging="274"/>
        <w:spacing w:after="0"/>
        <w:tabs>
          <w:tab w:leader="none" w:pos="1600" w:val="left"/>
        </w:tabs>
        <w:numPr>
          <w:ilvl w:val="0"/>
          <w:numId w:val="2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Business Days prior to the Closing Date, the Borrowers shall have paid or made arrangements to pay contemporaneously</w:t>
      </w:r>
    </w:p>
    <w:p>
      <w:pPr>
        <w:spacing w:after="0" w:line="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with closing (A) to the Administrative Agent, the Arrangers and the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99">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184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60"/>
          </w:cols>
          <w:pgMar w:left="320" w:top="1440" w:right="419" w:bottom="1440" w:gutter="0" w:footer="0" w:header="0"/>
        </w:sectPr>
      </w:pPr>
    </w:p>
    <w:bookmarkStart w:id="333" w:name="page334"/>
    <w:bookmarkEnd w:id="333"/>
    <w:p>
      <w:pPr>
        <w:jc w:val="right"/>
        <w:spacing w:after="0"/>
        <w:rPr>
          <w:sz w:val="20"/>
          <w:szCs w:val="20"/>
          <w:color w:val="auto"/>
        </w:rPr>
      </w:pPr>
      <w:r>
        <w:rPr>
          <w:rFonts w:ascii="Times New Roman" w:cs="Times New Roman" w:eastAsia="Times New Roman" w:hAnsi="Times New Roman"/>
          <w:sz w:val="20"/>
          <w:szCs w:val="20"/>
          <w:color w:val="auto"/>
        </w:rPr>
        <w:t xml:space="preserve">Lenders the fees set forth or referenced in </w:t>
      </w:r>
      <w:r>
        <w:rPr>
          <w:rFonts w:ascii="Times New Roman" w:cs="Times New Roman" w:eastAsia="Times New Roman" w:hAnsi="Times New Roman"/>
          <w:sz w:val="20"/>
          <w:szCs w:val="20"/>
          <w:u w:val="single" w:color="auto"/>
          <w:color w:val="auto"/>
        </w:rPr>
        <w:t>Section 5.3</w:t>
      </w:r>
      <w:r>
        <w:rPr>
          <w:rFonts w:ascii="Times New Roman" w:cs="Times New Roman" w:eastAsia="Times New Roman" w:hAnsi="Times New Roman"/>
          <w:sz w:val="20"/>
          <w:szCs w:val="20"/>
          <w:color w:val="auto"/>
        </w:rPr>
        <w:t xml:space="preserve"> and any other accrued and unpaid fees or commissions due hereunder,</w:t>
      </w:r>
    </w:p>
    <w:p>
      <w:pPr>
        <w:spacing w:after="0" w:line="25" w:lineRule="exact"/>
        <w:rPr>
          <w:sz w:val="20"/>
          <w:szCs w:val="20"/>
          <w:color w:val="auto"/>
        </w:rPr>
      </w:pPr>
    </w:p>
    <w:p>
      <w:pPr>
        <w:ind w:left="1640" w:hanging="314"/>
        <w:spacing w:after="0"/>
        <w:tabs>
          <w:tab w:leader="none" w:pos="1640"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fees, charges and disbursements of counsel to the</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92"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
          <w:szCs w:val="1"/>
          <w:color w:val="auto"/>
        </w:rPr>
        <w:drawing>
          <wp:inline distT="0" distB="0" distL="0" distR="0">
            <wp:extent cx="8255" cy="101600"/>
            <wp:effectExtent l="0" t="0" r="0" b="0"/>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500">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185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320" w:right="479" w:bottom="1440" w:gutter="0" w:footer="0" w:header="0"/>
        </w:sectPr>
      </w:pPr>
    </w:p>
    <w:bookmarkStart w:id="334" w:name="page335"/>
    <w:bookmarkEnd w:id="334"/>
    <w:p>
      <w:pPr>
        <w:spacing w:after="0" w:line="202" w:lineRule="exact"/>
        <w:rPr>
          <w:sz w:val="20"/>
          <w:szCs w:val="20"/>
          <w:color w:val="auto"/>
        </w:rPr>
      </w:pPr>
    </w:p>
    <w:p>
      <w:pPr>
        <w:jc w:val="both"/>
        <w:ind w:left="1320" w:right="20"/>
        <w:spacing w:after="0" w:line="248" w:lineRule="auto"/>
        <w:rPr>
          <w:sz w:val="20"/>
          <w:szCs w:val="20"/>
          <w:color w:val="auto"/>
        </w:rPr>
      </w:pPr>
      <w:r>
        <w:rPr>
          <w:rFonts w:ascii="Times New Roman" w:cs="Times New Roman" w:eastAsia="Times New Roman" w:hAnsi="Times New Roman"/>
          <w:sz w:val="20"/>
          <w:szCs w:val="20"/>
          <w:color w:val="auto"/>
        </w:rPr>
        <w:t>Administrative Agent (directly to such counsel if requested by the Administrative Agent) to the extent accrued and unpaid prior to or on the Closing Date, plus such additional amounts of such fees, charges and disbursements as shall constitute its reasonable estimate of such fees, charges and disbursements incurred or to be incurred by it through the closing proceedings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estimate shall not thereafter preclude a final settling of accounts between Centuri and the Administrative Agent) and (C) to any other Person such amount as may be due thereto in connection with the transactions contemplated hereby, including all taxes, fees and other charges in connection with the execution, delivery, recording, filing and registration of any of the Loan Documents.</w:t>
      </w:r>
    </w:p>
    <w:p>
      <w:pPr>
        <w:spacing w:after="0" w:line="182" w:lineRule="exact"/>
        <w:rPr>
          <w:sz w:val="20"/>
          <w:szCs w:val="20"/>
          <w:color w:val="auto"/>
        </w:rPr>
      </w:pPr>
    </w:p>
    <w:p>
      <w:pPr>
        <w:ind w:left="1960" w:hanging="633"/>
        <w:spacing w:after="0"/>
        <w:tabs>
          <w:tab w:leader="none" w:pos="1960"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Drum Acquisition</w:t>
      </w:r>
      <w:r>
        <w:rPr>
          <w:rFonts w:ascii="Times New Roman" w:cs="Times New Roman" w:eastAsia="Times New Roman" w:hAnsi="Times New Roman"/>
          <w:sz w:val="20"/>
          <w:szCs w:val="20"/>
          <w:color w:val="auto"/>
        </w:rPr>
        <w:t>.</w:t>
      </w:r>
    </w:p>
    <w:p>
      <w:pPr>
        <w:spacing w:after="0" w:line="224" w:lineRule="exact"/>
        <w:rPr>
          <w:rFonts w:ascii="Times New Roman" w:cs="Times New Roman" w:eastAsia="Times New Roman" w:hAnsi="Times New Roman"/>
          <w:sz w:val="20"/>
          <w:szCs w:val="20"/>
          <w:color w:val="auto"/>
        </w:rPr>
      </w:pPr>
    </w:p>
    <w:p>
      <w:pPr>
        <w:jc w:val="both"/>
        <w:ind w:left="1320" w:right="20" w:firstLine="648"/>
        <w:spacing w:after="0" w:line="250" w:lineRule="auto"/>
        <w:tabs>
          <w:tab w:leader="none" w:pos="2561" w:val="left"/>
        </w:tabs>
        <w:numPr>
          <w:ilvl w:val="1"/>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Consummation of the Drum Acquisition</w:t>
      </w:r>
      <w:r>
        <w:rPr>
          <w:rFonts w:ascii="Times New Roman" w:cs="Times New Roman" w:eastAsia="Times New Roman" w:hAnsi="Times New Roman"/>
          <w:sz w:val="20"/>
          <w:szCs w:val="20"/>
          <w:color w:val="auto"/>
        </w:rPr>
        <w:t>. The Drum Acquisition (including the payment of all amounts due and payable in connection with the consummation of the Drum Acquisition) shall be, or shall have been, consummated in accordance with the Drum Merger Agreement without giving effect to any waivers, modifications, or consents thereof that are materially adverse to the Lenders (as reasonably determined by the Agents) unless such waivers, modifications, or consents are approved in writing by the Agents.</w:t>
      </w:r>
    </w:p>
    <w:p>
      <w:pPr>
        <w:spacing w:after="0" w:line="179" w:lineRule="exact"/>
        <w:rPr>
          <w:rFonts w:ascii="Times New Roman" w:cs="Times New Roman" w:eastAsia="Times New Roman" w:hAnsi="Times New Roman"/>
          <w:sz w:val="20"/>
          <w:szCs w:val="20"/>
          <w:color w:val="auto"/>
        </w:rPr>
      </w:pPr>
    </w:p>
    <w:p>
      <w:pPr>
        <w:ind w:left="1320" w:right="40" w:firstLine="648"/>
        <w:spacing w:after="0" w:line="277" w:lineRule="auto"/>
        <w:tabs>
          <w:tab w:leader="none" w:pos="2562" w:val="left"/>
        </w:tabs>
        <w:numPr>
          <w:ilvl w:val="1"/>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Drum Merger Agreement</w:t>
      </w:r>
      <w:r>
        <w:rPr>
          <w:rFonts w:ascii="Times New Roman" w:cs="Times New Roman" w:eastAsia="Times New Roman" w:hAnsi="Times New Roman"/>
          <w:sz w:val="20"/>
          <w:szCs w:val="20"/>
          <w:color w:val="auto"/>
        </w:rPr>
        <w:t>. The Arrangers shall have received true, correct and fully executed copies of the Drum Merger Agreement.</w:t>
      </w:r>
    </w:p>
    <w:p>
      <w:pPr>
        <w:spacing w:after="0" w:line="151" w:lineRule="exact"/>
        <w:rPr>
          <w:rFonts w:ascii="Times New Roman" w:cs="Times New Roman" w:eastAsia="Times New Roman" w:hAnsi="Times New Roman"/>
          <w:sz w:val="20"/>
          <w:szCs w:val="20"/>
          <w:color w:val="auto"/>
        </w:rPr>
      </w:pPr>
    </w:p>
    <w:p>
      <w:pPr>
        <w:jc w:val="both"/>
        <w:ind w:left="1320" w:firstLine="648"/>
        <w:spacing w:after="0" w:line="250" w:lineRule="auto"/>
        <w:tabs>
          <w:tab w:leader="none" w:pos="2563" w:val="left"/>
        </w:tabs>
        <w:numPr>
          <w:ilvl w:val="1"/>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Drum Acquisition Representations and Warranties</w:t>
      </w:r>
      <w:r>
        <w:rPr>
          <w:rFonts w:ascii="Times New Roman" w:cs="Times New Roman" w:eastAsia="Times New Roman" w:hAnsi="Times New Roman"/>
          <w:sz w:val="20"/>
          <w:szCs w:val="20"/>
          <w:color w:val="auto"/>
        </w:rPr>
        <w:t>. Each of the representations made by Drum or any of its Subsidiaries or Affiliates or with respect to Drum or its Subsidiaries or its business in the Drum Merger Agreement that are material to the interests of the Lenders are accurate in all material respects (or if qualified by materiality or reference to material adverse effect, in all respects), but only to the extent that in the event of an inaccuracy with respect to, or a breach of, such representations Centuri or its Affiliates have the right to terminate their respective obligations under the Drum Merger Agreement or otherwise decline to close the Drum Acquisition.</w:t>
      </w:r>
    </w:p>
    <w:p>
      <w:pPr>
        <w:spacing w:after="0" w:line="180" w:lineRule="exact"/>
        <w:rPr>
          <w:rFonts w:ascii="Times New Roman" w:cs="Times New Roman" w:eastAsia="Times New Roman" w:hAnsi="Times New Roman"/>
          <w:sz w:val="20"/>
          <w:szCs w:val="20"/>
          <w:color w:val="auto"/>
        </w:rPr>
      </w:pPr>
    </w:p>
    <w:p>
      <w:pPr>
        <w:jc w:val="both"/>
        <w:ind w:left="1320" w:right="40" w:firstLine="648"/>
        <w:spacing w:after="0" w:line="264" w:lineRule="auto"/>
        <w:tabs>
          <w:tab w:leader="none" w:pos="2566" w:val="left"/>
        </w:tabs>
        <w:numPr>
          <w:ilvl w:val="1"/>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Drum Material Adverse Effect</w:t>
      </w:r>
      <w:r>
        <w:rPr>
          <w:rFonts w:ascii="Times New Roman" w:cs="Times New Roman" w:eastAsia="Times New Roman" w:hAnsi="Times New Roman"/>
          <w:sz w:val="20"/>
          <w:szCs w:val="20"/>
          <w:color w:val="auto"/>
        </w:rPr>
        <w:t>. Since the date of the Drum Merger Agreement, there shall not have occurred a Drum Material Adverse Effect or any event or condition that could reasonably be expected to have a Drum Material Adverse Effect.</w:t>
      </w:r>
    </w:p>
    <w:p>
      <w:pPr>
        <w:spacing w:after="0" w:line="163" w:lineRule="exact"/>
        <w:rPr>
          <w:rFonts w:ascii="Times New Roman" w:cs="Times New Roman" w:eastAsia="Times New Roman" w:hAnsi="Times New Roman"/>
          <w:sz w:val="20"/>
          <w:szCs w:val="20"/>
          <w:color w:val="auto"/>
        </w:rPr>
      </w:pPr>
    </w:p>
    <w:p>
      <w:pPr>
        <w:ind w:left="1960" w:hanging="633"/>
        <w:spacing w:after="0"/>
        <w:tabs>
          <w:tab w:leader="none" w:pos="1960"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211" w:lineRule="exact"/>
        <w:rPr>
          <w:rFonts w:ascii="Times New Roman" w:cs="Times New Roman" w:eastAsia="Times New Roman" w:hAnsi="Times New Roman"/>
          <w:sz w:val="20"/>
          <w:szCs w:val="20"/>
          <w:color w:val="auto"/>
        </w:rPr>
      </w:pPr>
    </w:p>
    <w:p>
      <w:pPr>
        <w:jc w:val="both"/>
        <w:ind w:left="1320" w:right="40" w:firstLine="648"/>
        <w:spacing w:after="0" w:line="264" w:lineRule="auto"/>
        <w:tabs>
          <w:tab w:leader="none" w:pos="2561" w:val="left"/>
        </w:tabs>
        <w:numPr>
          <w:ilvl w:val="1"/>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Account Designation</w:t>
      </w:r>
      <w:r>
        <w:rPr>
          <w:rFonts w:ascii="Times New Roman" w:cs="Times New Roman" w:eastAsia="Times New Roman" w:hAnsi="Times New Roman"/>
          <w:sz w:val="20"/>
          <w:szCs w:val="20"/>
          <w:color w:val="auto"/>
        </w:rPr>
        <w:t>. The Administrative Agent shall have received a Notice of Account Designation specifying the account or accounts to which the proceeds of any Loans made on or after the Closing Date are to be disbursed.</w:t>
      </w:r>
    </w:p>
    <w:p>
      <w:pPr>
        <w:spacing w:after="0" w:line="163" w:lineRule="exact"/>
        <w:rPr>
          <w:rFonts w:ascii="Times New Roman" w:cs="Times New Roman" w:eastAsia="Times New Roman" w:hAnsi="Times New Roman"/>
          <w:sz w:val="20"/>
          <w:szCs w:val="20"/>
          <w:color w:val="auto"/>
        </w:rPr>
      </w:pPr>
    </w:p>
    <w:p>
      <w:pPr>
        <w:jc w:val="both"/>
        <w:ind w:left="1320" w:firstLine="648"/>
        <w:spacing w:after="0" w:line="250" w:lineRule="auto"/>
        <w:tabs>
          <w:tab w:leader="none" w:pos="2562" w:val="left"/>
        </w:tabs>
        <w:numPr>
          <w:ilvl w:val="1"/>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Existing Indebtedness</w:t>
      </w:r>
      <w:r>
        <w:rPr>
          <w:rFonts w:ascii="Times New Roman" w:cs="Times New Roman" w:eastAsia="Times New Roman" w:hAnsi="Times New Roman"/>
          <w:sz w:val="20"/>
          <w:szCs w:val="20"/>
          <w:color w:val="auto"/>
        </w:rPr>
        <w:t xml:space="preserve">. (A) All amounts due or outstanding in respect of the Existing Credit Agreement shall have been (or substantially simultaneously with the Closing Date shall be) refinanced in full and (B) all existing Indebtedness of Drum and its Subsidiaries (other than such Indebtedness that is expressly permitted to remain outstanding pursuant to the Drum Merger Agreement and permitted by </w:t>
      </w:r>
      <w:r>
        <w:rPr>
          <w:rFonts w:ascii="Times New Roman" w:cs="Times New Roman" w:eastAsia="Times New Roman" w:hAnsi="Times New Roman"/>
          <w:sz w:val="20"/>
          <w:szCs w:val="20"/>
          <w:u w:val="single" w:color="auto"/>
          <w:color w:val="auto"/>
        </w:rPr>
        <w:t>Section 9.1(c)</w:t>
      </w:r>
      <w:r>
        <w:rPr>
          <w:rFonts w:ascii="Times New Roman" w:cs="Times New Roman" w:eastAsia="Times New Roman" w:hAnsi="Times New Roman"/>
          <w:sz w:val="20"/>
          <w:szCs w:val="20"/>
          <w:color w:val="auto"/>
        </w:rPr>
        <w:t>) shall be repaid in full, all commitments (if any) in respect thereof shall have been terminated and all guarantees therefor and security therefor shall be released, in each case prior to or substantially concurrently with the initial Extensions of Credit hereunder and the Administrative Agent shall have received pay-off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501">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186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335" w:name="page336"/>
    <w:bookmarkEnd w:id="335"/>
    <w:p>
      <w:pPr>
        <w:spacing w:after="0" w:line="20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letters in form and substance satisfactory to it evidencing such repayment, termination and release.</w:t>
      </w:r>
    </w:p>
    <w:p>
      <w:pPr>
        <w:spacing w:after="0" w:line="211" w:lineRule="exact"/>
        <w:rPr>
          <w:sz w:val="20"/>
          <w:szCs w:val="20"/>
          <w:color w:val="auto"/>
        </w:rPr>
      </w:pPr>
    </w:p>
    <w:p>
      <w:pPr>
        <w:jc w:val="both"/>
        <w:ind w:left="1320" w:firstLine="648"/>
        <w:spacing w:after="0" w:line="249" w:lineRule="auto"/>
        <w:tabs>
          <w:tab w:leader="none" w:pos="2563"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PATRIOT Act, etc</w:t>
      </w:r>
      <w:r>
        <w:rPr>
          <w:rFonts w:ascii="Times New Roman" w:cs="Times New Roman" w:eastAsia="Times New Roman" w:hAnsi="Times New Roman"/>
          <w:sz w:val="20"/>
          <w:szCs w:val="20"/>
          <w:color w:val="auto"/>
        </w:rPr>
        <w:t>. To the extent requested by the Agents or any Lender at least ten (10) Business Days prior to the Closing Date, (A) the Agents and the Lenders shall have received, at least five Business Days prior to the Closing Date (or such shorter period as the Administrative Agent may agree), all documentation and other information requested by the Agents or any Lender in order to comply with requirements of any Anti-Money Laundering Laws including, without limitation, the PATRIOT Act and any applicable “know your customer” rules and regulations and (B) the Borrowers shall have delivered to the Agents, and directly to any Lender requesting the same, a Beneficial Ownership Certification in relation to it (or a certification that such Borrower qualifies for an express exclusion from the “legal entity customer” definition under the Beneficial Ownership Regulations), in each case at least five (5) Business Days prior to the Closing Date.</w:t>
      </w:r>
    </w:p>
    <w:p>
      <w:pPr>
        <w:spacing w:after="0" w:line="179" w:lineRule="exact"/>
        <w:rPr>
          <w:rFonts w:ascii="Times New Roman" w:cs="Times New Roman" w:eastAsia="Times New Roman" w:hAnsi="Times New Roman"/>
          <w:sz w:val="20"/>
          <w:szCs w:val="20"/>
          <w:color w:val="auto"/>
        </w:rPr>
      </w:pPr>
    </w:p>
    <w:p>
      <w:pPr>
        <w:jc w:val="both"/>
        <w:ind w:left="1320" w:right="40" w:firstLine="648"/>
        <w:spacing w:after="0" w:line="250" w:lineRule="auto"/>
        <w:tabs>
          <w:tab w:leader="none" w:pos="2566"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Documents</w:t>
      </w:r>
      <w:r>
        <w:rPr>
          <w:rFonts w:ascii="Times New Roman" w:cs="Times New Roman" w:eastAsia="Times New Roman" w:hAnsi="Times New Roman"/>
          <w:sz w:val="20"/>
          <w:szCs w:val="20"/>
          <w:color w:val="auto"/>
        </w:rPr>
        <w:t>. All opinions, certificates and other instruments and all proceedings in connection with the transactions contemplated by this Agreement shall be satisfactory in form and substance to the Administrative Agent. The Administrative Agent shall have received copies of all other documents, certificates and instruments reasonably requested thereby, with respect to the transactions contemplated by this Agreement.</w:t>
      </w:r>
    </w:p>
    <w:p>
      <w:pPr>
        <w:spacing w:after="0" w:line="192" w:lineRule="exact"/>
        <w:rPr>
          <w:sz w:val="20"/>
          <w:szCs w:val="20"/>
          <w:color w:val="auto"/>
        </w:rPr>
      </w:pPr>
    </w:p>
    <w:p>
      <w:pPr>
        <w:jc w:val="both"/>
        <w:ind w:left="680" w:right="20"/>
        <w:spacing w:after="0" w:line="250" w:lineRule="auto"/>
        <w:rPr>
          <w:sz w:val="20"/>
          <w:szCs w:val="20"/>
          <w:color w:val="auto"/>
        </w:rPr>
      </w:pPr>
      <w:r>
        <w:rPr>
          <w:rFonts w:ascii="Times New Roman" w:cs="Times New Roman" w:eastAsia="Times New Roman" w:hAnsi="Times New Roman"/>
          <w:sz w:val="20"/>
          <w:szCs w:val="20"/>
          <w:color w:val="auto"/>
        </w:rPr>
        <w:t xml:space="preserve">Without limiting the generality of the provisions of </w:t>
      </w:r>
      <w:r>
        <w:rPr>
          <w:rFonts w:ascii="Times New Roman" w:cs="Times New Roman" w:eastAsia="Times New Roman" w:hAnsi="Times New Roman"/>
          <w:sz w:val="20"/>
          <w:szCs w:val="20"/>
          <w:u w:val="single" w:color="auto"/>
          <w:color w:val="auto"/>
        </w:rPr>
        <w:t>Section 11.3(c)</w:t>
      </w:r>
      <w:r>
        <w:rPr>
          <w:rFonts w:ascii="Times New Roman" w:cs="Times New Roman" w:eastAsia="Times New Roman" w:hAnsi="Times New Roman"/>
          <w:sz w:val="20"/>
          <w:szCs w:val="20"/>
          <w:color w:val="auto"/>
        </w:rPr>
        <w:t xml:space="preserve">, for purposes of determining compliance with the conditions specified in this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the Administrative Agent and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8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 xml:space="preserve">SECTION 6.2 </w:t>
      </w:r>
      <w:r>
        <w:rPr>
          <w:rFonts w:ascii="Times New Roman" w:cs="Times New Roman" w:eastAsia="Times New Roman" w:hAnsi="Times New Roman"/>
          <w:sz w:val="20"/>
          <w:szCs w:val="20"/>
          <w:u w:val="single" w:color="auto"/>
          <w:color w:val="auto"/>
        </w:rPr>
        <w:t>Conditions to All Extensions of Credit</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5.13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w:t>
      </w:r>
    </w:p>
    <w:p>
      <w:pPr>
        <w:spacing w:after="0" w:line="19" w:lineRule="exact"/>
        <w:rPr>
          <w:sz w:val="20"/>
          <w:szCs w:val="20"/>
          <w:color w:val="auto"/>
        </w:rPr>
      </w:pPr>
    </w:p>
    <w:p>
      <w:pPr>
        <w:jc w:val="both"/>
        <w:ind w:left="680"/>
        <w:spacing w:after="0" w:line="247" w:lineRule="auto"/>
        <w:rPr>
          <w:sz w:val="20"/>
          <w:szCs w:val="20"/>
          <w:color w:val="auto"/>
        </w:rPr>
      </w:pPr>
      <w:r>
        <w:rPr>
          <w:rFonts w:ascii="Times New Roman" w:cs="Times New Roman" w:eastAsia="Times New Roman" w:hAnsi="Times New Roman"/>
          <w:sz w:val="20"/>
          <w:szCs w:val="20"/>
          <w:u w:val="single" w:color="auto"/>
          <w:color w:val="auto"/>
        </w:rPr>
        <w:t>1.12</w:t>
      </w:r>
      <w:r>
        <w:rPr>
          <w:rFonts w:ascii="Times New Roman" w:cs="Times New Roman" w:eastAsia="Times New Roman" w:hAnsi="Times New Roman"/>
          <w:sz w:val="20"/>
          <w:szCs w:val="20"/>
          <w:color w:val="auto"/>
        </w:rPr>
        <w:t xml:space="preserve"> solely with respect to any Incremental Term Loan incurred to finance a substantially concurrent Limited Condition Acquisition, the obligations of the Lenders to make or participate in any Extensions of Credit (including the initial Extension of Credit), convert or continue any Loan and/or any Issuing Lender to issue or extend any Letter of Credit are subject to the satisfaction of the following conditions precedent on the relevant borrowing, continuation, conversion, issuance or extension date:</w:t>
      </w:r>
    </w:p>
    <w:p>
      <w:pPr>
        <w:spacing w:after="0" w:line="181" w:lineRule="exact"/>
        <w:rPr>
          <w:sz w:val="20"/>
          <w:szCs w:val="20"/>
          <w:color w:val="auto"/>
        </w:rPr>
      </w:pPr>
    </w:p>
    <w:p>
      <w:pPr>
        <w:jc w:val="both"/>
        <w:ind w:left="680" w:firstLine="646"/>
        <w:spacing w:after="0" w:line="247" w:lineRule="auto"/>
        <w:tabs>
          <w:tab w:leader="none" w:pos="1927"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Continuation of Representations and Warranties</w:t>
      </w:r>
      <w:r>
        <w:rPr>
          <w:rFonts w:ascii="Times New Roman" w:cs="Times New Roman" w:eastAsia="Times New Roman" w:hAnsi="Times New Roman"/>
          <w:sz w:val="20"/>
          <w:szCs w:val="20"/>
          <w:color w:val="auto"/>
        </w:rPr>
        <w:t xml:space="preserve">. The representations and warranties contained in this Agreement and the other Loan Documents shall be true and correct in all material respects, except for any representation and warranty that is qualified by materiality or reference to Material Adverse Effect, which such representation and warranty shall be true and correct in all respects, on and as of such borrowing, continuation, conversion, issuance or extension date with the same effect as if made on and as of such date (except for any such representation and warranty that by its terms is made only as of an earlier date, which representation and warranty shall remain true and correct in all material respects as of such earlier date, except for any representation and warranty that is qualified by materiality or reference to Material Adverse Effect, which such representation and warranty shall be true and correct in all respects as of such earlier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that the only representations and warranties the accuracy of which shall be a condition to the availability of the initial Extensions of Credit on the Closing Date shall be the Specified Representations.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502">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187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336" w:name="page337"/>
    <w:bookmarkEnd w:id="336"/>
    <w:p>
      <w:pPr>
        <w:spacing w:after="0" w:line="81" w:lineRule="exact"/>
        <w:rPr>
          <w:sz w:val="20"/>
          <w:szCs w:val="20"/>
          <w:color w:val="auto"/>
        </w:rPr>
      </w:pPr>
    </w:p>
    <w:p>
      <w:pPr>
        <w:jc w:val="both"/>
        <w:ind w:left="680" w:firstLine="646"/>
        <w:spacing w:after="0" w:line="264" w:lineRule="auto"/>
        <w:tabs>
          <w:tab w:leader="none" w:pos="1925"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Existing Default</w:t>
      </w:r>
      <w:r>
        <w:rPr>
          <w:rFonts w:ascii="Times New Roman" w:cs="Times New Roman" w:eastAsia="Times New Roman" w:hAnsi="Times New Roman"/>
          <w:sz w:val="20"/>
          <w:szCs w:val="20"/>
          <w:color w:val="auto"/>
        </w:rPr>
        <w:t>. Except with respect to the initial Extensions of Credit on the Closing Date, no Default or Event of Default shall have occurred and be continuing (i) on the borrowing, continuation or conversion date with respect to such Loan or after giving effect to the Loans to be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503">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188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080"/>
          </w:cols>
          <w:pgMar w:left="320" w:top="1440" w:right="499" w:bottom="1440" w:gutter="0" w:footer="0" w:header="0"/>
        </w:sectPr>
      </w:pPr>
    </w:p>
    <w:bookmarkStart w:id="337" w:name="page338"/>
    <w:bookmarkEnd w:id="337"/>
    <w:p>
      <w:pPr>
        <w:spacing w:after="0" w:line="201" w:lineRule="exact"/>
        <w:rPr>
          <w:sz w:val="20"/>
          <w:szCs w:val="20"/>
          <w:color w:val="auto"/>
        </w:rPr>
      </w:pPr>
    </w:p>
    <w:p>
      <w:pPr>
        <w:ind w:left="680" w:right="60"/>
        <w:spacing w:after="0" w:line="263" w:lineRule="auto"/>
        <w:rPr>
          <w:sz w:val="20"/>
          <w:szCs w:val="20"/>
          <w:color w:val="auto"/>
        </w:rPr>
      </w:pPr>
      <w:r>
        <w:rPr>
          <w:rFonts w:ascii="Times New Roman" w:cs="Times New Roman" w:eastAsia="Times New Roman" w:hAnsi="Times New Roman"/>
          <w:sz w:val="20"/>
          <w:szCs w:val="20"/>
          <w:color w:val="auto"/>
        </w:rPr>
        <w:t>continued or converted on such date or (ii) on the issuance or extension date with respect to such Letter of Credit or after giving effect to the issuance or extension of such Letter of Credit on such date.</w:t>
      </w:r>
    </w:p>
    <w:p>
      <w:pPr>
        <w:spacing w:after="0" w:line="178" w:lineRule="exact"/>
        <w:rPr>
          <w:sz w:val="20"/>
          <w:szCs w:val="20"/>
          <w:color w:val="auto"/>
        </w:rPr>
      </w:pPr>
    </w:p>
    <w:p>
      <w:pPr>
        <w:jc w:val="both"/>
        <w:ind w:left="680" w:right="20" w:firstLine="646"/>
        <w:spacing w:after="0" w:line="257" w:lineRule="auto"/>
        <w:tabs>
          <w:tab w:leader="none" w:pos="1927" w:val="left"/>
        </w:tabs>
        <w:numPr>
          <w:ilvl w:val="1"/>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xml:space="preserve">. The Administrative Agent shall have received a Notice of Borrowing, Letter of Credit Application, or Notice of Conversion/Continuation, as applicable, from the applicable Borrower in accordance with </w:t>
      </w:r>
      <w:r>
        <w:rPr>
          <w:rFonts w:ascii="Times New Roman" w:cs="Times New Roman" w:eastAsia="Times New Roman" w:hAnsi="Times New Roman"/>
          <w:sz w:val="20"/>
          <w:szCs w:val="20"/>
          <w:u w:val="single" w:color="auto"/>
          <w:color w:val="auto"/>
        </w:rPr>
        <w:t>Section 2.3(a)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as applicable.</w:t>
      </w:r>
    </w:p>
    <w:p>
      <w:pPr>
        <w:spacing w:after="0" w:line="170" w:lineRule="exact"/>
        <w:rPr>
          <w:rFonts w:ascii="Times New Roman" w:cs="Times New Roman" w:eastAsia="Times New Roman" w:hAnsi="Times New Roman"/>
          <w:sz w:val="20"/>
          <w:szCs w:val="20"/>
          <w:color w:val="auto"/>
        </w:rPr>
      </w:pPr>
    </w:p>
    <w:p>
      <w:pPr>
        <w:ind w:left="1960" w:hanging="633"/>
        <w:spacing w:after="0"/>
        <w:tabs>
          <w:tab w:leader="none" w:pos="1960" w:val="left"/>
        </w:tabs>
        <w:numPr>
          <w:ilvl w:val="1"/>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New Swingline Loans/Letters of Credit</w:t>
      </w:r>
      <w:r>
        <w:rPr>
          <w:rFonts w:ascii="Times New Roman" w:cs="Times New Roman" w:eastAsia="Times New Roman" w:hAnsi="Times New Roman"/>
          <w:sz w:val="20"/>
          <w:szCs w:val="20"/>
          <w:color w:val="auto"/>
        </w:rPr>
        <w:t>. So long as any Lender is a Defaulting Lender,</w:t>
      </w:r>
    </w:p>
    <w:p>
      <w:pPr>
        <w:spacing w:after="0" w:line="19" w:lineRule="exact"/>
        <w:rPr>
          <w:rFonts w:ascii="Times New Roman" w:cs="Times New Roman" w:eastAsia="Times New Roman" w:hAnsi="Times New Roman"/>
          <w:sz w:val="20"/>
          <w:szCs w:val="20"/>
          <w:color w:val="auto"/>
        </w:rPr>
      </w:pPr>
    </w:p>
    <w:p>
      <w:pPr>
        <w:ind w:left="920" w:hanging="236"/>
        <w:spacing w:after="0"/>
        <w:tabs>
          <w:tab w:leader="none" w:pos="920"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Swingline Lender shall be required to fund any Swingline Loans unless it is satisfied that it will have no Fronting Exposure</w:t>
      </w:r>
    </w:p>
    <w:p>
      <w:pPr>
        <w:spacing w:after="0" w:line="3" w:lineRule="exact"/>
        <w:rPr>
          <w:sz w:val="20"/>
          <w:szCs w:val="20"/>
          <w:color w:val="auto"/>
        </w:rPr>
      </w:pPr>
    </w:p>
    <w:p>
      <w:pPr>
        <w:jc w:val="both"/>
        <w:ind w:left="680" w:right="60"/>
        <w:spacing w:after="0" w:line="248" w:lineRule="auto"/>
        <w:rPr>
          <w:sz w:val="20"/>
          <w:szCs w:val="20"/>
          <w:color w:val="auto"/>
        </w:rPr>
      </w:pPr>
      <w:r>
        <w:rPr>
          <w:rFonts w:ascii="Times New Roman" w:cs="Times New Roman" w:eastAsia="Times New Roman" w:hAnsi="Times New Roman"/>
          <w:sz w:val="20"/>
          <w:szCs w:val="20"/>
          <w:color w:val="auto"/>
        </w:rPr>
        <w:t>after giving effect to such Swingline Loan and (ii) no Issuing Lender shall be required to issue, extend, renew or increase any Letter of Credit unless it is satisfied that it will have no Fronting Exposure after giving effect thereto.</w:t>
      </w:r>
    </w:p>
    <w:p>
      <w:pPr>
        <w:spacing w:after="0" w:line="179" w:lineRule="exact"/>
        <w:rPr>
          <w:sz w:val="20"/>
          <w:szCs w:val="20"/>
          <w:color w:val="auto"/>
        </w:rPr>
      </w:pPr>
    </w:p>
    <w:p>
      <w:pPr>
        <w:jc w:val="both"/>
        <w:ind w:left="680" w:right="60"/>
        <w:spacing w:after="0" w:line="264" w:lineRule="auto"/>
        <w:rPr>
          <w:sz w:val="20"/>
          <w:szCs w:val="20"/>
          <w:color w:val="auto"/>
        </w:rPr>
      </w:pPr>
      <w:r>
        <w:rPr>
          <w:rFonts w:ascii="Times New Roman" w:cs="Times New Roman" w:eastAsia="Times New Roman" w:hAnsi="Times New Roman"/>
          <w:sz w:val="20"/>
          <w:szCs w:val="20"/>
          <w:color w:val="auto"/>
        </w:rPr>
        <w:t xml:space="preserve">Each Notice of Borrowing, Letter of Credit Application, as applicable, submitted by the Borrowers shall be deemed to be a representation and warranty that the conditions specified in </w:t>
      </w:r>
      <w:r>
        <w:rPr>
          <w:rFonts w:ascii="Times New Roman" w:cs="Times New Roman" w:eastAsia="Times New Roman" w:hAnsi="Times New Roman"/>
          <w:sz w:val="20"/>
          <w:szCs w:val="20"/>
          <w:u w:val="single" w:color="auto"/>
          <w:color w:val="auto"/>
        </w:rPr>
        <w:t>Sections 6.2(a)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have been satisfied on and as of the date of the applicable Extension of Credit.</w:t>
      </w:r>
    </w:p>
    <w:p>
      <w:pPr>
        <w:spacing w:after="0" w:line="17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ARTICLE VII</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REPRESENTATIONS AND WARRANTIES OF THE CREDIT PARTIES</w:t>
      </w:r>
    </w:p>
    <w:p>
      <w:pPr>
        <w:spacing w:after="0" w:line="225" w:lineRule="exact"/>
        <w:rPr>
          <w:sz w:val="20"/>
          <w:szCs w:val="20"/>
          <w:color w:val="auto"/>
        </w:rPr>
      </w:pPr>
    </w:p>
    <w:p>
      <w:pPr>
        <w:jc w:val="both"/>
        <w:ind w:left="680" w:firstLine="642"/>
        <w:spacing w:after="0" w:line="255" w:lineRule="auto"/>
        <w:rPr>
          <w:sz w:val="20"/>
          <w:szCs w:val="20"/>
          <w:color w:val="auto"/>
        </w:rPr>
      </w:pPr>
      <w:r>
        <w:rPr>
          <w:rFonts w:ascii="Times New Roman" w:cs="Times New Roman" w:eastAsia="Times New Roman" w:hAnsi="Times New Roman"/>
          <w:sz w:val="20"/>
          <w:szCs w:val="20"/>
          <w:color w:val="auto"/>
        </w:rPr>
        <w:t xml:space="preserve">To induce the Administrative Agent and Lenders to enter into this Agreement and to induce the Lenders to make Extensions of Credit, the Credit Parties hereby represent and warrant to the Administrative Agent and the Lenders both immediately before and after giving effect to the transactions contemplated hereunder, which representations and warranties shall be deemed made on the Closing Date and as otherwise set forth in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that:</w:t>
      </w:r>
    </w:p>
    <w:p>
      <w:pPr>
        <w:spacing w:after="0" w:line="173" w:lineRule="exact"/>
        <w:rPr>
          <w:sz w:val="20"/>
          <w:szCs w:val="20"/>
          <w:color w:val="auto"/>
        </w:rPr>
      </w:pPr>
    </w:p>
    <w:p>
      <w:pPr>
        <w:jc w:val="both"/>
        <w:ind w:left="680" w:right="40" w:firstLine="642"/>
        <w:spacing w:after="0" w:line="248" w:lineRule="auto"/>
        <w:rPr>
          <w:sz w:val="20"/>
          <w:szCs w:val="20"/>
          <w:color w:val="auto"/>
        </w:rPr>
      </w:pPr>
      <w:r>
        <w:rPr>
          <w:rFonts w:ascii="Times New Roman" w:cs="Times New Roman" w:eastAsia="Times New Roman" w:hAnsi="Times New Roman"/>
          <w:sz w:val="20"/>
          <w:szCs w:val="20"/>
          <w:color w:val="auto"/>
        </w:rPr>
        <w:t xml:space="preserve">SECTION 7.1 </w:t>
      </w:r>
      <w:r>
        <w:rPr>
          <w:rFonts w:ascii="Times New Roman" w:cs="Times New Roman" w:eastAsia="Times New Roman" w:hAnsi="Times New Roman"/>
          <w:sz w:val="20"/>
          <w:szCs w:val="20"/>
          <w:u w:val="single" w:color="auto"/>
          <w:color w:val="auto"/>
        </w:rPr>
        <w:t>Organization; Power; Qualification</w:t>
      </w:r>
      <w:r>
        <w:rPr>
          <w:rFonts w:ascii="Times New Roman" w:cs="Times New Roman" w:eastAsia="Times New Roman" w:hAnsi="Times New Roman"/>
          <w:sz w:val="20"/>
          <w:szCs w:val="20"/>
          <w:color w:val="auto"/>
        </w:rPr>
        <w:t xml:space="preserve">. Each Credit Party and each Subsidiary thereof (a) is duly organized, validly existing and in good standing under the laws of the jurisdiction of its incorporation or formation, (b) has the power and authority to own its Properties and to carry on its business as now being conducted and (c) is duly qualified and authorized to do business in each jurisdiction in which the character of its Properties or the nature of its business requires such qualification and authorization, in the case of this clause (c), except to the extent failure to do so would not reasonably be expected to have a Material Adverse Effect. The jurisdictions in which each Credit Party and each Subsidiary thereof are organized and qualified to do business as of the Closing Date are described on </w:t>
      </w:r>
      <w:r>
        <w:rPr>
          <w:rFonts w:ascii="Times New Roman" w:cs="Times New Roman" w:eastAsia="Times New Roman" w:hAnsi="Times New Roman"/>
          <w:sz w:val="20"/>
          <w:szCs w:val="20"/>
          <w:u w:val="single" w:color="auto"/>
          <w:color w:val="auto"/>
        </w:rPr>
        <w:t>Schedule 7.1</w:t>
      </w:r>
      <w:r>
        <w:rPr>
          <w:rFonts w:ascii="Times New Roman" w:cs="Times New Roman" w:eastAsia="Times New Roman" w:hAnsi="Times New Roman"/>
          <w:sz w:val="20"/>
          <w:szCs w:val="20"/>
          <w:color w:val="auto"/>
        </w:rPr>
        <w:t>. No Credit Party nor any Subsidiary thereof is an Affected Financial Institution.</w:t>
      </w:r>
    </w:p>
    <w:p>
      <w:pPr>
        <w:spacing w:after="0" w:line="185" w:lineRule="exact"/>
        <w:rPr>
          <w:sz w:val="20"/>
          <w:szCs w:val="20"/>
          <w:color w:val="auto"/>
        </w:rPr>
      </w:pPr>
    </w:p>
    <w:p>
      <w:pPr>
        <w:jc w:val="both"/>
        <w:ind w:left="680" w:right="40" w:firstLine="642"/>
        <w:spacing w:after="0" w:line="248" w:lineRule="auto"/>
        <w:rPr>
          <w:sz w:val="20"/>
          <w:szCs w:val="20"/>
          <w:color w:val="auto"/>
        </w:rPr>
      </w:pPr>
      <w:r>
        <w:rPr>
          <w:rFonts w:ascii="Times New Roman" w:cs="Times New Roman" w:eastAsia="Times New Roman" w:hAnsi="Times New Roman"/>
          <w:sz w:val="20"/>
          <w:szCs w:val="20"/>
          <w:color w:val="auto"/>
        </w:rPr>
        <w:t xml:space="preserve">SECTION 7.2 </w:t>
      </w:r>
      <w:r>
        <w:rPr>
          <w:rFonts w:ascii="Times New Roman" w:cs="Times New Roman" w:eastAsia="Times New Roman" w:hAnsi="Times New Roman"/>
          <w:sz w:val="20"/>
          <w:szCs w:val="20"/>
          <w:u w:val="single" w:color="auto"/>
          <w:color w:val="auto"/>
        </w:rPr>
        <w:t>Ownership</w:t>
      </w:r>
      <w:r>
        <w:rPr>
          <w:rFonts w:ascii="Times New Roman" w:cs="Times New Roman" w:eastAsia="Times New Roman" w:hAnsi="Times New Roman"/>
          <w:sz w:val="20"/>
          <w:szCs w:val="20"/>
          <w:color w:val="auto"/>
        </w:rPr>
        <w:t xml:space="preserve">. Each Subsidiary of each Credit Party as of the Closing Date is listed on </w:t>
      </w:r>
      <w:r>
        <w:rPr>
          <w:rFonts w:ascii="Times New Roman" w:cs="Times New Roman" w:eastAsia="Times New Roman" w:hAnsi="Times New Roman"/>
          <w:sz w:val="20"/>
          <w:szCs w:val="20"/>
          <w:u w:val="single" w:color="auto"/>
          <w:color w:val="auto"/>
        </w:rPr>
        <w:t>Schedule 7.2</w:t>
      </w:r>
      <w:r>
        <w:rPr>
          <w:rFonts w:ascii="Times New Roman" w:cs="Times New Roman" w:eastAsia="Times New Roman" w:hAnsi="Times New Roman"/>
          <w:sz w:val="20"/>
          <w:szCs w:val="20"/>
          <w:color w:val="auto"/>
        </w:rPr>
        <w:t xml:space="preserve">. As of the Closing Date, the capitalization of each Credit Party and its Subsidiaries consists of the number of shares, authorized, issued and outstanding, of such classes and series, with or without par value, described on </w:t>
      </w:r>
      <w:r>
        <w:rPr>
          <w:rFonts w:ascii="Times New Roman" w:cs="Times New Roman" w:eastAsia="Times New Roman" w:hAnsi="Times New Roman"/>
          <w:sz w:val="20"/>
          <w:szCs w:val="20"/>
          <w:u w:val="single" w:color="auto"/>
          <w:color w:val="auto"/>
        </w:rPr>
        <w:t>Schedule 7.2</w:t>
      </w:r>
      <w:r>
        <w:rPr>
          <w:rFonts w:ascii="Times New Roman" w:cs="Times New Roman" w:eastAsia="Times New Roman" w:hAnsi="Times New Roman"/>
          <w:sz w:val="20"/>
          <w:szCs w:val="20"/>
          <w:color w:val="auto"/>
        </w:rPr>
        <w:t xml:space="preserve">. All outstanding shares have been duly authorized and validly issued and are fully paid and nonassessable and not subject to any preemptive or similar rights, except as described in </w:t>
      </w:r>
      <w:r>
        <w:rPr>
          <w:rFonts w:ascii="Times New Roman" w:cs="Times New Roman" w:eastAsia="Times New Roman" w:hAnsi="Times New Roman"/>
          <w:sz w:val="20"/>
          <w:szCs w:val="20"/>
          <w:u w:val="single" w:color="auto"/>
          <w:color w:val="auto"/>
        </w:rPr>
        <w:t>Schedule 7.2</w:t>
      </w:r>
      <w:r>
        <w:rPr>
          <w:rFonts w:ascii="Times New Roman" w:cs="Times New Roman" w:eastAsia="Times New Roman" w:hAnsi="Times New Roman"/>
          <w:sz w:val="20"/>
          <w:szCs w:val="20"/>
          <w:color w:val="auto"/>
        </w:rPr>
        <w:t xml:space="preserve">. As of the Closing Date, there are no outstanding stock purchase warrants, subscriptions, options, securities, instruments or other rights of any type or nature whatsoever, which are convertible into, exchangeable for or otherwise provide for or require the issuance of Equity Interests of any Credit Party or any Subsidiary thereof, except as described on </w:t>
      </w:r>
      <w:r>
        <w:rPr>
          <w:rFonts w:ascii="Times New Roman" w:cs="Times New Roman" w:eastAsia="Times New Roman" w:hAnsi="Times New Roman"/>
          <w:sz w:val="20"/>
          <w:szCs w:val="20"/>
          <w:u w:val="single" w:color="auto"/>
          <w:color w:val="auto"/>
        </w:rPr>
        <w:t>Schedule 7.2</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left="680" w:right="60" w:firstLine="642"/>
        <w:spacing w:after="0" w:line="277" w:lineRule="auto"/>
        <w:rPr>
          <w:sz w:val="20"/>
          <w:szCs w:val="20"/>
          <w:color w:val="auto"/>
        </w:rPr>
      </w:pPr>
      <w:r>
        <w:rPr>
          <w:rFonts w:ascii="Times New Roman" w:cs="Times New Roman" w:eastAsia="Times New Roman" w:hAnsi="Times New Roman"/>
          <w:sz w:val="20"/>
          <w:szCs w:val="20"/>
          <w:color w:val="auto"/>
        </w:rPr>
        <w:t xml:space="preserve">SECTION 7.3 </w:t>
      </w:r>
      <w:r>
        <w:rPr>
          <w:rFonts w:ascii="Times New Roman" w:cs="Times New Roman" w:eastAsia="Times New Roman" w:hAnsi="Times New Roman"/>
          <w:sz w:val="20"/>
          <w:szCs w:val="20"/>
          <w:u w:val="single" w:color="auto"/>
          <w:color w:val="auto"/>
        </w:rPr>
        <w:t>Authorization; Enforceability</w:t>
      </w:r>
      <w:r>
        <w:rPr>
          <w:rFonts w:ascii="Times New Roman" w:cs="Times New Roman" w:eastAsia="Times New Roman" w:hAnsi="Times New Roman"/>
          <w:sz w:val="20"/>
          <w:szCs w:val="20"/>
          <w:color w:val="auto"/>
        </w:rPr>
        <w:t>. Each Credit Party has the right, power and authority and has taken all necessary corporate and other action to authorize the execution, delivery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504">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189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20"/>
          </w:cols>
          <w:pgMar w:left="320" w:top="1440" w:right="459" w:bottom="1440" w:gutter="0" w:footer="0" w:header="0"/>
        </w:sectPr>
      </w:pPr>
    </w:p>
    <w:bookmarkStart w:id="338" w:name="page339"/>
    <w:bookmarkEnd w:id="338"/>
    <w:p>
      <w:pPr>
        <w:spacing w:after="0" w:line="201" w:lineRule="exact"/>
        <w:rPr>
          <w:sz w:val="20"/>
          <w:szCs w:val="20"/>
          <w:color w:val="auto"/>
        </w:rPr>
      </w:pPr>
    </w:p>
    <w:p>
      <w:pPr>
        <w:jc w:val="both"/>
        <w:ind w:left="680" w:right="60"/>
        <w:spacing w:after="0" w:line="250" w:lineRule="auto"/>
        <w:rPr>
          <w:sz w:val="20"/>
          <w:szCs w:val="20"/>
          <w:color w:val="auto"/>
        </w:rPr>
      </w:pPr>
      <w:r>
        <w:rPr>
          <w:rFonts w:ascii="Times New Roman" w:cs="Times New Roman" w:eastAsia="Times New Roman" w:hAnsi="Times New Roman"/>
          <w:sz w:val="20"/>
          <w:szCs w:val="20"/>
          <w:color w:val="auto"/>
        </w:rPr>
        <w:t>performance of this Agreement and each of the other Loan Documents to which it is a party in accordance with their respective terms. This Agreement and each of the other Loan Documents have been duly executed and delivered by the duly authorized officers of each Credit Party that is a party thereto, and each such document constitutes the legal, valid and binding obligation of each Credit Party that is a party thereto, enforceable in accordance with its terms, except as such enforceability may be limited by bankruptcy, insolvency, reorganization, moratorium or similar state, provincial, or federal Debtor Relief Laws from time to time in effect which affect the enforcement of creditors’ rights in general and the availability of equitable remedies.</w:t>
      </w:r>
    </w:p>
    <w:p>
      <w:pPr>
        <w:spacing w:after="0" w:line="181" w:lineRule="exact"/>
        <w:rPr>
          <w:sz w:val="20"/>
          <w:szCs w:val="20"/>
          <w:color w:val="auto"/>
        </w:rPr>
      </w:pPr>
    </w:p>
    <w:p>
      <w:pPr>
        <w:jc w:val="both"/>
        <w:ind w:left="680" w:firstLine="642"/>
        <w:spacing w:after="0" w:line="247" w:lineRule="auto"/>
        <w:rPr>
          <w:sz w:val="20"/>
          <w:szCs w:val="20"/>
          <w:color w:val="auto"/>
        </w:rPr>
      </w:pPr>
      <w:r>
        <w:rPr>
          <w:rFonts w:ascii="Times New Roman" w:cs="Times New Roman" w:eastAsia="Times New Roman" w:hAnsi="Times New Roman"/>
          <w:sz w:val="20"/>
          <w:szCs w:val="20"/>
          <w:color w:val="auto"/>
        </w:rPr>
        <w:t xml:space="preserve">SECTION 7.4 </w:t>
      </w:r>
      <w:r>
        <w:rPr>
          <w:rFonts w:ascii="Times New Roman" w:cs="Times New Roman" w:eastAsia="Times New Roman" w:hAnsi="Times New Roman"/>
          <w:sz w:val="20"/>
          <w:szCs w:val="20"/>
          <w:u w:val="single" w:color="auto"/>
          <w:color w:val="auto"/>
        </w:rPr>
        <w:t>Compliance of Agreement, Loan Documents and Borrowing with Laws, Etc.</w:t>
      </w:r>
      <w:r>
        <w:rPr>
          <w:rFonts w:ascii="Times New Roman" w:cs="Times New Roman" w:eastAsia="Times New Roman" w:hAnsi="Times New Roman"/>
          <w:sz w:val="20"/>
          <w:szCs w:val="20"/>
          <w:color w:val="auto"/>
        </w:rPr>
        <w:t xml:space="preserve"> The execution, delivery and performance by each Credit Party of the Loan Documents to which each such Credit Party is a party, in accordance with their respective terms, the Extensions of Credit hereunder and the transactions contemplated hereby or thereby do not and will not, by the passage of time, the giving of notice or otherwise, (a) require any Governmental Approval or violate any Applicable Law relating to any Credit Party or any Subsidiary thereof where the failure to obtain such Governmental Approval or such violation could reasonably be expected to have a Material Adverse Effect, (b) conflict with, result in a breach of or constitute a default under the articles of incorporation, bylaws or other organizational documents of any Credit Party or any Subsidiary thereof, (c) conflict with, result in a breach of or constitute a default under any indenture, agreement or other instrument to which such Person is a party or by which any of its properties may be bound or any Governmental Approval relating to such Person, which could, individually or in the aggregate, reasonably be expected to have a Material Adverse Effect, (d) result in or require the creation or imposition of any Lien upon or with respect to any property now owned or hereafter acquired by such Person other than Permitted Liens or (e) other than filings or consents which have been obtained and remain in effect, require any consent or authorization of, filing with, or other act in respect of, an arbitrator or Governmental Authority and no consent of any other Person is required in connection with the execution, delivery, performance, validity or enforceability of this Agreement other than consents, authorizations, filings or other acts or consents for which the failure to obtain or make could not, individually or in the aggregate, reasonably be expected to have a Material Adverse Effect.</w:t>
      </w:r>
    </w:p>
    <w:p>
      <w:pPr>
        <w:spacing w:after="0" w:line="172" w:lineRule="exact"/>
        <w:rPr>
          <w:sz w:val="20"/>
          <w:szCs w:val="20"/>
          <w:color w:val="auto"/>
        </w:rPr>
      </w:pPr>
    </w:p>
    <w:p>
      <w:pPr>
        <w:jc w:val="both"/>
        <w:ind w:left="680" w:right="40" w:firstLine="642"/>
        <w:spacing w:after="0" w:line="248" w:lineRule="auto"/>
        <w:rPr>
          <w:sz w:val="20"/>
          <w:szCs w:val="20"/>
          <w:color w:val="auto"/>
        </w:rPr>
      </w:pPr>
      <w:r>
        <w:rPr>
          <w:rFonts w:ascii="Times New Roman" w:cs="Times New Roman" w:eastAsia="Times New Roman" w:hAnsi="Times New Roman"/>
          <w:sz w:val="20"/>
          <w:szCs w:val="20"/>
          <w:color w:val="auto"/>
        </w:rPr>
        <w:t xml:space="preserve">SECTION 7.5 </w:t>
      </w:r>
      <w:r>
        <w:rPr>
          <w:rFonts w:ascii="Times New Roman" w:cs="Times New Roman" w:eastAsia="Times New Roman" w:hAnsi="Times New Roman"/>
          <w:sz w:val="20"/>
          <w:szCs w:val="20"/>
          <w:u w:val="single" w:color="auto"/>
          <w:color w:val="auto"/>
        </w:rPr>
        <w:t>Compliance with Law; Governmental Approvals</w:t>
      </w:r>
      <w:r>
        <w:rPr>
          <w:rFonts w:ascii="Times New Roman" w:cs="Times New Roman" w:eastAsia="Times New Roman" w:hAnsi="Times New Roman"/>
          <w:sz w:val="20"/>
          <w:szCs w:val="20"/>
          <w:color w:val="auto"/>
        </w:rPr>
        <w:t>. Each Credit Party and each Subsidiary thereof (a) has all Governmental Approvals required by any Applicable Law for it to conduct its business, each of which is in full force and effect, is final and not subject to review on appeal and is not the subject of any pending or, to its knowledge, threatened in writing attack by direct or collateral proceeding, (b) is in compliance with each Governmental Approval applicable to it and in compliance with all other Applicable Laws relating to it or any of its properties and (c) has timely filed all material reports, documents and other materials required to be filed by it under all Applicable Laws with any Governmental Authority and has retained all material records and documents required to be retained by it under Applicable Law except in each case (a), (b) or (c) where the failure to have, comply or file could not reasonably be expected to have a Material Adverse Effect.</w:t>
      </w:r>
    </w:p>
    <w:p>
      <w:pPr>
        <w:spacing w:after="0" w:line="185" w:lineRule="exact"/>
        <w:rPr>
          <w:sz w:val="20"/>
          <w:szCs w:val="20"/>
          <w:color w:val="auto"/>
        </w:rPr>
      </w:pPr>
    </w:p>
    <w:p>
      <w:pPr>
        <w:jc w:val="both"/>
        <w:ind w:left="680" w:right="40" w:firstLine="642"/>
        <w:spacing w:after="0" w:line="250" w:lineRule="auto"/>
        <w:rPr>
          <w:sz w:val="20"/>
          <w:szCs w:val="20"/>
          <w:color w:val="auto"/>
        </w:rPr>
      </w:pPr>
      <w:r>
        <w:rPr>
          <w:rFonts w:ascii="Times New Roman" w:cs="Times New Roman" w:eastAsia="Times New Roman" w:hAnsi="Times New Roman"/>
          <w:sz w:val="20"/>
          <w:szCs w:val="20"/>
          <w:color w:val="auto"/>
        </w:rPr>
        <w:t xml:space="preserve">SECTION 7.6 </w:t>
      </w:r>
      <w:r>
        <w:rPr>
          <w:rFonts w:ascii="Times New Roman" w:cs="Times New Roman" w:eastAsia="Times New Roman" w:hAnsi="Times New Roman"/>
          <w:sz w:val="20"/>
          <w:szCs w:val="20"/>
          <w:u w:val="single" w:color="auto"/>
          <w:color w:val="auto"/>
        </w:rPr>
        <w:t>Tax Returns and Payments</w:t>
      </w:r>
      <w:r>
        <w:rPr>
          <w:rFonts w:ascii="Times New Roman" w:cs="Times New Roman" w:eastAsia="Times New Roman" w:hAnsi="Times New Roman"/>
          <w:sz w:val="20"/>
          <w:szCs w:val="20"/>
          <w:color w:val="auto"/>
        </w:rPr>
        <w:t>. Each Credit Party and each Subsidiary thereof has duly filed or caused to be filed all federal, state, provincial, local and other tax returns required by Applicable Law to be filed, and has paid, or made adequate provision for the payment of, all federal, state, provincial, local and other taxes, assessments and governmental charges or levies upon it and its property, income, profits and assets which are due and payable (other than (a) where the failure to file, pay, or make provision could not, individually or in the aggregate, reasonably be expected to have a Material Adverse Effect, or (b) any amount the validity of which is currently being contested in good faith by appropriate proceedings and with respect to which reserves in conformity with GAAP have been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505">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190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20"/>
          </w:cols>
          <w:pgMar w:left="320" w:top="1440" w:right="459" w:bottom="1440" w:gutter="0" w:footer="0" w:header="0"/>
        </w:sectPr>
      </w:pPr>
    </w:p>
    <w:bookmarkStart w:id="339" w:name="page340"/>
    <w:bookmarkEnd w:id="339"/>
    <w:p>
      <w:pPr>
        <w:spacing w:after="0" w:line="94" w:lineRule="exact"/>
        <w:rPr>
          <w:sz w:val="20"/>
          <w:szCs w:val="20"/>
          <w:color w:val="auto"/>
        </w:rPr>
      </w:pPr>
    </w:p>
    <w:p>
      <w:pPr>
        <w:ind w:left="680"/>
        <w:spacing w:after="0" w:line="263" w:lineRule="auto"/>
        <w:rPr>
          <w:sz w:val="20"/>
          <w:szCs w:val="20"/>
          <w:color w:val="auto"/>
        </w:rPr>
      </w:pPr>
      <w:r>
        <w:rPr>
          <w:rFonts w:ascii="Times New Roman" w:cs="Times New Roman" w:eastAsia="Times New Roman" w:hAnsi="Times New Roman"/>
          <w:sz w:val="20"/>
          <w:szCs w:val="20"/>
          <w:color w:val="auto"/>
        </w:rPr>
        <w:t>provided for on the books of the relevant Credit Party). Such returns accurately reflect in all material respects all liability for taxes of any Credit Party or any Subsidiary thereof for the periods covered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506">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191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060"/>
          </w:cols>
          <w:pgMar w:left="320" w:top="1440" w:right="519" w:bottom="1440" w:gutter="0" w:footer="0" w:header="0"/>
        </w:sectPr>
      </w:pPr>
    </w:p>
    <w:bookmarkStart w:id="340" w:name="page341"/>
    <w:bookmarkEnd w:id="340"/>
    <w:p>
      <w:pPr>
        <w:spacing w:after="0" w:line="201" w:lineRule="exact"/>
        <w:rPr>
          <w:sz w:val="20"/>
          <w:szCs w:val="20"/>
          <w:color w:val="auto"/>
        </w:rPr>
      </w:pPr>
    </w:p>
    <w:p>
      <w:pPr>
        <w:jc w:val="both"/>
        <w:ind w:left="680"/>
        <w:spacing w:after="0" w:line="247" w:lineRule="auto"/>
        <w:rPr>
          <w:sz w:val="20"/>
          <w:szCs w:val="20"/>
          <w:color w:val="auto"/>
        </w:rPr>
      </w:pPr>
      <w:r>
        <w:rPr>
          <w:rFonts w:ascii="Times New Roman" w:cs="Times New Roman" w:eastAsia="Times New Roman" w:hAnsi="Times New Roman"/>
          <w:sz w:val="20"/>
          <w:szCs w:val="20"/>
          <w:color w:val="auto"/>
        </w:rPr>
        <w:t xml:space="preserve">thereby. As of the Closing Date, except as set forth on </w:t>
      </w:r>
      <w:r>
        <w:rPr>
          <w:rFonts w:ascii="Times New Roman" w:cs="Times New Roman" w:eastAsia="Times New Roman" w:hAnsi="Times New Roman"/>
          <w:sz w:val="20"/>
          <w:szCs w:val="20"/>
          <w:u w:val="single" w:color="auto"/>
          <w:color w:val="auto"/>
        </w:rPr>
        <w:t>Schedule 7.6</w:t>
      </w:r>
      <w:r>
        <w:rPr>
          <w:rFonts w:ascii="Times New Roman" w:cs="Times New Roman" w:eastAsia="Times New Roman" w:hAnsi="Times New Roman"/>
          <w:sz w:val="20"/>
          <w:szCs w:val="20"/>
          <w:color w:val="auto"/>
        </w:rPr>
        <w:t>, there is no ongoing audit or examination or, to its knowledge, other investigation by any Governmental Authority of the tax liability of any Credit Party or any Subsidiary thereof. No Governmental Authority has asserted any Lien or other claim against any Credit Party or any Subsidiary thereof with respect to unpaid taxes which has not been discharged or resolved (other than (a) any amount the validity of which is currently being contested in good faith by appropriate proceedings and with respect to which reserves in conformity with GAAP have been provided for on the books of the relevant Credit Party or (b) Permitted Liens). The charges, accruals and reserves on the books of each Credit Party and each Subsidiary thereof in respect of federal, state, provincial, local and other taxes for all Fiscal Years and portions thereof since the organization of any Credit Party or any Subsidiary thereof are in the judgment of the Borrowers adequate, and the Borrowers do not anticipate any additional taxes or assessments for any of such years.</w:t>
      </w:r>
    </w:p>
    <w:p>
      <w:pPr>
        <w:spacing w:after="0" w:line="183" w:lineRule="exact"/>
        <w:rPr>
          <w:sz w:val="20"/>
          <w:szCs w:val="20"/>
          <w:color w:val="auto"/>
        </w:rPr>
      </w:pPr>
    </w:p>
    <w:p>
      <w:pPr>
        <w:ind w:left="680" w:right="80" w:firstLine="642"/>
        <w:spacing w:after="0" w:line="263" w:lineRule="auto"/>
        <w:rPr>
          <w:sz w:val="20"/>
          <w:szCs w:val="20"/>
          <w:color w:val="auto"/>
        </w:rPr>
      </w:pPr>
      <w:r>
        <w:rPr>
          <w:rFonts w:ascii="Times New Roman" w:cs="Times New Roman" w:eastAsia="Times New Roman" w:hAnsi="Times New Roman"/>
          <w:sz w:val="19"/>
          <w:szCs w:val="19"/>
          <w:color w:val="auto"/>
        </w:rPr>
        <w:t xml:space="preserve">SECTION 7.7 </w:t>
      </w:r>
      <w:r>
        <w:rPr>
          <w:rFonts w:ascii="Times New Roman" w:cs="Times New Roman" w:eastAsia="Times New Roman" w:hAnsi="Times New Roman"/>
          <w:sz w:val="19"/>
          <w:szCs w:val="19"/>
          <w:u w:val="single" w:color="auto"/>
          <w:color w:val="auto"/>
        </w:rPr>
        <w:t>Intellectual Property Matters</w:t>
      </w:r>
      <w:r>
        <w:rPr>
          <w:rFonts w:ascii="Times New Roman" w:cs="Times New Roman" w:eastAsia="Times New Roman" w:hAnsi="Times New Roman"/>
          <w:sz w:val="19"/>
          <w:szCs w:val="19"/>
          <w:color w:val="auto"/>
        </w:rPr>
        <w:t>. Each Credit Party and each Subsidiary thereof owns or possesses rights to use all franchises, licenses, copyrights, copyright applications, patents, patent rights or licenses, patent applications, trademarks, trademark rights, service mark, service mark rights, trade names, trade name rights, copyrights and other rights with respect to the foregoing which are reasonably necessary to conduct its business, except where the failure to own or possess such rights could not, individually or in the aggregate, reasonably be expected to have a Material Adverse Effect. No event has occurred which permits, or after notice or lapse of time or both would permit, the revocation or termination of any such rights, and no Credit Party nor any Subsidiary thereof is liable to any Person for infringement under Applicable Law with respect to any such rights as a result of its business operations, except as could not, individually or in the aggregate, reasonably be expected to have a Material Adverse Effect.</w:t>
      </w:r>
    </w:p>
    <w:p>
      <w:pPr>
        <w:spacing w:after="0" w:line="171" w:lineRule="exact"/>
        <w:rPr>
          <w:sz w:val="20"/>
          <w:szCs w:val="20"/>
          <w:color w:val="auto"/>
        </w:rPr>
      </w:pPr>
    </w:p>
    <w:p>
      <w:pPr>
        <w:ind w:left="680" w:right="60" w:firstLine="642"/>
        <w:spacing w:after="0" w:line="277" w:lineRule="auto"/>
        <w:rPr>
          <w:sz w:val="20"/>
          <w:szCs w:val="20"/>
          <w:color w:val="auto"/>
        </w:rPr>
      </w:pPr>
      <w:r>
        <w:rPr>
          <w:rFonts w:ascii="Times New Roman" w:cs="Times New Roman" w:eastAsia="Times New Roman" w:hAnsi="Times New Roman"/>
          <w:sz w:val="20"/>
          <w:szCs w:val="20"/>
          <w:color w:val="auto"/>
        </w:rPr>
        <w:t xml:space="preserve">SECTION 7.8 </w:t>
      </w:r>
      <w:r>
        <w:rPr>
          <w:rFonts w:ascii="Times New Roman" w:cs="Times New Roman" w:eastAsia="Times New Roman" w:hAnsi="Times New Roman"/>
          <w:sz w:val="20"/>
          <w:szCs w:val="20"/>
          <w:u w:val="single" w:color="auto"/>
          <w:color w:val="auto"/>
        </w:rPr>
        <w:t>Environmental Matters</w:t>
      </w:r>
      <w:r>
        <w:rPr>
          <w:rFonts w:ascii="Times New Roman" w:cs="Times New Roman" w:eastAsia="Times New Roman" w:hAnsi="Times New Roman"/>
          <w:sz w:val="20"/>
          <w:szCs w:val="20"/>
          <w:color w:val="auto"/>
        </w:rPr>
        <w:t>. Except where the failure of any of the following representations to be correct could not, individually or in the aggregate, reasonably be expected to have a Material Adverse Effect:</w:t>
      </w:r>
    </w:p>
    <w:p>
      <w:pPr>
        <w:spacing w:after="0" w:line="151" w:lineRule="exact"/>
        <w:rPr>
          <w:sz w:val="20"/>
          <w:szCs w:val="20"/>
          <w:color w:val="auto"/>
        </w:rPr>
      </w:pPr>
    </w:p>
    <w:p>
      <w:pPr>
        <w:jc w:val="both"/>
        <w:ind w:left="680" w:right="20" w:firstLine="646"/>
        <w:spacing w:after="0" w:line="254" w:lineRule="auto"/>
        <w:tabs>
          <w:tab w:leader="none" w:pos="1927"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properties owned, leased or operated by each Credit Party and each Subsidiary thereof do not contain, and to their knowledge have not previously contained, any Hazardous Materials in amounts or concentrations which constitute or constituted a violation of applicable Environmental Laws and, to their knowledge, the properties owned, leased or operated by each Credit Party and each Subsidiary thereof in the past do not contain and have not previously contained any Hazardous Materials in amounts or concentrations which constituted a violation of applicable Environmental Laws;</w:t>
      </w:r>
    </w:p>
    <w:p>
      <w:pPr>
        <w:spacing w:after="0" w:line="173" w:lineRule="exact"/>
        <w:rPr>
          <w:rFonts w:ascii="Times New Roman" w:cs="Times New Roman" w:eastAsia="Times New Roman" w:hAnsi="Times New Roman"/>
          <w:sz w:val="20"/>
          <w:szCs w:val="20"/>
          <w:color w:val="auto"/>
        </w:rPr>
      </w:pPr>
    </w:p>
    <w:p>
      <w:pPr>
        <w:jc w:val="both"/>
        <w:ind w:left="680" w:right="60" w:firstLine="646"/>
        <w:spacing w:after="0" w:line="255" w:lineRule="auto"/>
        <w:tabs>
          <w:tab w:leader="none" w:pos="1925"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and each Subsidiary thereof and such properties owned, leased or operated by such Credit Party or such Subsidiary and all operations conducted in connection therewith are in compliance, and have been in compliance, with all applicable Environmental Laws, and there is no contamination at, under or about such properties or such operations which could interfere with the continued operation of such properties or impair the fair saleable value thereof;</w:t>
      </w:r>
    </w:p>
    <w:p>
      <w:pPr>
        <w:spacing w:after="0" w:line="172" w:lineRule="exact"/>
        <w:rPr>
          <w:rFonts w:ascii="Times New Roman" w:cs="Times New Roman" w:eastAsia="Times New Roman" w:hAnsi="Times New Roman"/>
          <w:sz w:val="20"/>
          <w:szCs w:val="20"/>
          <w:color w:val="auto"/>
        </w:rPr>
      </w:pPr>
    </w:p>
    <w:p>
      <w:pPr>
        <w:jc w:val="both"/>
        <w:ind w:left="680" w:right="40" w:firstLine="646"/>
        <w:spacing w:after="0" w:line="255" w:lineRule="auto"/>
        <w:tabs>
          <w:tab w:leader="none" w:pos="1927"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Credit Party nor any Subsidiary thereof has received any written notice of violation, alleged violation, non-compliance, liability or potential liability regarding environmental matters, Hazardous Materials, or compliance with Environmental Laws, nor does any Credit Party or any Subsidiary thereof have knowledge or reason to believe that any such notice will be received or is being threatened;</w:t>
      </w:r>
    </w:p>
    <w:p>
      <w:pPr>
        <w:spacing w:after="0" w:line="172" w:lineRule="exact"/>
        <w:rPr>
          <w:rFonts w:ascii="Times New Roman" w:cs="Times New Roman" w:eastAsia="Times New Roman" w:hAnsi="Times New Roman"/>
          <w:sz w:val="20"/>
          <w:szCs w:val="20"/>
          <w:color w:val="auto"/>
        </w:rPr>
      </w:pPr>
    </w:p>
    <w:p>
      <w:pPr>
        <w:ind w:left="680" w:right="60" w:firstLine="646"/>
        <w:spacing w:after="0" w:line="277" w:lineRule="auto"/>
        <w:tabs>
          <w:tab w:leader="none" w:pos="1925"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knowledge of each Credit Party and each Subsidiary thereof, Hazardous Materials have not been transported or disposed of to or from the properties owned, leased or operated by 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507">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192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20"/>
          </w:cols>
          <w:pgMar w:left="320" w:top="1440" w:right="459" w:bottom="1440" w:gutter="0" w:footer="0" w:header="0"/>
        </w:sectPr>
      </w:pPr>
    </w:p>
    <w:bookmarkStart w:id="341" w:name="page342"/>
    <w:bookmarkEnd w:id="341"/>
    <w:p>
      <w:pPr>
        <w:spacing w:after="0" w:line="94" w:lineRule="exact"/>
        <w:rPr>
          <w:sz w:val="20"/>
          <w:szCs w:val="20"/>
          <w:color w:val="auto"/>
        </w:rPr>
      </w:pPr>
    </w:p>
    <w:p>
      <w:pPr>
        <w:ind w:left="680"/>
        <w:spacing w:after="0" w:line="277" w:lineRule="auto"/>
        <w:rPr>
          <w:sz w:val="20"/>
          <w:szCs w:val="20"/>
          <w:color w:val="auto"/>
        </w:rPr>
      </w:pPr>
      <w:r>
        <w:rPr>
          <w:rFonts w:ascii="Times New Roman" w:cs="Times New Roman" w:eastAsia="Times New Roman" w:hAnsi="Times New Roman"/>
          <w:sz w:val="20"/>
          <w:szCs w:val="20"/>
          <w:color w:val="auto"/>
        </w:rPr>
        <w:t>Credit Party or any Subsidiary thereof in violation of, or in a manner or to a location which could give rise to liability under, Environmental Laws, nor have any Hazardous Materials been generated, treated,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508">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193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060"/>
          </w:cols>
          <w:pgMar w:left="320" w:top="1440" w:right="519" w:bottom="1440" w:gutter="0" w:footer="0" w:header="0"/>
        </w:sectPr>
      </w:pPr>
    </w:p>
    <w:bookmarkStart w:id="342" w:name="page343"/>
    <w:bookmarkEnd w:id="342"/>
    <w:p>
      <w:pPr>
        <w:spacing w:after="0" w:line="201" w:lineRule="exact"/>
        <w:rPr>
          <w:sz w:val="20"/>
          <w:szCs w:val="20"/>
          <w:color w:val="auto"/>
        </w:rPr>
      </w:pPr>
    </w:p>
    <w:p>
      <w:pPr>
        <w:ind w:left="680" w:right="120"/>
        <w:spacing w:after="0" w:line="263" w:lineRule="auto"/>
        <w:rPr>
          <w:sz w:val="20"/>
          <w:szCs w:val="20"/>
          <w:color w:val="auto"/>
        </w:rPr>
      </w:pPr>
      <w:r>
        <w:rPr>
          <w:rFonts w:ascii="Times New Roman" w:cs="Times New Roman" w:eastAsia="Times New Roman" w:hAnsi="Times New Roman"/>
          <w:sz w:val="20"/>
          <w:szCs w:val="20"/>
          <w:color w:val="auto"/>
        </w:rPr>
        <w:t>stored or disposed of at, on or under any of such properties in violation of, or in a manner that could give rise to liability under, any applicable Environmental Laws;</w:t>
      </w:r>
    </w:p>
    <w:p>
      <w:pPr>
        <w:spacing w:after="0" w:line="178" w:lineRule="exact"/>
        <w:rPr>
          <w:sz w:val="20"/>
          <w:szCs w:val="20"/>
          <w:color w:val="auto"/>
        </w:rPr>
      </w:pPr>
    </w:p>
    <w:p>
      <w:pPr>
        <w:jc w:val="both"/>
        <w:ind w:left="680" w:right="20" w:firstLine="646"/>
        <w:spacing w:after="0" w:line="250" w:lineRule="auto"/>
        <w:tabs>
          <w:tab w:leader="none" w:pos="1927"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judicial proceedings or governmental or administrative action is pending, or, to the knowledge of the Borrowers, threatened in writing, under any Environmental Law to which any Credit Party or any Subsidiary thereof is or will be named as a potentially responsible party with respect to such properties or operations conducted in connection therewith, nor are there any consent decrees or other decrees, consent orders, administrative orders or other orders, or other administrative or judicial requirements outstanding under any applicable Environmental Law with respect to any Credit Party, any Subsidiary thereof or such properties or such operations; and</w:t>
      </w:r>
    </w:p>
    <w:p>
      <w:pPr>
        <w:spacing w:after="0" w:line="180" w:lineRule="exact"/>
        <w:rPr>
          <w:rFonts w:ascii="Times New Roman" w:cs="Times New Roman" w:eastAsia="Times New Roman" w:hAnsi="Times New Roman"/>
          <w:sz w:val="20"/>
          <w:szCs w:val="20"/>
          <w:color w:val="auto"/>
        </w:rPr>
      </w:pPr>
    </w:p>
    <w:p>
      <w:pPr>
        <w:jc w:val="both"/>
        <w:ind w:left="680" w:right="40" w:firstLine="646"/>
        <w:spacing w:after="0" w:line="257" w:lineRule="auto"/>
        <w:tabs>
          <w:tab w:leader="none" w:pos="1919"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has been no release, or to the best of each Borrower’s knowledge, threat of release, of Hazardous Materials at or from properties owned, leased or operated by any Credit Party or any Subsidiary, now or in the past five (5) years, in violation of or in amounts or in a manner that could give rise to liability under applicable Environmental Laws.</w:t>
      </w:r>
    </w:p>
    <w:p>
      <w:pPr>
        <w:spacing w:after="0" w:line="171" w:lineRule="exact"/>
        <w:rPr>
          <w:sz w:val="20"/>
          <w:szCs w:val="20"/>
          <w:color w:val="auto"/>
        </w:rPr>
      </w:pPr>
    </w:p>
    <w:p>
      <w:pPr>
        <w:ind w:left="1320"/>
        <w:spacing w:after="0"/>
        <w:tabs>
          <w:tab w:leader="none" w:pos="2620" w:val="left"/>
        </w:tabs>
        <w:rPr>
          <w:sz w:val="20"/>
          <w:szCs w:val="20"/>
          <w:color w:val="auto"/>
        </w:rPr>
      </w:pPr>
      <w:r>
        <w:rPr>
          <w:rFonts w:ascii="Times New Roman" w:cs="Times New Roman" w:eastAsia="Times New Roman" w:hAnsi="Times New Roman"/>
          <w:sz w:val="20"/>
          <w:szCs w:val="20"/>
          <w:color w:val="auto"/>
        </w:rPr>
        <w:t>SECTION 7.9</w:t>
      </w:r>
      <w:r>
        <w:rPr>
          <w:sz w:val="20"/>
          <w:szCs w:val="20"/>
          <w:color w:val="auto"/>
        </w:rPr>
        <w:tab/>
      </w:r>
      <w:r>
        <w:rPr>
          <w:rFonts w:ascii="Times New Roman" w:cs="Times New Roman" w:eastAsia="Times New Roman" w:hAnsi="Times New Roman"/>
          <w:sz w:val="19"/>
          <w:szCs w:val="19"/>
          <w:u w:val="single" w:color="auto"/>
          <w:color w:val="auto"/>
        </w:rPr>
        <w:t>Employee Benefit Matters</w:t>
      </w:r>
      <w:r>
        <w:rPr>
          <w:rFonts w:ascii="Times New Roman" w:cs="Times New Roman" w:eastAsia="Times New Roman" w:hAnsi="Times New Roman"/>
          <w:sz w:val="19"/>
          <w:szCs w:val="19"/>
          <w:color w:val="auto"/>
        </w:rPr>
        <w:t>.</w:t>
      </w:r>
    </w:p>
    <w:p>
      <w:pPr>
        <w:spacing w:after="0" w:line="225" w:lineRule="exact"/>
        <w:rPr>
          <w:sz w:val="20"/>
          <w:szCs w:val="20"/>
          <w:color w:val="auto"/>
        </w:rPr>
      </w:pPr>
    </w:p>
    <w:p>
      <w:pPr>
        <w:ind w:left="680" w:firstLine="646"/>
        <w:spacing w:after="0" w:line="263" w:lineRule="auto"/>
        <w:tabs>
          <w:tab w:leader="none" w:pos="1927"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of the Closing Date, no Credit Party nor any ERISA Affiliate maintains or contributes to, or has any obligation under, any Employee Benefit Plans or Canadian Employee Benefit Plans other than those identified on </w:t>
      </w:r>
      <w:r>
        <w:rPr>
          <w:rFonts w:ascii="Times New Roman" w:cs="Times New Roman" w:eastAsia="Times New Roman" w:hAnsi="Times New Roman"/>
          <w:sz w:val="20"/>
          <w:szCs w:val="20"/>
          <w:u w:val="single" w:color="auto"/>
          <w:color w:val="auto"/>
        </w:rPr>
        <w:t>Schedule 7.9</w:t>
      </w:r>
      <w:r>
        <w:rPr>
          <w:rFonts w:ascii="Times New Roman" w:cs="Times New Roman" w:eastAsia="Times New Roman" w:hAnsi="Times New Roman"/>
          <w:sz w:val="20"/>
          <w:szCs w:val="20"/>
          <w:color w:val="auto"/>
        </w:rPr>
        <w:t>;</w:t>
      </w:r>
    </w:p>
    <w:p>
      <w:pPr>
        <w:spacing w:after="0" w:line="178" w:lineRule="exact"/>
        <w:rPr>
          <w:rFonts w:ascii="Times New Roman" w:cs="Times New Roman" w:eastAsia="Times New Roman" w:hAnsi="Times New Roman"/>
          <w:sz w:val="20"/>
          <w:szCs w:val="20"/>
          <w:color w:val="auto"/>
        </w:rPr>
      </w:pPr>
    </w:p>
    <w:p>
      <w:pPr>
        <w:jc w:val="both"/>
        <w:ind w:left="680" w:right="20" w:firstLine="646"/>
        <w:spacing w:after="0" w:line="247" w:lineRule="auto"/>
        <w:tabs>
          <w:tab w:leader="none" w:pos="1925"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and each ERISA Affiliate is in compliance with all applicable provisions of ERISA, the Code and the regulations and published interpretations thereunder with respect to all Employee Benefit Plans (and with all Canadian Pension Laws with respect to all Canadian Employee Benefit Plans) except for any required amendments for which the remedial amendment period as defined in Section 401(b) of the Code has not yet expired and except where a failure to so comply could not, individually or in the aggregate, reasonably be expected to have a Material Adverse Effect. Each Employee Benefit Plan that is intended to be qualified under Section 401(a) of the Code has been determined by the IRS to be so qualified, and each trust related to such plan has been determined to be exempt under Section 501(a) of the Code except for such plans that have not yet received determination letters but for which the remedial amendment period for submitting a determination letter has not yet expired. Each Canadian Employee Benefit Plan that is intended to be registered under Canadian Pension Laws has been so registered and such registration has not been revoked nor has any notice of intent to revoke such registration been received. No liability has been incurred by any Credit Party or any ERISA Affiliate which remains unsatisfied for any taxes or penalties assessed with respect to any Employee Benefit Plan, Canadian Employee Benefit Plan or any Multiemployer Plan except for a liability that could not reasonably be expected to have a Material Adverse Effect;</w:t>
      </w:r>
    </w:p>
    <w:p>
      <w:pPr>
        <w:spacing w:after="0" w:line="172" w:lineRule="exact"/>
        <w:rPr>
          <w:rFonts w:ascii="Times New Roman" w:cs="Times New Roman" w:eastAsia="Times New Roman" w:hAnsi="Times New Roman"/>
          <w:sz w:val="20"/>
          <w:szCs w:val="20"/>
          <w:color w:val="auto"/>
        </w:rPr>
      </w:pPr>
    </w:p>
    <w:p>
      <w:pPr>
        <w:jc w:val="both"/>
        <w:ind w:left="680" w:right="20" w:firstLine="646"/>
        <w:spacing w:after="0" w:line="250" w:lineRule="auto"/>
        <w:tabs>
          <w:tab w:leader="none" w:pos="1927"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Closing Date, no Pension Plan has been terminated, nor has any Pension Plan become subject to funding based benefit restrictions under Section 436 of the Code, nor has any funding waiver from the IRS been received or requested with respect to any Pension Plan, nor has any Credit Party or any ERISA Affiliate failed to make any contributions or to pay any amounts due and owing as required by Sections 412 or 430 of the Code, Section 302 of ERISA or the terms of any Pension Plan on or prior to the due dates of such contributions under Sections 412 or 430 of the Code or Section 302 of ERISA, nor has there been any event requiring any disclosure under Section 4041(c)(3)(C) or 4063(a) of ERISA with respect to any Pension Plan, nor has any Credit Party nor any Subsidiary thereof failed to make or remit any required contributions when due to any Canadian Employee Benefit Plan, nor has any solvency funding relief been elected or exercised with respect to any Canadian Pension Plan;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509">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194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343" w:name="page344"/>
    <w:bookmarkEnd w:id="343"/>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510">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195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0139"/>
          </w:cols>
          <w:pgMar w:left="320" w:top="1440" w:right="1440" w:bottom="1440" w:gutter="0" w:footer="0" w:header="0"/>
        </w:sectPr>
      </w:pPr>
    </w:p>
    <w:bookmarkStart w:id="344" w:name="page345"/>
    <w:bookmarkEnd w:id="344"/>
    <w:p>
      <w:pPr>
        <w:spacing w:after="0" w:line="202" w:lineRule="exact"/>
        <w:rPr>
          <w:sz w:val="20"/>
          <w:szCs w:val="20"/>
          <w:color w:val="auto"/>
        </w:rPr>
      </w:pPr>
    </w:p>
    <w:p>
      <w:pPr>
        <w:jc w:val="both"/>
        <w:ind w:left="680" w:right="40" w:firstLine="646"/>
        <w:spacing w:after="0" w:line="248" w:lineRule="auto"/>
        <w:tabs>
          <w:tab w:leader="none" w:pos="1925"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where the failure of any of the following representations to be correct could not reasonably be expected, individually or in the aggregate, to have a Material Adverse Effect, no Credit Party nor any ERISA Affiliate has: (i) engaged in a nonexempt prohibited transaction described in Section 406 of the ERISA or Section 4975 of the Code, (ii) incurred any liability to the PBGC which remains outstanding other than the payment of premiums and there are no premium payments which are due and unpaid, (iii) failed to make a required contribution or payment to a Multiemployer Plan or Canadian Multiemployer Plan, or (iv) failed to make a required installment or other required payment under Sections 412 or 430 of the Code or Canadian Pension Laws or to make a required contribution or payment under the terms of any Canadian Employee Benefit Plan;</w:t>
      </w:r>
    </w:p>
    <w:p>
      <w:pPr>
        <w:spacing w:after="0" w:line="182" w:lineRule="exact"/>
        <w:rPr>
          <w:rFonts w:ascii="Times New Roman" w:cs="Times New Roman" w:eastAsia="Times New Roman" w:hAnsi="Times New Roman"/>
          <w:sz w:val="20"/>
          <w:szCs w:val="20"/>
          <w:color w:val="auto"/>
        </w:rPr>
      </w:pPr>
    </w:p>
    <w:p>
      <w:pPr>
        <w:ind w:left="1940" w:hanging="614"/>
        <w:spacing w:after="0"/>
        <w:tabs>
          <w:tab w:leader="none" w:pos="1940"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Termination Event or Canadian Termination Event has occurred or is reasonably expected to occur;</w:t>
      </w:r>
    </w:p>
    <w:p>
      <w:pPr>
        <w:spacing w:after="0" w:line="224" w:lineRule="exact"/>
        <w:rPr>
          <w:rFonts w:ascii="Times New Roman" w:cs="Times New Roman" w:eastAsia="Times New Roman" w:hAnsi="Times New Roman"/>
          <w:sz w:val="20"/>
          <w:szCs w:val="20"/>
          <w:color w:val="auto"/>
        </w:rPr>
      </w:pPr>
    </w:p>
    <w:p>
      <w:pPr>
        <w:jc w:val="both"/>
        <w:ind w:left="680" w:firstLine="646"/>
        <w:spacing w:after="0" w:line="250" w:lineRule="auto"/>
        <w:tabs>
          <w:tab w:leader="none" w:pos="1919"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where the failure of any of the following representations to be correct could not reasonably be expected, individually or in the aggregate, to have a Material Adverse Effect, no proceeding, claim (other than a benefits claim in the ordinary course of business), lawsuit and/or investigation is existing or, to the best of the knowledge of each Borrower after due inquiry, threatened in writing concerning or involving (i) any employee welfare benefit plan (as defined in Section 3(1) of ERISA) currently maintained or contributed to by any Credit Party or any ERISA Affiliate, (ii) any Pension Plan or Canadian Pension Plan, or (iii) any Multiemployer Plan or Canadian Multiemployer Plan.</w:t>
      </w:r>
    </w:p>
    <w:p>
      <w:pPr>
        <w:spacing w:after="0" w:line="180" w:lineRule="exact"/>
        <w:rPr>
          <w:rFonts w:ascii="Times New Roman" w:cs="Times New Roman" w:eastAsia="Times New Roman" w:hAnsi="Times New Roman"/>
          <w:sz w:val="20"/>
          <w:szCs w:val="20"/>
          <w:color w:val="auto"/>
        </w:rPr>
      </w:pPr>
    </w:p>
    <w:p>
      <w:pPr>
        <w:jc w:val="both"/>
        <w:ind w:left="680" w:right="40" w:firstLine="646"/>
        <w:spacing w:after="0" w:line="257" w:lineRule="auto"/>
        <w:tabs>
          <w:tab w:leader="none" w:pos="1925"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Credit Party nor any Subsidiary thereof is a party to any contract, agreement or arrangement that could, solely as a result of the delivery of this Agreement or the consummation of transactions contemplated hereby, result in the payment of any “excess parachute payment” within the meaning of Section 280G of the Code.</w:t>
      </w:r>
    </w:p>
    <w:p>
      <w:pPr>
        <w:spacing w:after="0" w:line="170" w:lineRule="exact"/>
        <w:rPr>
          <w:rFonts w:ascii="Times New Roman" w:cs="Times New Roman" w:eastAsia="Times New Roman" w:hAnsi="Times New Roman"/>
          <w:sz w:val="20"/>
          <w:szCs w:val="20"/>
          <w:color w:val="auto"/>
        </w:rPr>
      </w:pPr>
    </w:p>
    <w:p>
      <w:pPr>
        <w:ind w:left="680" w:right="40" w:firstLine="646"/>
        <w:spacing w:after="0" w:line="277" w:lineRule="auto"/>
        <w:tabs>
          <w:tab w:leader="none" w:pos="1925"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Closing Date, no Credit Party nor any Subsidiary thereof has established, or commenced participation in, any Canadian Employee Benefit Plan containing a defined benefit provision.</w:t>
      </w:r>
    </w:p>
    <w:p>
      <w:pPr>
        <w:spacing w:after="0" w:line="151" w:lineRule="exact"/>
        <w:rPr>
          <w:rFonts w:ascii="Times New Roman" w:cs="Times New Roman" w:eastAsia="Times New Roman" w:hAnsi="Times New Roman"/>
          <w:sz w:val="20"/>
          <w:szCs w:val="20"/>
          <w:color w:val="auto"/>
        </w:rPr>
      </w:pPr>
    </w:p>
    <w:p>
      <w:pPr>
        <w:jc w:val="both"/>
        <w:ind w:left="680" w:right="40" w:firstLine="646"/>
        <w:spacing w:after="0" w:line="257" w:lineRule="auto"/>
        <w:tabs>
          <w:tab w:leader="none" w:pos="1921"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Closing Date no Borrower is nor will be using “plan assets” (within the meaning of 29 CFR § 2510.3-101, as modified by Section 3(42) of ERISA) of one or more Benefit Plans in connection with the Loans, the Letters of Credit or the Commitments.</w:t>
      </w:r>
    </w:p>
    <w:p>
      <w:pPr>
        <w:spacing w:after="0" w:line="184" w:lineRule="exact"/>
        <w:rPr>
          <w:sz w:val="20"/>
          <w:szCs w:val="20"/>
          <w:color w:val="auto"/>
        </w:rPr>
      </w:pPr>
    </w:p>
    <w:p>
      <w:pPr>
        <w:jc w:val="both"/>
        <w:ind w:left="680" w:firstLine="642"/>
        <w:spacing w:after="0" w:line="247" w:lineRule="auto"/>
        <w:rPr>
          <w:sz w:val="20"/>
          <w:szCs w:val="20"/>
          <w:color w:val="auto"/>
        </w:rPr>
      </w:pPr>
      <w:r>
        <w:rPr>
          <w:rFonts w:ascii="Times New Roman" w:cs="Times New Roman" w:eastAsia="Times New Roman" w:hAnsi="Times New Roman"/>
          <w:sz w:val="20"/>
          <w:szCs w:val="20"/>
          <w:color w:val="auto"/>
        </w:rPr>
        <w:t xml:space="preserve">SECTION 7.10 </w:t>
      </w:r>
      <w:r>
        <w:rPr>
          <w:rFonts w:ascii="Times New Roman" w:cs="Times New Roman" w:eastAsia="Times New Roman" w:hAnsi="Times New Roman"/>
          <w:sz w:val="20"/>
          <w:szCs w:val="20"/>
          <w:u w:val="single" w:color="auto"/>
          <w:color w:val="auto"/>
        </w:rPr>
        <w:t>Margin Stock</w:t>
      </w:r>
      <w:r>
        <w:rPr>
          <w:rFonts w:ascii="Times New Roman" w:cs="Times New Roman" w:eastAsia="Times New Roman" w:hAnsi="Times New Roman"/>
          <w:sz w:val="20"/>
          <w:szCs w:val="20"/>
          <w:color w:val="auto"/>
        </w:rPr>
        <w:t xml:space="preserve">. No Credit Party nor any Subsidiary thereof is engaged principally or as one of its activities in the business of extending credit for the purpose of “purchasing” or “carrying” any “margin stock” (as each such term is defined or used, directly or indirectly, in Regulation U of the Board of Governors of the Federal Reserve System). No part of the proceeds of any of the Loans or Letters of Credit will be used for purchasing or carrying margin stock or for any purpose which violates, or which would be inconsistent with, the provisions of Regulation T, U or X of such Board of Governors. Following the application of the proceeds of each Extension of Credit, not more than twenty-five percent (25%) of the value of the assets (either of each Borrower only or of the Consolidated Companies on a Consolidated basis) subject to the provisions of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9.5</w:t>
      </w:r>
      <w:r>
        <w:rPr>
          <w:rFonts w:ascii="Times New Roman" w:cs="Times New Roman" w:eastAsia="Times New Roman" w:hAnsi="Times New Roman"/>
          <w:sz w:val="20"/>
          <w:szCs w:val="20"/>
          <w:color w:val="auto"/>
        </w:rPr>
        <w:t xml:space="preserve"> or subject to any restriction contained in any agreement or instrument between any Borrower and any Lender or any Affiliate of any Lender relating to Indebtedness in excess of the Threshold Amount will be “margin stock”.</w:t>
      </w:r>
    </w:p>
    <w:p>
      <w:pPr>
        <w:spacing w:after="0" w:line="184" w:lineRule="exact"/>
        <w:rPr>
          <w:sz w:val="20"/>
          <w:szCs w:val="20"/>
          <w:color w:val="auto"/>
        </w:rPr>
      </w:pPr>
    </w:p>
    <w:p>
      <w:pPr>
        <w:jc w:val="both"/>
        <w:ind w:left="680" w:right="40" w:firstLine="642"/>
        <w:spacing w:after="0" w:line="264" w:lineRule="auto"/>
        <w:rPr>
          <w:sz w:val="20"/>
          <w:szCs w:val="20"/>
          <w:color w:val="auto"/>
        </w:rPr>
      </w:pPr>
      <w:r>
        <w:rPr>
          <w:rFonts w:ascii="Times New Roman" w:cs="Times New Roman" w:eastAsia="Times New Roman" w:hAnsi="Times New Roman"/>
          <w:sz w:val="20"/>
          <w:szCs w:val="20"/>
          <w:color w:val="auto"/>
        </w:rPr>
        <w:t xml:space="preserve">SECTION 7.11 </w:t>
      </w:r>
      <w:r>
        <w:rPr>
          <w:rFonts w:ascii="Times New Roman" w:cs="Times New Roman" w:eastAsia="Times New Roman" w:hAnsi="Times New Roman"/>
          <w:sz w:val="20"/>
          <w:szCs w:val="20"/>
          <w:u w:val="single" w:color="auto"/>
          <w:color w:val="auto"/>
        </w:rPr>
        <w:t>Government Regulation</w:t>
      </w:r>
      <w:r>
        <w:rPr>
          <w:rFonts w:ascii="Times New Roman" w:cs="Times New Roman" w:eastAsia="Times New Roman" w:hAnsi="Times New Roman"/>
          <w:sz w:val="20"/>
          <w:szCs w:val="20"/>
          <w:color w:val="auto"/>
        </w:rPr>
        <w:t>. No Credit Party nor any Subsidiary thereof is an “investment company” or a company “controlled” by an “investment company” (as each such term is defined or used in the Investment Company Act) and no Credit Party nor any Subsidiary thereof is,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511">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196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345" w:name="page346"/>
    <w:bookmarkEnd w:id="345"/>
    <w:p>
      <w:pPr>
        <w:spacing w:after="0" w:line="202" w:lineRule="exact"/>
        <w:rPr>
          <w:sz w:val="20"/>
          <w:szCs w:val="20"/>
          <w:color w:val="auto"/>
        </w:rPr>
      </w:pPr>
    </w:p>
    <w:p>
      <w:pPr>
        <w:ind w:left="680" w:right="20"/>
        <w:spacing w:after="0" w:line="263" w:lineRule="auto"/>
        <w:rPr>
          <w:sz w:val="20"/>
          <w:szCs w:val="20"/>
          <w:color w:val="auto"/>
        </w:rPr>
      </w:pPr>
      <w:r>
        <w:rPr>
          <w:rFonts w:ascii="Times New Roman" w:cs="Times New Roman" w:eastAsia="Times New Roman" w:hAnsi="Times New Roman"/>
          <w:sz w:val="20"/>
          <w:szCs w:val="20"/>
          <w:color w:val="auto"/>
        </w:rPr>
        <w:t>after giving effect to any Extension of Credit will be, subject to regulation under the Interstate Commerce Act, or any other Applicable Law which limits its ability to incur or consummate the transactions contemplated hereby.</w:t>
      </w:r>
    </w:p>
    <w:p>
      <w:pPr>
        <w:spacing w:after="0" w:line="178" w:lineRule="exact"/>
        <w:rPr>
          <w:sz w:val="20"/>
          <w:szCs w:val="20"/>
          <w:color w:val="auto"/>
        </w:rPr>
      </w:pPr>
    </w:p>
    <w:p>
      <w:pPr>
        <w:ind w:left="1320"/>
        <w:spacing w:after="0"/>
        <w:tabs>
          <w:tab w:leader="none" w:pos="2720" w:val="left"/>
        </w:tabs>
        <w:rPr>
          <w:sz w:val="20"/>
          <w:szCs w:val="20"/>
          <w:color w:val="auto"/>
        </w:rPr>
      </w:pPr>
      <w:r>
        <w:rPr>
          <w:rFonts w:ascii="Times New Roman" w:cs="Times New Roman" w:eastAsia="Times New Roman" w:hAnsi="Times New Roman"/>
          <w:sz w:val="20"/>
          <w:szCs w:val="20"/>
          <w:color w:val="auto"/>
        </w:rPr>
        <w:t>SECTION 7.12</w:t>
      </w:r>
      <w:r>
        <w:rPr>
          <w:sz w:val="20"/>
          <w:szCs w:val="20"/>
          <w:color w:val="auto"/>
        </w:rPr>
        <w:tab/>
      </w:r>
      <w:r>
        <w:rPr>
          <w:rFonts w:ascii="Times New Roman" w:cs="Times New Roman" w:eastAsia="Times New Roman" w:hAnsi="Times New Roman"/>
          <w:sz w:val="19"/>
          <w:szCs w:val="19"/>
          <w:u w:val="single" w:color="auto"/>
          <w:color w:val="auto"/>
        </w:rPr>
        <w:t>[Intentionally Omitted]</w:t>
      </w:r>
      <w:r>
        <w:rPr>
          <w:rFonts w:ascii="Times New Roman" w:cs="Times New Roman" w:eastAsia="Times New Roman" w:hAnsi="Times New Roman"/>
          <w:sz w:val="19"/>
          <w:szCs w:val="19"/>
          <w:color w:val="auto"/>
        </w:rPr>
        <w:t>.</w:t>
      </w:r>
    </w:p>
    <w:p>
      <w:pPr>
        <w:spacing w:after="0" w:line="211" w:lineRule="exact"/>
        <w:rPr>
          <w:sz w:val="20"/>
          <w:szCs w:val="20"/>
          <w:color w:val="auto"/>
        </w:rPr>
      </w:pPr>
    </w:p>
    <w:p>
      <w:pPr>
        <w:jc w:val="both"/>
        <w:ind w:left="680" w:right="40" w:firstLine="642"/>
        <w:spacing w:after="0" w:line="254" w:lineRule="auto"/>
        <w:rPr>
          <w:sz w:val="20"/>
          <w:szCs w:val="20"/>
          <w:color w:val="auto"/>
        </w:rPr>
      </w:pPr>
      <w:r>
        <w:rPr>
          <w:rFonts w:ascii="Times New Roman" w:cs="Times New Roman" w:eastAsia="Times New Roman" w:hAnsi="Times New Roman"/>
          <w:sz w:val="20"/>
          <w:szCs w:val="20"/>
          <w:color w:val="auto"/>
        </w:rPr>
        <w:t xml:space="preserve">SECTION 7.13 </w:t>
      </w:r>
      <w:r>
        <w:rPr>
          <w:rFonts w:ascii="Times New Roman" w:cs="Times New Roman" w:eastAsia="Times New Roman" w:hAnsi="Times New Roman"/>
          <w:sz w:val="20"/>
          <w:szCs w:val="20"/>
          <w:u w:val="single" w:color="auto"/>
          <w:color w:val="auto"/>
        </w:rPr>
        <w:t>Employee Relations</w:t>
      </w:r>
      <w:r>
        <w:rPr>
          <w:rFonts w:ascii="Times New Roman" w:cs="Times New Roman" w:eastAsia="Times New Roman" w:hAnsi="Times New Roman"/>
          <w:sz w:val="20"/>
          <w:szCs w:val="20"/>
          <w:color w:val="auto"/>
        </w:rPr>
        <w:t xml:space="preserve">. As of the Closing Date, no Credit Party nor any Subsidiary thereof is party to any collective bargaining agreement, nor has any labor union been recognized as the representative of its employees except as set forth on </w:t>
      </w:r>
      <w:r>
        <w:rPr>
          <w:rFonts w:ascii="Times New Roman" w:cs="Times New Roman" w:eastAsia="Times New Roman" w:hAnsi="Times New Roman"/>
          <w:sz w:val="20"/>
          <w:szCs w:val="20"/>
          <w:u w:val="single" w:color="auto"/>
          <w:color w:val="auto"/>
        </w:rPr>
        <w:t>Schedule 7.13</w:t>
      </w:r>
      <w:r>
        <w:rPr>
          <w:rFonts w:ascii="Times New Roman" w:cs="Times New Roman" w:eastAsia="Times New Roman" w:hAnsi="Times New Roman"/>
          <w:sz w:val="20"/>
          <w:szCs w:val="20"/>
          <w:color w:val="auto"/>
        </w:rPr>
        <w:t>. No Borrower knows of any pending, threatened in writing or contemplated strikes, work stoppage or other collective labor disputes involving its employees or those of its Subsidiaries that, individually or in the aggregate, could reasonably be expected to have a Material Adverse Effect.</w:t>
      </w:r>
    </w:p>
    <w:p>
      <w:pPr>
        <w:spacing w:after="0" w:line="174" w:lineRule="exact"/>
        <w:rPr>
          <w:sz w:val="20"/>
          <w:szCs w:val="20"/>
          <w:color w:val="auto"/>
        </w:rPr>
      </w:pPr>
    </w:p>
    <w:p>
      <w:pPr>
        <w:jc w:val="both"/>
        <w:ind w:left="680" w:right="60" w:firstLine="642"/>
        <w:spacing w:after="0" w:line="250" w:lineRule="auto"/>
        <w:rPr>
          <w:sz w:val="20"/>
          <w:szCs w:val="20"/>
          <w:color w:val="auto"/>
        </w:rPr>
      </w:pPr>
      <w:r>
        <w:rPr>
          <w:rFonts w:ascii="Times New Roman" w:cs="Times New Roman" w:eastAsia="Times New Roman" w:hAnsi="Times New Roman"/>
          <w:sz w:val="20"/>
          <w:szCs w:val="20"/>
          <w:color w:val="auto"/>
        </w:rPr>
        <w:t xml:space="preserve">SECTION 7.14 </w:t>
      </w:r>
      <w:r>
        <w:rPr>
          <w:rFonts w:ascii="Times New Roman" w:cs="Times New Roman" w:eastAsia="Times New Roman" w:hAnsi="Times New Roman"/>
          <w:sz w:val="20"/>
          <w:szCs w:val="20"/>
          <w:u w:val="single" w:color="auto"/>
          <w:color w:val="auto"/>
        </w:rPr>
        <w:t>Burdensome Provisions</w:t>
      </w:r>
      <w:r>
        <w:rPr>
          <w:rFonts w:ascii="Times New Roman" w:cs="Times New Roman" w:eastAsia="Times New Roman" w:hAnsi="Times New Roman"/>
          <w:sz w:val="20"/>
          <w:szCs w:val="20"/>
          <w:color w:val="auto"/>
        </w:rPr>
        <w:t>. No Subsidiary is party to any agreement or instrument or otherwise subject to any restriction or encumbrance that restricts or limits its ability to make dividend payments or other distributions in respect of its Equity Interests to any Consolidated Company or to transfer any of its assets or properties to any Consolidated Company in each case other than existing under or by reason of the Loan Documents or Applicable Law.</w:t>
      </w:r>
    </w:p>
    <w:p>
      <w:pPr>
        <w:spacing w:after="0" w:line="192" w:lineRule="exact"/>
        <w:rPr>
          <w:sz w:val="20"/>
          <w:szCs w:val="20"/>
          <w:color w:val="auto"/>
        </w:rPr>
      </w:pPr>
    </w:p>
    <w:p>
      <w:pPr>
        <w:jc w:val="both"/>
        <w:ind w:left="680" w:firstLine="642"/>
        <w:spacing w:after="0" w:line="261" w:lineRule="auto"/>
        <w:rPr>
          <w:sz w:val="20"/>
          <w:szCs w:val="20"/>
          <w:color w:val="auto"/>
        </w:rPr>
      </w:pPr>
      <w:r>
        <w:rPr>
          <w:rFonts w:ascii="Times New Roman" w:cs="Times New Roman" w:eastAsia="Times New Roman" w:hAnsi="Times New Roman"/>
          <w:sz w:val="19"/>
          <w:szCs w:val="19"/>
          <w:color w:val="auto"/>
        </w:rPr>
        <w:t xml:space="preserve">SECTION 7.15 </w:t>
      </w:r>
      <w:r>
        <w:rPr>
          <w:rFonts w:ascii="Times New Roman" w:cs="Times New Roman" w:eastAsia="Times New Roman" w:hAnsi="Times New Roman"/>
          <w:sz w:val="19"/>
          <w:szCs w:val="19"/>
          <w:u w:val="single" w:color="auto"/>
          <w:color w:val="auto"/>
        </w:rPr>
        <w:t>Financial Statements</w:t>
      </w:r>
      <w:r>
        <w:rPr>
          <w:rFonts w:ascii="Times New Roman" w:cs="Times New Roman" w:eastAsia="Times New Roman" w:hAnsi="Times New Roman"/>
          <w:sz w:val="19"/>
          <w:szCs w:val="19"/>
          <w:color w:val="auto"/>
        </w:rPr>
        <w:t xml:space="preserve">. The audited and unaudited financial statements delivered pursuant to </w:t>
      </w:r>
      <w:r>
        <w:rPr>
          <w:rFonts w:ascii="Times New Roman" w:cs="Times New Roman" w:eastAsia="Times New Roman" w:hAnsi="Times New Roman"/>
          <w:sz w:val="19"/>
          <w:szCs w:val="19"/>
          <w:u w:val="single" w:color="auto"/>
          <w:color w:val="auto"/>
        </w:rPr>
        <w:t>Section 6.1(e)(i)</w:t>
      </w:r>
      <w:r>
        <w:rPr>
          <w:rFonts w:ascii="Times New Roman" w:cs="Times New Roman" w:eastAsia="Times New Roman" w:hAnsi="Times New Roman"/>
          <w:sz w:val="19"/>
          <w:szCs w:val="19"/>
          <w:color w:val="auto"/>
        </w:rPr>
        <w:t xml:space="preserve"> are complete and correct and fairly present on a Consolidated basis the assets, liabilities and financial position of the Consolidated Companies as at such dates, and the results of the operations and changes of financial position for the periods then ended (other than customary year-end adjustments for unaudited financial statements and the absence of footnote disclosures for unaudited financial statements). All such financial statements, including the related schedules and notes thereto, have been prepared in accordance with GAAP. Such financial statements show all material indebtedness and other material liabilities, direct or contingent, of the Consolidated Companies as of the date thereof, including material liabilities for taxes, material commitments, and Indebtedness, in each case, to the extent required to be disclosed under GAAP. The projections delivered to the Administrative Agent and the Arrangers prior to the Closing Date were prepared in good faith on the basis of the assumptions stated therein, which assumptions are believed to be reasonable in light of then existing conditions except that such financial projections and statements shall be subject to normal year end closing and audit adjustments (it being recognized by the Lenders that projections are not to be viewed as facts and that the actual results during the period or periods covered by such projections may vary from such projections).</w:t>
      </w:r>
    </w:p>
    <w:p>
      <w:pPr>
        <w:spacing w:after="0" w:line="171" w:lineRule="exact"/>
        <w:rPr>
          <w:sz w:val="20"/>
          <w:szCs w:val="20"/>
          <w:color w:val="auto"/>
        </w:rPr>
      </w:pPr>
    </w:p>
    <w:p>
      <w:pPr>
        <w:jc w:val="both"/>
        <w:ind w:left="680" w:right="20" w:firstLine="642"/>
        <w:spacing w:after="0" w:line="257" w:lineRule="auto"/>
        <w:rPr>
          <w:sz w:val="20"/>
          <w:szCs w:val="20"/>
          <w:color w:val="auto"/>
        </w:rPr>
      </w:pPr>
      <w:r>
        <w:rPr>
          <w:rFonts w:ascii="Times New Roman" w:cs="Times New Roman" w:eastAsia="Times New Roman" w:hAnsi="Times New Roman"/>
          <w:sz w:val="20"/>
          <w:szCs w:val="20"/>
          <w:color w:val="auto"/>
        </w:rPr>
        <w:t xml:space="preserve">SECTION 7.16 </w:t>
      </w:r>
      <w:r>
        <w:rPr>
          <w:rFonts w:ascii="Times New Roman" w:cs="Times New Roman" w:eastAsia="Times New Roman" w:hAnsi="Times New Roman"/>
          <w:sz w:val="20"/>
          <w:szCs w:val="20"/>
          <w:u w:val="single" w:color="auto"/>
          <w:color w:val="auto"/>
        </w:rPr>
        <w:t>No Material Adverse Change</w:t>
      </w:r>
      <w:r>
        <w:rPr>
          <w:rFonts w:ascii="Times New Roman" w:cs="Times New Roman" w:eastAsia="Times New Roman" w:hAnsi="Times New Roman"/>
          <w:sz w:val="20"/>
          <w:szCs w:val="20"/>
          <w:color w:val="auto"/>
        </w:rPr>
        <w:t>. Since December 31, 2020, there has been no material adverse change in the properties, business, operations, or financial condition of the Consolidated Companies and no event has occurred or condition arisen, either individually or in the aggregate, that could reasonably be expected to have a Material Adverse Effect.</w:t>
      </w:r>
    </w:p>
    <w:p>
      <w:pPr>
        <w:spacing w:after="0" w:line="17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 xml:space="preserve">SECTION 7.17 </w:t>
      </w:r>
      <w:r>
        <w:rPr>
          <w:rFonts w:ascii="Times New Roman" w:cs="Times New Roman" w:eastAsia="Times New Roman" w:hAnsi="Times New Roman"/>
          <w:sz w:val="20"/>
          <w:szCs w:val="20"/>
          <w:u w:val="single" w:color="auto"/>
          <w:color w:val="auto"/>
        </w:rPr>
        <w:t>Solvency</w:t>
      </w:r>
      <w:r>
        <w:rPr>
          <w:rFonts w:ascii="Times New Roman" w:cs="Times New Roman" w:eastAsia="Times New Roman" w:hAnsi="Times New Roman"/>
          <w:sz w:val="20"/>
          <w:szCs w:val="20"/>
          <w:color w:val="auto"/>
        </w:rPr>
        <w:t>. The Borrowers and their respective Subsidiaries, on a Consolidated basis, are Solvent.</w:t>
      </w:r>
    </w:p>
    <w:p>
      <w:pPr>
        <w:spacing w:after="0" w:line="225" w:lineRule="exact"/>
        <w:rPr>
          <w:sz w:val="20"/>
          <w:szCs w:val="20"/>
          <w:color w:val="auto"/>
        </w:rPr>
      </w:pPr>
    </w:p>
    <w:p>
      <w:pPr>
        <w:jc w:val="both"/>
        <w:ind w:left="680" w:right="60" w:firstLine="642"/>
        <w:spacing w:after="0" w:line="255" w:lineRule="auto"/>
        <w:rPr>
          <w:sz w:val="20"/>
          <w:szCs w:val="20"/>
          <w:color w:val="auto"/>
        </w:rPr>
      </w:pPr>
      <w:r>
        <w:rPr>
          <w:rFonts w:ascii="Times New Roman" w:cs="Times New Roman" w:eastAsia="Times New Roman" w:hAnsi="Times New Roman"/>
          <w:sz w:val="20"/>
          <w:szCs w:val="20"/>
          <w:color w:val="auto"/>
        </w:rPr>
        <w:t xml:space="preserve">SECTION 7.18 </w:t>
      </w:r>
      <w:r>
        <w:rPr>
          <w:rFonts w:ascii="Times New Roman" w:cs="Times New Roman" w:eastAsia="Times New Roman" w:hAnsi="Times New Roman"/>
          <w:sz w:val="20"/>
          <w:szCs w:val="20"/>
          <w:u w:val="single" w:color="auto"/>
          <w:color w:val="auto"/>
        </w:rPr>
        <w:t>Title to Properties</w:t>
      </w:r>
      <w:r>
        <w:rPr>
          <w:rFonts w:ascii="Times New Roman" w:cs="Times New Roman" w:eastAsia="Times New Roman" w:hAnsi="Times New Roman"/>
          <w:sz w:val="20"/>
          <w:szCs w:val="20"/>
          <w:color w:val="auto"/>
        </w:rPr>
        <w:t xml:space="preserve">. As of the Closing Date, the real property listed on </w:t>
      </w:r>
      <w:r>
        <w:rPr>
          <w:rFonts w:ascii="Times New Roman" w:cs="Times New Roman" w:eastAsia="Times New Roman" w:hAnsi="Times New Roman"/>
          <w:sz w:val="20"/>
          <w:szCs w:val="20"/>
          <w:u w:val="single" w:color="auto"/>
          <w:color w:val="auto"/>
        </w:rPr>
        <w:t>Schedule 7.18</w:t>
      </w:r>
      <w:r>
        <w:rPr>
          <w:rFonts w:ascii="Times New Roman" w:cs="Times New Roman" w:eastAsia="Times New Roman" w:hAnsi="Times New Roman"/>
          <w:sz w:val="20"/>
          <w:szCs w:val="20"/>
          <w:color w:val="auto"/>
        </w:rPr>
        <w:t xml:space="preserve"> constitutes all of the real property that is owned, leased, or subleased by any Credit Party or any of its Subsidiaries. Each Credit Party and each Subsidiary thereof has such title to the real property owned or leased by it as is necessary or desirable to the conduct of its business and valid and legal title to all of its personal property and assets, except those which have been disposed of by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512">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197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20"/>
          </w:cols>
          <w:pgMar w:left="320" w:top="1440" w:right="459" w:bottom="1440" w:gutter="0" w:footer="0" w:header="0"/>
        </w:sectPr>
      </w:pPr>
    </w:p>
    <w:bookmarkStart w:id="346" w:name="page347"/>
    <w:bookmarkEnd w:id="346"/>
    <w:p>
      <w:pPr>
        <w:spacing w:after="0" w:line="201" w:lineRule="exact"/>
        <w:rPr>
          <w:sz w:val="20"/>
          <w:szCs w:val="20"/>
          <w:color w:val="auto"/>
        </w:rPr>
      </w:pPr>
    </w:p>
    <w:p>
      <w:pPr>
        <w:ind w:left="680" w:right="600"/>
        <w:spacing w:after="0" w:line="263" w:lineRule="auto"/>
        <w:rPr>
          <w:sz w:val="20"/>
          <w:szCs w:val="20"/>
          <w:color w:val="auto"/>
        </w:rPr>
      </w:pPr>
      <w:r>
        <w:rPr>
          <w:rFonts w:ascii="Times New Roman" w:cs="Times New Roman" w:eastAsia="Times New Roman" w:hAnsi="Times New Roman"/>
          <w:sz w:val="20"/>
          <w:szCs w:val="20"/>
          <w:color w:val="auto"/>
        </w:rPr>
        <w:t>Credit Party or such Subsidiary subsequent to such date which dispositions have been in the ordinary course of business or as otherwise expressly permitted hereunder.</w:t>
      </w:r>
    </w:p>
    <w:p>
      <w:pPr>
        <w:spacing w:after="0" w:line="178" w:lineRule="exact"/>
        <w:rPr>
          <w:sz w:val="20"/>
          <w:szCs w:val="20"/>
          <w:color w:val="auto"/>
        </w:rPr>
      </w:pPr>
    </w:p>
    <w:p>
      <w:pPr>
        <w:jc w:val="both"/>
        <w:ind w:left="680" w:right="60" w:firstLine="642"/>
        <w:spacing w:after="0" w:line="250" w:lineRule="auto"/>
        <w:rPr>
          <w:sz w:val="20"/>
          <w:szCs w:val="20"/>
          <w:color w:val="auto"/>
        </w:rPr>
      </w:pPr>
      <w:r>
        <w:rPr>
          <w:rFonts w:ascii="Times New Roman" w:cs="Times New Roman" w:eastAsia="Times New Roman" w:hAnsi="Times New Roman"/>
          <w:sz w:val="20"/>
          <w:szCs w:val="20"/>
          <w:color w:val="auto"/>
        </w:rPr>
        <w:t xml:space="preserve">SECTION 7.19 </w:t>
      </w:r>
      <w:r>
        <w:rPr>
          <w:rFonts w:ascii="Times New Roman" w:cs="Times New Roman" w:eastAsia="Times New Roman" w:hAnsi="Times New Roman"/>
          <w:sz w:val="20"/>
          <w:szCs w:val="20"/>
          <w:u w:val="single" w:color="auto"/>
          <w:color w:val="auto"/>
        </w:rPr>
        <w:t>Litigation</w:t>
      </w:r>
      <w:r>
        <w:rPr>
          <w:rFonts w:ascii="Times New Roman" w:cs="Times New Roman" w:eastAsia="Times New Roman" w:hAnsi="Times New Roman"/>
          <w:sz w:val="20"/>
          <w:szCs w:val="20"/>
          <w:color w:val="auto"/>
        </w:rPr>
        <w:t>. There are no actions, suits or proceedings pending nor, to the knowledge of any Borrower, threatened in writing against or in any other way relating adversely to or affecting any Credit Party or any Subsidiary thereof or any of their respective properties in any court or before any arbitrator of any kind or before or by any Governmental Authority that could reasonably be expected to have a Material Adverse Effect.</w:t>
      </w:r>
    </w:p>
    <w:p>
      <w:pPr>
        <w:spacing w:after="0" w:line="192" w:lineRule="exact"/>
        <w:rPr>
          <w:sz w:val="20"/>
          <w:szCs w:val="20"/>
          <w:color w:val="auto"/>
        </w:rPr>
      </w:pPr>
    </w:p>
    <w:p>
      <w:pPr>
        <w:ind w:left="1320"/>
        <w:spacing w:after="0"/>
        <w:tabs>
          <w:tab w:leader="none" w:pos="2720" w:val="left"/>
        </w:tabs>
        <w:rPr>
          <w:sz w:val="20"/>
          <w:szCs w:val="20"/>
          <w:color w:val="auto"/>
        </w:rPr>
      </w:pPr>
      <w:r>
        <w:rPr>
          <w:rFonts w:ascii="Times New Roman" w:cs="Times New Roman" w:eastAsia="Times New Roman" w:hAnsi="Times New Roman"/>
          <w:sz w:val="20"/>
          <w:szCs w:val="20"/>
          <w:color w:val="auto"/>
        </w:rPr>
        <w:t>SECTION 7.20</w:t>
      </w:r>
      <w:r>
        <w:rPr>
          <w:sz w:val="20"/>
          <w:szCs w:val="20"/>
          <w:color w:val="auto"/>
        </w:rPr>
        <w:tab/>
      </w:r>
      <w:r>
        <w:rPr>
          <w:rFonts w:ascii="Times New Roman" w:cs="Times New Roman" w:eastAsia="Times New Roman" w:hAnsi="Times New Roman"/>
          <w:sz w:val="19"/>
          <w:szCs w:val="19"/>
          <w:u w:val="single" w:color="auto"/>
          <w:color w:val="auto"/>
        </w:rPr>
        <w:t>Anti-Corruption Laws and Sanctions</w:t>
      </w:r>
      <w:r>
        <w:rPr>
          <w:rFonts w:ascii="Times New Roman" w:cs="Times New Roman" w:eastAsia="Times New Roman" w:hAnsi="Times New Roman"/>
          <w:sz w:val="19"/>
          <w:szCs w:val="19"/>
          <w:color w:val="auto"/>
        </w:rPr>
        <w:t>.</w:t>
      </w:r>
    </w:p>
    <w:p>
      <w:pPr>
        <w:spacing w:after="0" w:line="211" w:lineRule="exact"/>
        <w:rPr>
          <w:sz w:val="20"/>
          <w:szCs w:val="20"/>
          <w:color w:val="auto"/>
        </w:rPr>
      </w:pPr>
    </w:p>
    <w:p>
      <w:pPr>
        <w:jc w:val="both"/>
        <w:ind w:left="680" w:right="20" w:firstLine="646"/>
        <w:spacing w:after="0" w:line="249" w:lineRule="auto"/>
        <w:tabs>
          <w:tab w:leader="none" w:pos="1927"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(i) the Borrowers, any Subsidiary of any Borrower or, to the knowledge of any Borrower or any such Subsidiary, any of their respective directors, officers or employees, or (ii) to the knowledge of any Borrower, any agent of any Borrower or any Subsidiary of any Borrower that will act in any capacity in connection with or benefit from the credit facilities established hereby, (A) is a Sanctioned Person or currently the subject or target of any Sanctions, (B) is controlled by or is acting on behalf of a Sanctioned Person, (C) has its assets located in a Sanctioned Country, (D) is under administrative, civil or criminal investigation for an alleged violation of, or received notice from or made a voluntary disclosure to any governmental entity regarding a possible violation of, Anti-Corruption Laws, Anti-Money Laundering Laws or Sanctions by a governmental authority that enforces Sanctions or any Anti-Corruption Laws or Anti-Money Laundering Laws, or (E) directly or indirectly derives revenues from investments in, or transactions with, Sanctioned Persons.</w:t>
      </w:r>
    </w:p>
    <w:p>
      <w:pPr>
        <w:spacing w:after="0" w:line="179" w:lineRule="exact"/>
        <w:rPr>
          <w:rFonts w:ascii="Times New Roman" w:cs="Times New Roman" w:eastAsia="Times New Roman" w:hAnsi="Times New Roman"/>
          <w:sz w:val="20"/>
          <w:szCs w:val="20"/>
          <w:color w:val="auto"/>
        </w:rPr>
      </w:pPr>
    </w:p>
    <w:p>
      <w:pPr>
        <w:jc w:val="both"/>
        <w:ind w:left="680" w:right="40" w:firstLine="646"/>
        <w:spacing w:after="0" w:line="257" w:lineRule="auto"/>
        <w:tabs>
          <w:tab w:leader="none" w:pos="1925"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 and its Subsidiaries has implemented and maintains in effect policies and procedures designed to ensure compliance by such Borrower and its Subsidiaries and their respective directors, officers, employees, agents and Controlled Affiliates with all Anti-Corruption Laws, Anti-Money Laundering Laws and applicable Sanctions.</w:t>
      </w:r>
    </w:p>
    <w:p>
      <w:pPr>
        <w:spacing w:after="0" w:line="170" w:lineRule="exact"/>
        <w:rPr>
          <w:rFonts w:ascii="Times New Roman" w:cs="Times New Roman" w:eastAsia="Times New Roman" w:hAnsi="Times New Roman"/>
          <w:sz w:val="20"/>
          <w:szCs w:val="20"/>
          <w:color w:val="auto"/>
        </w:rPr>
      </w:pPr>
    </w:p>
    <w:p>
      <w:pPr>
        <w:jc w:val="both"/>
        <w:ind w:left="680" w:right="20" w:firstLine="646"/>
        <w:spacing w:after="0" w:line="264" w:lineRule="auto"/>
        <w:tabs>
          <w:tab w:leader="none" w:pos="1927"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 and its Subsidiaries, each director, officer, and to the knowledge of such Borrower, employee, agent and Affiliate of such Borrower and each such Subsidiary, is in compliance with all Anti-Corruption Laws, Anti-Money Laundering Laws in all material respects and applicable Sanctions.</w:t>
      </w:r>
    </w:p>
    <w:p>
      <w:pPr>
        <w:spacing w:after="0" w:line="163" w:lineRule="exact"/>
        <w:rPr>
          <w:rFonts w:ascii="Times New Roman" w:cs="Times New Roman" w:eastAsia="Times New Roman" w:hAnsi="Times New Roman"/>
          <w:sz w:val="20"/>
          <w:szCs w:val="20"/>
          <w:color w:val="auto"/>
        </w:rPr>
      </w:pPr>
    </w:p>
    <w:p>
      <w:pPr>
        <w:ind w:left="680" w:right="60" w:firstLine="646"/>
        <w:spacing w:after="0" w:line="263" w:lineRule="auto"/>
        <w:tabs>
          <w:tab w:leader="none" w:pos="1925"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proceeds of any Extension of Credit have been used, directly or indirectly, by any Borrower, any of its Subsidiaries or any of its or their respective directors, officers, employees and agents in violation of </w:t>
      </w:r>
      <w:r>
        <w:rPr>
          <w:rFonts w:ascii="Times New Roman" w:cs="Times New Roman" w:eastAsia="Times New Roman" w:hAnsi="Times New Roman"/>
          <w:sz w:val="20"/>
          <w:szCs w:val="20"/>
          <w:u w:val="single" w:color="auto"/>
          <w:color w:val="auto"/>
        </w:rPr>
        <w:t>Section 8.15</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jc w:val="both"/>
        <w:ind w:left="680" w:right="40" w:firstLine="642"/>
        <w:spacing w:after="0" w:line="248" w:lineRule="auto"/>
        <w:rPr>
          <w:sz w:val="20"/>
          <w:szCs w:val="20"/>
          <w:color w:val="auto"/>
        </w:rPr>
      </w:pPr>
      <w:r>
        <w:rPr>
          <w:rFonts w:ascii="Times New Roman" w:cs="Times New Roman" w:eastAsia="Times New Roman" w:hAnsi="Times New Roman"/>
          <w:sz w:val="20"/>
          <w:szCs w:val="20"/>
          <w:color w:val="auto"/>
        </w:rPr>
        <w:t xml:space="preserve">SECTION 7.21 </w:t>
      </w:r>
      <w:r>
        <w:rPr>
          <w:rFonts w:ascii="Times New Roman" w:cs="Times New Roman" w:eastAsia="Times New Roman" w:hAnsi="Times New Roman"/>
          <w:sz w:val="20"/>
          <w:szCs w:val="20"/>
          <w:u w:val="single" w:color="auto"/>
          <w:color w:val="auto"/>
        </w:rPr>
        <w:t>Absence of Defaults</w:t>
      </w:r>
      <w:r>
        <w:rPr>
          <w:rFonts w:ascii="Times New Roman" w:cs="Times New Roman" w:eastAsia="Times New Roman" w:hAnsi="Times New Roman"/>
          <w:sz w:val="20"/>
          <w:szCs w:val="20"/>
          <w:color w:val="auto"/>
        </w:rPr>
        <w:t>. No event has occurred or is continuing (a) which constitutes a Default or an Event of Default, or (b) which constitutes, or which with the passage of time or giving of notice or both would constitute, a default or event of default by any Credit Party or any Subsidiary thereof under any judgment, decree or order to which any Credit Party or any Subsidiary thereof is a party or by which any Credit Party or any Subsidiary thereof or any of their respective properties may be bound or which would require any Credit Party or any Subsidiary thereof to make any payment thereunder prior to the scheduled maturity date therefor that, in any case under this clause (b), could, either individually or in the aggregate, reasonably be expected to have a Material Adverse Effect.</w:t>
      </w:r>
    </w:p>
    <w:p>
      <w:pPr>
        <w:spacing w:after="0" w:line="195" w:lineRule="exact"/>
        <w:rPr>
          <w:sz w:val="20"/>
          <w:szCs w:val="20"/>
          <w:color w:val="auto"/>
        </w:rPr>
      </w:pPr>
    </w:p>
    <w:p>
      <w:pPr>
        <w:jc w:val="both"/>
        <w:ind w:left="680" w:firstLine="642"/>
        <w:spacing w:after="0" w:line="257" w:lineRule="auto"/>
        <w:rPr>
          <w:sz w:val="20"/>
          <w:szCs w:val="20"/>
          <w:color w:val="auto"/>
        </w:rPr>
      </w:pPr>
      <w:r>
        <w:rPr>
          <w:rFonts w:ascii="Times New Roman" w:cs="Times New Roman" w:eastAsia="Times New Roman" w:hAnsi="Times New Roman"/>
          <w:sz w:val="20"/>
          <w:szCs w:val="20"/>
          <w:color w:val="auto"/>
        </w:rPr>
        <w:t xml:space="preserve">SECTION 7.22 </w:t>
      </w:r>
      <w:r>
        <w:rPr>
          <w:rFonts w:ascii="Times New Roman" w:cs="Times New Roman" w:eastAsia="Times New Roman" w:hAnsi="Times New Roman"/>
          <w:sz w:val="20"/>
          <w:szCs w:val="20"/>
          <w:u w:val="single" w:color="auto"/>
          <w:color w:val="auto"/>
        </w:rPr>
        <w:t>Senior Indebtedness Status</w:t>
      </w:r>
      <w:r>
        <w:rPr>
          <w:rFonts w:ascii="Times New Roman" w:cs="Times New Roman" w:eastAsia="Times New Roman" w:hAnsi="Times New Roman"/>
          <w:sz w:val="20"/>
          <w:szCs w:val="20"/>
          <w:color w:val="auto"/>
        </w:rPr>
        <w:t>. The Obligations of each Credit Party and each Subsidiary thereof under this Agreement and each of the other Loan Documents ranks and shall continue to rank at least senior in priority of payment to all Subordinated Indebtedness and pari passu in priority of</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513">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198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20"/>
          </w:cols>
          <w:pgMar w:left="320" w:top="1440" w:right="459" w:bottom="1440" w:gutter="0" w:footer="0" w:header="0"/>
        </w:sectPr>
      </w:pPr>
    </w:p>
    <w:bookmarkStart w:id="347" w:name="page348"/>
    <w:bookmarkEnd w:id="347"/>
    <w:p>
      <w:pPr>
        <w:spacing w:after="0" w:line="94" w:lineRule="exact"/>
        <w:rPr>
          <w:sz w:val="20"/>
          <w:szCs w:val="20"/>
          <w:color w:val="auto"/>
        </w:rPr>
      </w:pPr>
    </w:p>
    <w:p>
      <w:pPr>
        <w:ind w:left="680"/>
        <w:spacing w:after="0" w:line="263" w:lineRule="auto"/>
        <w:rPr>
          <w:sz w:val="20"/>
          <w:szCs w:val="20"/>
          <w:color w:val="auto"/>
        </w:rPr>
      </w:pPr>
      <w:r>
        <w:rPr>
          <w:rFonts w:ascii="Times New Roman" w:cs="Times New Roman" w:eastAsia="Times New Roman" w:hAnsi="Times New Roman"/>
          <w:sz w:val="20"/>
          <w:szCs w:val="20"/>
          <w:color w:val="auto"/>
        </w:rPr>
        <w:t>payment with all senior unsecured Indebtedness of each such Person and, to the extent required to be so designated to constitute “Senior Indebtedness” (or the equivalent), has been so designated as “Senior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514">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199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348" w:name="page349"/>
    <w:bookmarkEnd w:id="348"/>
    <w:p>
      <w:pPr>
        <w:spacing w:after="0" w:line="201" w:lineRule="exact"/>
        <w:rPr>
          <w:sz w:val="20"/>
          <w:szCs w:val="20"/>
          <w:color w:val="auto"/>
        </w:rPr>
      </w:pPr>
    </w:p>
    <w:p>
      <w:pPr>
        <w:ind w:left="680" w:right="980"/>
        <w:spacing w:after="0" w:line="263" w:lineRule="auto"/>
        <w:rPr>
          <w:sz w:val="20"/>
          <w:szCs w:val="20"/>
          <w:color w:val="auto"/>
        </w:rPr>
      </w:pPr>
      <w:r>
        <w:rPr>
          <w:rFonts w:ascii="Times New Roman" w:cs="Times New Roman" w:eastAsia="Times New Roman" w:hAnsi="Times New Roman"/>
          <w:sz w:val="20"/>
          <w:szCs w:val="20"/>
          <w:color w:val="auto"/>
        </w:rPr>
        <w:t>Indebtedness” (or the equivalent) under all instruments and documents, now or in the future, relating to all Subordinated Indebtedness and all senior unsecured Indebtedness of such Person.</w:t>
      </w:r>
    </w:p>
    <w:p>
      <w:pPr>
        <w:spacing w:after="0" w:line="178" w:lineRule="exact"/>
        <w:rPr>
          <w:sz w:val="20"/>
          <w:szCs w:val="20"/>
          <w:color w:val="auto"/>
        </w:rPr>
      </w:pPr>
    </w:p>
    <w:p>
      <w:pPr>
        <w:jc w:val="both"/>
        <w:ind w:left="680" w:firstLine="642"/>
        <w:spacing w:after="0" w:line="261" w:lineRule="auto"/>
        <w:rPr>
          <w:sz w:val="20"/>
          <w:szCs w:val="20"/>
          <w:color w:val="auto"/>
        </w:rPr>
      </w:pPr>
      <w:r>
        <w:rPr>
          <w:rFonts w:ascii="Times New Roman" w:cs="Times New Roman" w:eastAsia="Times New Roman" w:hAnsi="Times New Roman"/>
          <w:sz w:val="19"/>
          <w:szCs w:val="19"/>
          <w:color w:val="auto"/>
        </w:rPr>
        <w:t xml:space="preserve">SECTION 7.23 </w:t>
      </w:r>
      <w:r>
        <w:rPr>
          <w:rFonts w:ascii="Times New Roman" w:cs="Times New Roman" w:eastAsia="Times New Roman" w:hAnsi="Times New Roman"/>
          <w:sz w:val="19"/>
          <w:szCs w:val="19"/>
          <w:u w:val="single" w:color="auto"/>
          <w:color w:val="auto"/>
        </w:rPr>
        <w:t>Disclosure</w:t>
      </w:r>
      <w:r>
        <w:rPr>
          <w:rFonts w:ascii="Times New Roman" w:cs="Times New Roman" w:eastAsia="Times New Roman" w:hAnsi="Times New Roman"/>
          <w:sz w:val="19"/>
          <w:szCs w:val="19"/>
          <w:color w:val="auto"/>
        </w:rPr>
        <w:t xml:space="preserve">. Each Credit Party and each Subsidiary thereof has disclosed to the Administrative Agent and the Lenders all agreements, instruments and corporate or other restrictions to which any Credit Party and any Subsidiary thereof are subject, and all other matters known to them, that, individually or in the aggregate, could reasonably be expected to result in a Material Adverse Effect. No financial statement, material report, material certificate or other material information furnished (whether in writing or orally) by or on behalf of any Credit Party or any Subsidiary thereof to the Administrative Agent or any Lender in connection with the transactions contemplated hereby and the negotiation of this Agreement or delivered hereunder (as modified or supplemented by other information so furnished), taken together as a whole, contains any untrue statement of a material fact or omits to state any material fact necessary to make the statements therein, in the light of the circumstances under which they were made, not misleading;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with respect to projected financial information, pro forma financial information, estimated financial information and other projected or estimated information, such information was prepared in good faith based upon assumptions believed to be reasonable at the time (it being recognized by the Lenders that projections are not to be viewed as facts and that the actual results during the period or periods covered by such projections may vary from such projections). As of the Closing Date, all of the information included in the Beneficial Ownership Certification, if applicable, is true and correct.</w:t>
      </w:r>
    </w:p>
    <w:p>
      <w:pPr>
        <w:spacing w:after="0" w:line="161" w:lineRule="exact"/>
        <w:rPr>
          <w:sz w:val="20"/>
          <w:szCs w:val="20"/>
          <w:color w:val="auto"/>
        </w:rPr>
      </w:pPr>
    </w:p>
    <w:p>
      <w:pPr>
        <w:jc w:val="both"/>
        <w:ind w:left="680" w:right="40" w:firstLine="642"/>
        <w:spacing w:after="0" w:line="257" w:lineRule="auto"/>
        <w:rPr>
          <w:sz w:val="20"/>
          <w:szCs w:val="20"/>
          <w:color w:val="auto"/>
        </w:rPr>
      </w:pPr>
      <w:r>
        <w:rPr>
          <w:rFonts w:ascii="Times New Roman" w:cs="Times New Roman" w:eastAsia="Times New Roman" w:hAnsi="Times New Roman"/>
          <w:sz w:val="20"/>
          <w:szCs w:val="20"/>
          <w:color w:val="auto"/>
        </w:rPr>
        <w:t xml:space="preserve">SECTION 7.24 </w:t>
      </w: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The Credit Parties and their Subsidiaries are insured by financially sound and reputable insurance companies against at least such risks and in at least such amounts as are customarily maintained by similar businesses and as may be required by Applicable Law (including, without limitation, hazard and business interruption insurance).</w:t>
      </w:r>
    </w:p>
    <w:p>
      <w:pPr>
        <w:spacing w:after="0" w:line="291"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20"/>
          <w:szCs w:val="20"/>
          <w:color w:val="auto"/>
        </w:rPr>
        <w:t>ARTICLE VIII AFFIRMATIVE COVENANTS</w:t>
      </w:r>
    </w:p>
    <w:p>
      <w:pPr>
        <w:spacing w:after="0" w:line="118" w:lineRule="exact"/>
        <w:rPr>
          <w:sz w:val="20"/>
          <w:szCs w:val="20"/>
          <w:color w:val="auto"/>
        </w:rPr>
      </w:pPr>
    </w:p>
    <w:p>
      <w:pPr>
        <w:jc w:val="both"/>
        <w:ind w:left="680" w:firstLine="642"/>
        <w:spacing w:after="0" w:line="257" w:lineRule="auto"/>
        <w:rPr>
          <w:sz w:val="20"/>
          <w:szCs w:val="20"/>
          <w:color w:val="auto"/>
        </w:rPr>
      </w:pPr>
      <w:r>
        <w:rPr>
          <w:rFonts w:ascii="Times New Roman" w:cs="Times New Roman" w:eastAsia="Times New Roman" w:hAnsi="Times New Roman"/>
          <w:sz w:val="20"/>
          <w:szCs w:val="20"/>
          <w:color w:val="auto"/>
        </w:rPr>
        <w:t>Until all of the Obligations (other than contingent indemnification obligations not then due) have been paid and satisfied in full in cash, all Letters of Credit have been terminated or expired (or been Cash Collateralized) and the Commitments terminated, each Credit Party will, and will cause each of its Subsidiaries to:</w:t>
      </w:r>
    </w:p>
    <w:p>
      <w:pPr>
        <w:spacing w:after="0" w:line="157" w:lineRule="exact"/>
        <w:rPr>
          <w:sz w:val="20"/>
          <w:szCs w:val="20"/>
          <w:color w:val="auto"/>
        </w:rPr>
      </w:pPr>
    </w:p>
    <w:p>
      <w:pPr>
        <w:jc w:val="both"/>
        <w:ind w:left="680" w:right="40" w:firstLine="642"/>
        <w:spacing w:after="0" w:line="264" w:lineRule="auto"/>
        <w:rPr>
          <w:sz w:val="20"/>
          <w:szCs w:val="20"/>
          <w:color w:val="auto"/>
        </w:rPr>
      </w:pPr>
      <w:r>
        <w:rPr>
          <w:rFonts w:ascii="Times New Roman" w:cs="Times New Roman" w:eastAsia="Times New Roman" w:hAnsi="Times New Roman"/>
          <w:sz w:val="20"/>
          <w:szCs w:val="20"/>
          <w:color w:val="auto"/>
        </w:rPr>
        <w:t xml:space="preserve">SECTION 8.1 </w:t>
      </w:r>
      <w:r>
        <w:rPr>
          <w:rFonts w:ascii="Times New Roman" w:cs="Times New Roman" w:eastAsia="Times New Roman" w:hAnsi="Times New Roman"/>
          <w:sz w:val="20"/>
          <w:szCs w:val="20"/>
          <w:u w:val="single" w:color="auto"/>
          <w:color w:val="auto"/>
        </w:rPr>
        <w:t>Financial Statements and Budgets</w:t>
      </w:r>
      <w:r>
        <w:rPr>
          <w:rFonts w:ascii="Times New Roman" w:cs="Times New Roman" w:eastAsia="Times New Roman" w:hAnsi="Times New Roman"/>
          <w:sz w:val="20"/>
          <w:szCs w:val="20"/>
          <w:color w:val="auto"/>
        </w:rPr>
        <w:t>. Deliver to the Administrative Agent, in form and detail satisfactory to the Administrative Agent (which shall promptly make such information available to the Lenders in accordance with its customary practice):</w:t>
      </w:r>
    </w:p>
    <w:p>
      <w:pPr>
        <w:spacing w:after="0" w:line="164" w:lineRule="exact"/>
        <w:rPr>
          <w:sz w:val="20"/>
          <w:szCs w:val="20"/>
          <w:color w:val="auto"/>
        </w:rPr>
      </w:pPr>
    </w:p>
    <w:p>
      <w:pPr>
        <w:jc w:val="both"/>
        <w:ind w:left="680" w:firstLine="646"/>
        <w:spacing w:after="0" w:line="263" w:lineRule="auto"/>
        <w:tabs>
          <w:tab w:leader="none" w:pos="1927" w:val="left"/>
        </w:tabs>
        <w:numPr>
          <w:ilvl w:val="0"/>
          <w:numId w:val="2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Annual Financial Statements</w:t>
      </w:r>
      <w:r>
        <w:rPr>
          <w:rFonts w:ascii="Times New Roman" w:cs="Times New Roman" w:eastAsia="Times New Roman" w:hAnsi="Times New Roman"/>
          <w:sz w:val="19"/>
          <w:szCs w:val="19"/>
          <w:color w:val="auto"/>
        </w:rPr>
        <w:t>. As soon as practicable and in any event within ninety (90) days (or, if earlier, on the date of any required public filing thereof) after the end of each Fiscal Year (commencing with the Fiscal Year ending December 31, 2021), an audited Consolidated balance sheet of the Consolidated Companies as of the close of such Fiscal Year and audited Consolidated statements of income, retained earnings and cash flows including the notes thereto and a report containing management’s discussion and analysis of such financial statements, all in reasonable detail setting forth in comparative form the corresponding figures as of the end of and for the preceding Fiscal Year and prepared in accordance with GAAP and, if applicable, containing disclosure of the effect on the financial position or results of operations of any change in the application of accounting principles and practices during the year. Such annual financial statements shall be audited by an independent certified public</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515">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200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349" w:name="page350"/>
    <w:bookmarkEnd w:id="349"/>
    <w:p>
      <w:pPr>
        <w:spacing w:after="0" w:line="94" w:lineRule="exact"/>
        <w:rPr>
          <w:sz w:val="20"/>
          <w:szCs w:val="20"/>
          <w:color w:val="auto"/>
        </w:rPr>
      </w:pPr>
    </w:p>
    <w:p>
      <w:pPr>
        <w:ind w:left="680"/>
        <w:spacing w:after="0" w:line="277" w:lineRule="auto"/>
        <w:rPr>
          <w:sz w:val="20"/>
          <w:szCs w:val="20"/>
          <w:color w:val="auto"/>
        </w:rPr>
      </w:pPr>
      <w:r>
        <w:rPr>
          <w:rFonts w:ascii="Times New Roman" w:cs="Times New Roman" w:eastAsia="Times New Roman" w:hAnsi="Times New Roman"/>
          <w:sz w:val="20"/>
          <w:szCs w:val="20"/>
          <w:color w:val="auto"/>
        </w:rPr>
        <w:t>accounting firm of recognized national standing acceptable to the Administrative Agent, and accompanied by a report and opinion thereon by such certified public accountants prepared in accordance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516">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201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350" w:name="page351"/>
    <w:bookmarkEnd w:id="350"/>
    <w:p>
      <w:pPr>
        <w:spacing w:after="0" w:line="201" w:lineRule="exact"/>
        <w:rPr>
          <w:sz w:val="20"/>
          <w:szCs w:val="20"/>
          <w:color w:val="auto"/>
        </w:rPr>
      </w:pPr>
    </w:p>
    <w:p>
      <w:pPr>
        <w:jc w:val="both"/>
        <w:ind w:left="680" w:right="40"/>
        <w:spacing w:after="0" w:line="257" w:lineRule="auto"/>
        <w:rPr>
          <w:sz w:val="20"/>
          <w:szCs w:val="20"/>
          <w:color w:val="auto"/>
        </w:rPr>
      </w:pPr>
      <w:r>
        <w:rPr>
          <w:rFonts w:ascii="Times New Roman" w:cs="Times New Roman" w:eastAsia="Times New Roman" w:hAnsi="Times New Roman"/>
          <w:sz w:val="20"/>
          <w:szCs w:val="20"/>
          <w:color w:val="auto"/>
        </w:rPr>
        <w:t>with generally accepted auditing standards that is not subject to any “going concern” or similar qualification or exception or any qualification as to the scope of such audit or with respect to accounting principles followed by the Consolidated Companies not in accordance with GAAP.</w:t>
      </w:r>
    </w:p>
    <w:p>
      <w:pPr>
        <w:spacing w:after="0" w:line="171" w:lineRule="exact"/>
        <w:rPr>
          <w:sz w:val="20"/>
          <w:szCs w:val="20"/>
          <w:color w:val="auto"/>
        </w:rPr>
      </w:pPr>
    </w:p>
    <w:p>
      <w:pPr>
        <w:jc w:val="both"/>
        <w:ind w:left="680" w:firstLine="646"/>
        <w:spacing w:after="0" w:line="248" w:lineRule="auto"/>
        <w:tabs>
          <w:tab w:leader="none" w:pos="1925"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Quarterly Financial Statements</w:t>
      </w:r>
      <w:r>
        <w:rPr>
          <w:rFonts w:ascii="Times New Roman" w:cs="Times New Roman" w:eastAsia="Times New Roman" w:hAnsi="Times New Roman"/>
          <w:sz w:val="20"/>
          <w:szCs w:val="20"/>
          <w:color w:val="auto"/>
        </w:rPr>
        <w:t>. As soon as practicable and in any event within forty-five (45) days (or, if earlier, on the date of any required public filing thereof) after the end of the first three fiscal quarters of each Fiscal Year (commencing with the fiscal quarter ended September 30, 2021), an unaudited Consolidated balance sheet of the Consolidated Companies as of the close of such fiscal quarter and unaudited Consolidated statements of income, retained earnings and cash flows and a report containing management’s discussion and analysis of such financial statements for the fiscal quarter then ended and that portion of the Fiscal Year then ended, including the notes thereto, all in reasonable detail setting forth in comparative form the corresponding figures as of the end of and for the corresponding period in the preceding Fiscal Year and prepared by Centuri in accordance with GAAP and, if applicable, containing disclosure of the effect on the financial position or results of operations of any change in the application of accounting principles and practices during the period, and certified by the chief financial officer of Centuri to present fairly in all material respects the financial condition of the Consolidated Companies on a Consolidated basis as of their respective dates and the results of operations of the Consolidated Companies for the respective periods then ended, subject to normal year-end adjustments and the absence of footnotes.</w:t>
      </w:r>
    </w:p>
    <w:p>
      <w:pPr>
        <w:spacing w:after="0" w:line="170" w:lineRule="exact"/>
        <w:rPr>
          <w:rFonts w:ascii="Times New Roman" w:cs="Times New Roman" w:eastAsia="Times New Roman" w:hAnsi="Times New Roman"/>
          <w:sz w:val="20"/>
          <w:szCs w:val="20"/>
          <w:color w:val="auto"/>
        </w:rPr>
      </w:pPr>
    </w:p>
    <w:p>
      <w:pPr>
        <w:jc w:val="both"/>
        <w:ind w:left="680" w:right="20" w:firstLine="646"/>
        <w:spacing w:after="0" w:line="249" w:lineRule="auto"/>
        <w:tabs>
          <w:tab w:leader="none" w:pos="1927"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Budget</w:t>
      </w:r>
      <w:r>
        <w:rPr>
          <w:rFonts w:ascii="Times New Roman" w:cs="Times New Roman" w:eastAsia="Times New Roman" w:hAnsi="Times New Roman"/>
          <w:sz w:val="20"/>
          <w:szCs w:val="20"/>
          <w:color w:val="auto"/>
        </w:rPr>
        <w:t xml:space="preserve">. As soon as practicable and in any event within sixty (60) days after the end of each Fiscal Year (commencing with the Fiscal Year ending December 31, 2021), an operating and capital budget of the Consolidated Companies for the ensuing four (4) fiscal quarters, such budget to be prepared in accordance with GAAP and to include, on a quarterly basis, the following: a quarterly operating and capital budget, a projected income statement, statement of cash flows and balance sheet, calculations demonstrating projected compliance with the financial covenants set forth in </w:t>
      </w:r>
      <w:r>
        <w:rPr>
          <w:rFonts w:ascii="Times New Roman" w:cs="Times New Roman" w:eastAsia="Times New Roman" w:hAnsi="Times New Roman"/>
          <w:sz w:val="20"/>
          <w:szCs w:val="20"/>
          <w:u w:val="single" w:color="auto"/>
          <w:color w:val="auto"/>
        </w:rPr>
        <w:t>Section 9.13</w:t>
      </w:r>
      <w:r>
        <w:rPr>
          <w:rFonts w:ascii="Times New Roman" w:cs="Times New Roman" w:eastAsia="Times New Roman" w:hAnsi="Times New Roman"/>
          <w:sz w:val="20"/>
          <w:szCs w:val="20"/>
          <w:color w:val="auto"/>
        </w:rPr>
        <w:t xml:space="preserve"> and a report containing management’s discussion and analysis of such budget with a reasonable disclosure of the key assumptions and drivers with respect to such budget, accompanied by a certificate from a Responsible Officer of Centuri to the effect that such budget contains good faith estimates (utilizing assumptions believed to be reasonable at the time of delivery of such budget) of the financial condition and operations of the Consolidated Companies for such period.</w:t>
      </w:r>
    </w:p>
    <w:p>
      <w:pPr>
        <w:spacing w:after="0" w:line="180" w:lineRule="exact"/>
        <w:rPr>
          <w:sz w:val="20"/>
          <w:szCs w:val="20"/>
          <w:color w:val="auto"/>
        </w:rPr>
      </w:pPr>
    </w:p>
    <w:p>
      <w:pPr>
        <w:ind w:left="680" w:right="40" w:firstLine="642"/>
        <w:spacing w:after="0" w:line="277" w:lineRule="auto"/>
        <w:rPr>
          <w:sz w:val="20"/>
          <w:szCs w:val="20"/>
          <w:color w:val="auto"/>
        </w:rPr>
      </w:pPr>
      <w:r>
        <w:rPr>
          <w:rFonts w:ascii="Times New Roman" w:cs="Times New Roman" w:eastAsia="Times New Roman" w:hAnsi="Times New Roman"/>
          <w:sz w:val="20"/>
          <w:szCs w:val="20"/>
          <w:color w:val="auto"/>
        </w:rPr>
        <w:t xml:space="preserve">SECTION 8.2 </w:t>
      </w:r>
      <w:r>
        <w:rPr>
          <w:rFonts w:ascii="Times New Roman" w:cs="Times New Roman" w:eastAsia="Times New Roman" w:hAnsi="Times New Roman"/>
          <w:sz w:val="20"/>
          <w:szCs w:val="20"/>
          <w:u w:val="single" w:color="auto"/>
          <w:color w:val="auto"/>
        </w:rPr>
        <w:t>Certificates; Other Reports</w:t>
      </w:r>
      <w:r>
        <w:rPr>
          <w:rFonts w:ascii="Times New Roman" w:cs="Times New Roman" w:eastAsia="Times New Roman" w:hAnsi="Times New Roman"/>
          <w:sz w:val="20"/>
          <w:szCs w:val="20"/>
          <w:color w:val="auto"/>
        </w:rPr>
        <w:t>. Deliver to the Administrative Agent (which shall promptly make such information available to the Lenders in accordance with its customary practice):</w:t>
      </w:r>
    </w:p>
    <w:p>
      <w:pPr>
        <w:spacing w:after="0" w:line="151" w:lineRule="exact"/>
        <w:rPr>
          <w:sz w:val="20"/>
          <w:szCs w:val="20"/>
          <w:color w:val="auto"/>
        </w:rPr>
      </w:pPr>
    </w:p>
    <w:p>
      <w:pPr>
        <w:jc w:val="both"/>
        <w:ind w:left="680" w:right="40" w:firstLine="646"/>
        <w:spacing w:after="0" w:line="248" w:lineRule="auto"/>
        <w:tabs>
          <w:tab w:leader="none" w:pos="1927"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each time financial statements are delivered pursuant to </w:t>
      </w:r>
      <w:r>
        <w:rPr>
          <w:rFonts w:ascii="Times New Roman" w:cs="Times New Roman" w:eastAsia="Times New Roman" w:hAnsi="Times New Roman"/>
          <w:sz w:val="20"/>
          <w:szCs w:val="20"/>
          <w:u w:val="single" w:color="auto"/>
          <w:color w:val="auto"/>
        </w:rPr>
        <w:t>Sections 8.1(a)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 at such other times as the Administrative Agent shall reasonably request, a duly completed Officer’s Compliance Certificate signed by the chief executive officer, chief financial officer, treasurer or controller of Centuri, which will include, as of the date of such financial statements, (i) calculations showing compliance with the financial covenants set forth in Section 9.13, (ii) determination of the “Applicable Margin”, (iii) calculations of Immaterial Subsidiaries and (iv) a reasonably detailed calculation of the Available Amount; and, if requested by the Administrative Agent, work-in-progress reports in a form consistent with that provided by Centuri in connection with the Existing Credit Agreement;</w:t>
      </w:r>
    </w:p>
    <w:p>
      <w:pPr>
        <w:spacing w:after="0" w:line="195" w:lineRule="exact"/>
        <w:rPr>
          <w:rFonts w:ascii="Times New Roman" w:cs="Times New Roman" w:eastAsia="Times New Roman" w:hAnsi="Times New Roman"/>
          <w:sz w:val="20"/>
          <w:szCs w:val="20"/>
          <w:color w:val="auto"/>
        </w:rPr>
      </w:pPr>
    </w:p>
    <w:p>
      <w:pPr>
        <w:ind w:left="1960" w:hanging="633"/>
        <w:spacing w:after="0"/>
        <w:tabs>
          <w:tab w:leader="none" w:pos="1960"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[intentionally omitted];</w:t>
      </w:r>
    </w:p>
    <w:p>
      <w:pPr>
        <w:spacing w:after="0" w:line="211" w:lineRule="exact"/>
        <w:rPr>
          <w:rFonts w:ascii="Times New Roman" w:cs="Times New Roman" w:eastAsia="Times New Roman" w:hAnsi="Times New Roman"/>
          <w:sz w:val="20"/>
          <w:szCs w:val="20"/>
          <w:color w:val="auto"/>
        </w:rPr>
      </w:pPr>
    </w:p>
    <w:p>
      <w:pPr>
        <w:ind w:left="680" w:right="20" w:firstLine="646"/>
        <w:spacing w:after="0" w:line="277" w:lineRule="auto"/>
        <w:tabs>
          <w:tab w:leader="none" w:pos="1927"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upon receipt thereof, copies of all reports, if any, submitted to any Credit Party, any Subsidiary thereof or any of their respective boards of directors by their respective 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517">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202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351" w:name="page352"/>
    <w:bookmarkEnd w:id="351"/>
    <w:p>
      <w:pPr>
        <w:spacing w:after="0" w:line="202" w:lineRule="exact"/>
        <w:rPr>
          <w:sz w:val="20"/>
          <w:szCs w:val="20"/>
          <w:color w:val="auto"/>
        </w:rPr>
      </w:pPr>
    </w:p>
    <w:p>
      <w:pPr>
        <w:ind w:left="680" w:right="40"/>
        <w:spacing w:after="0" w:line="263" w:lineRule="auto"/>
        <w:rPr>
          <w:sz w:val="20"/>
          <w:szCs w:val="20"/>
          <w:color w:val="auto"/>
        </w:rPr>
      </w:pPr>
      <w:r>
        <w:rPr>
          <w:rFonts w:ascii="Times New Roman" w:cs="Times New Roman" w:eastAsia="Times New Roman" w:hAnsi="Times New Roman"/>
          <w:sz w:val="20"/>
          <w:szCs w:val="20"/>
          <w:color w:val="auto"/>
        </w:rPr>
        <w:t>public accountants in connection with their auditing function, including, without limitation, any management report and any management responses thereto;</w:t>
      </w:r>
    </w:p>
    <w:p>
      <w:pPr>
        <w:spacing w:after="0" w:line="178" w:lineRule="exact"/>
        <w:rPr>
          <w:sz w:val="20"/>
          <w:szCs w:val="20"/>
          <w:color w:val="auto"/>
        </w:rPr>
      </w:pPr>
    </w:p>
    <w:p>
      <w:pPr>
        <w:ind w:left="1960" w:hanging="633"/>
        <w:spacing w:after="0"/>
        <w:tabs>
          <w:tab w:leader="none" w:pos="1960" w:val="left"/>
        </w:tabs>
        <w:numPr>
          <w:ilvl w:val="1"/>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[intentionally omitted];</w:t>
      </w:r>
    </w:p>
    <w:p>
      <w:pPr>
        <w:spacing w:after="0" w:line="211" w:lineRule="exact"/>
        <w:rPr>
          <w:rFonts w:ascii="Times New Roman" w:cs="Times New Roman" w:eastAsia="Times New Roman" w:hAnsi="Times New Roman"/>
          <w:sz w:val="20"/>
          <w:szCs w:val="20"/>
          <w:color w:val="auto"/>
        </w:rPr>
      </w:pPr>
    </w:p>
    <w:p>
      <w:pPr>
        <w:jc w:val="both"/>
        <w:ind w:left="680" w:right="40" w:firstLine="646"/>
        <w:spacing w:after="0" w:line="257" w:lineRule="auto"/>
        <w:tabs>
          <w:tab w:leader="none" w:pos="1927" w:val="left"/>
        </w:tabs>
        <w:numPr>
          <w:ilvl w:val="1"/>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the assertion or occurrence thereof, notice of any action or proceeding against or of any noncompliance by any Credit Party or any Subsidiary thereof with any Environmental Law that could reasonably be expected to have a Material Adverse Effect;</w:t>
      </w:r>
    </w:p>
    <w:p>
      <w:pPr>
        <w:spacing w:after="0" w:line="183" w:lineRule="exact"/>
        <w:rPr>
          <w:rFonts w:ascii="Times New Roman" w:cs="Times New Roman" w:eastAsia="Times New Roman" w:hAnsi="Times New Roman"/>
          <w:sz w:val="20"/>
          <w:szCs w:val="20"/>
          <w:color w:val="auto"/>
        </w:rPr>
      </w:pPr>
    </w:p>
    <w:p>
      <w:pPr>
        <w:ind w:left="1960" w:hanging="633"/>
        <w:spacing w:after="0"/>
        <w:tabs>
          <w:tab w:leader="none" w:pos="1960" w:val="left"/>
        </w:tabs>
        <w:numPr>
          <w:ilvl w:val="1"/>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[intentionally omitted];</w:t>
      </w:r>
    </w:p>
    <w:p>
      <w:pPr>
        <w:spacing w:after="0" w:line="211" w:lineRule="exact"/>
        <w:rPr>
          <w:rFonts w:ascii="Times New Roman" w:cs="Times New Roman" w:eastAsia="Times New Roman" w:hAnsi="Times New Roman"/>
          <w:sz w:val="20"/>
          <w:szCs w:val="20"/>
          <w:color w:val="auto"/>
        </w:rPr>
      </w:pPr>
    </w:p>
    <w:p>
      <w:pPr>
        <w:jc w:val="both"/>
        <w:ind w:left="680" w:right="20" w:firstLine="646"/>
        <w:spacing w:after="0" w:line="255" w:lineRule="auto"/>
        <w:tabs>
          <w:tab w:leader="none" w:pos="1925" w:val="left"/>
        </w:tabs>
        <w:numPr>
          <w:ilvl w:val="1"/>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and in any event within five (5) Business Days after receipt thereof by any Consolidated Company, copies of each notice or other correspondence received from the SEC (or comparable agency in any applicable non-U.S. jurisdiction) concerning any investigation or possible investigation or other inquiry by such agency regarding financial or other operational results of such Consolidated Company;</w:t>
      </w:r>
    </w:p>
    <w:p>
      <w:pPr>
        <w:spacing w:after="0" w:line="172" w:lineRule="exact"/>
        <w:rPr>
          <w:rFonts w:ascii="Times New Roman" w:cs="Times New Roman" w:eastAsia="Times New Roman" w:hAnsi="Times New Roman"/>
          <w:sz w:val="20"/>
          <w:szCs w:val="20"/>
          <w:color w:val="auto"/>
        </w:rPr>
      </w:pPr>
    </w:p>
    <w:p>
      <w:pPr>
        <w:jc w:val="both"/>
        <w:ind w:left="680" w:right="40" w:firstLine="646"/>
        <w:spacing w:after="0" w:line="255" w:lineRule="auto"/>
        <w:tabs>
          <w:tab w:leader="none" w:pos="1925" w:val="left"/>
        </w:tabs>
        <w:numPr>
          <w:ilvl w:val="1"/>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upon the request thereof, such other information and documentation required by bank regulatory authorities under applicable Anti-Money Laundering Laws (including, without limitation, any applicable “know your customer” rules and regulations, the PATRIOT Act and Canadian AML Laws), as from time to time reasonably requested by the Administrative Agent or any Lender;</w:t>
      </w:r>
    </w:p>
    <w:p>
      <w:pPr>
        <w:spacing w:after="0" w:line="172" w:lineRule="exact"/>
        <w:rPr>
          <w:rFonts w:ascii="Times New Roman" w:cs="Times New Roman" w:eastAsia="Times New Roman" w:hAnsi="Times New Roman"/>
          <w:sz w:val="20"/>
          <w:szCs w:val="20"/>
          <w:color w:val="auto"/>
        </w:rPr>
      </w:pPr>
    </w:p>
    <w:p>
      <w:pPr>
        <w:jc w:val="both"/>
        <w:ind w:left="680" w:right="40" w:firstLine="646"/>
        <w:spacing w:after="0" w:line="272" w:lineRule="auto"/>
        <w:tabs>
          <w:tab w:leader="none" w:pos="1921" w:val="left"/>
        </w:tabs>
        <w:numPr>
          <w:ilvl w:val="1"/>
          <w:numId w:val="2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(i) notice of the establishment, or intent to establish, a new Canadian Employee Benefit Plan that contains a defined benefit provision, or any change to an existing Canadian Employee Benefit Plan to include a defined benefit provision, or</w:t>
      </w:r>
    </w:p>
    <w:p>
      <w:pPr>
        <w:ind w:left="680" w:right="40" w:firstLine="4"/>
        <w:spacing w:after="0" w:line="248" w:lineRule="auto"/>
        <w:tabs>
          <w:tab w:leader="none" w:pos="975"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notice of the acquisition of an interest in any Person if such Person sponsors, administers, participates in, or has any liability in respect of any Canadian Employee Benefit Plan that contains a defined benefit provision;</w:t>
      </w:r>
    </w:p>
    <w:p>
      <w:pPr>
        <w:spacing w:after="0" w:line="179" w:lineRule="exact"/>
        <w:rPr>
          <w:rFonts w:ascii="Times New Roman" w:cs="Times New Roman" w:eastAsia="Times New Roman" w:hAnsi="Times New Roman"/>
          <w:sz w:val="20"/>
          <w:szCs w:val="20"/>
          <w:color w:val="auto"/>
        </w:rPr>
      </w:pPr>
    </w:p>
    <w:p>
      <w:pPr>
        <w:jc w:val="both"/>
        <w:ind w:left="680" w:right="20" w:firstLine="646"/>
        <w:spacing w:after="0" w:line="263" w:lineRule="auto"/>
        <w:tabs>
          <w:tab w:leader="none" w:pos="1921" w:val="left"/>
        </w:tabs>
        <w:numPr>
          <w:ilvl w:val="1"/>
          <w:numId w:val="2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(i) copies of all actuarial reports and any other material reports with respect to each Canadian Employee Benefit Plan as filed by a Credit Party with any applicable Governmental Authority, (ii) a current calculation of the Credit Parties’ aggregate Canadian Pension Plan Unfunded Liabilities pursuant to a valuation or report in a form and substance reasonably satisfactory to the Administrative Agent, when available on an annual basis or upon the reasonable request of the Administrative Agent (such additional request not to be made more than one time per calendar year), (iii) promptly after receipt thereof, a copy of any material direction, order, notice or ruling that any Credit Party receives from any applicable Governmental Authority with respect to any Canadian Employee Benefit Plan, (iv) notification within thirty (30) days of any increases having a cost to one or more of the Credit Parties in excess of the Threshold Amount per annum in the aggregate in the benefits of any Canadian Employee Benefit Plan, and (v) notification of the existence of any report which discloses a Canadian Pension Plan Unfunded Liability; and</w:t>
      </w:r>
    </w:p>
    <w:p>
      <w:pPr>
        <w:spacing w:after="0" w:line="172" w:lineRule="exact"/>
        <w:rPr>
          <w:rFonts w:ascii="Times New Roman" w:cs="Times New Roman" w:eastAsia="Times New Roman" w:hAnsi="Times New Roman"/>
          <w:sz w:val="19"/>
          <w:szCs w:val="19"/>
          <w:color w:val="auto"/>
        </w:rPr>
      </w:pPr>
    </w:p>
    <w:p>
      <w:pPr>
        <w:ind w:left="680" w:right="40" w:firstLine="646"/>
        <w:spacing w:after="0" w:line="277" w:lineRule="auto"/>
        <w:tabs>
          <w:tab w:leader="none" w:pos="1925" w:val="left"/>
        </w:tabs>
        <w:numPr>
          <w:ilvl w:val="1"/>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information regarding the operations, business affairs and financial condition of any Credit Party or any Subsidiary thereof as the Administrative Agent or any Lender may reasonably request.</w:t>
      </w:r>
    </w:p>
    <w:p>
      <w:pPr>
        <w:spacing w:after="0" w:line="151" w:lineRule="exact"/>
        <w:rPr>
          <w:sz w:val="20"/>
          <w:szCs w:val="20"/>
          <w:color w:val="auto"/>
        </w:rPr>
      </w:pPr>
    </w:p>
    <w:p>
      <w:pPr>
        <w:jc w:val="both"/>
        <w:ind w:left="680"/>
        <w:spacing w:after="0" w:line="255" w:lineRule="auto"/>
        <w:rPr>
          <w:sz w:val="20"/>
          <w:szCs w:val="20"/>
          <w:color w:val="auto"/>
        </w:rPr>
      </w:pPr>
      <w:r>
        <w:rPr>
          <w:rFonts w:ascii="Times New Roman" w:cs="Times New Roman" w:eastAsia="Times New Roman" w:hAnsi="Times New Roman"/>
          <w:sz w:val="20"/>
          <w:szCs w:val="20"/>
          <w:color w:val="auto"/>
        </w:rPr>
        <w:t>Each Borrower hereby acknowledges that (a) the Administrative Agent and/or the Arrangers will make available to the Lenders and the Issuing Lenders materials and/or information provided by or on behalf of the Borrowers hereunder (collectively,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Materials</w:t>
      </w:r>
      <w:r>
        <w:rPr>
          <w:rFonts w:ascii="Times New Roman" w:cs="Times New Roman" w:eastAsia="Times New Roman" w:hAnsi="Times New Roman"/>
          <w:sz w:val="20"/>
          <w:szCs w:val="20"/>
          <w:color w:val="auto"/>
        </w:rPr>
        <w:t>”) by posting the Borrower Materials on Debt Domain, IntraLinks, SyndTrak Online or another similar electronic system (the “</w:t>
      </w: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518">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203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352" w:name="page353"/>
    <w:bookmarkEnd w:id="352"/>
    <w:p>
      <w:pPr>
        <w:ind w:left="680" w:firstLine="4"/>
        <w:spacing w:after="0" w:line="277" w:lineRule="auto"/>
        <w:tabs>
          <w:tab w:leader="none" w:pos="971"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of the Lenders may be “public-side” Lenders (</w:t>
      </w:r>
      <w:r>
        <w:rPr>
          <w:rFonts w:ascii="Times New Roman" w:cs="Times New Roman" w:eastAsia="Times New Roman" w:hAnsi="Times New Roman"/>
          <w:sz w:val="20"/>
          <w:szCs w:val="20"/>
          <w:u w:val="single" w:color="auto"/>
          <w:color w:val="auto"/>
        </w:rPr>
        <w:t>i.e.</w:t>
      </w:r>
      <w:r>
        <w:rPr>
          <w:rFonts w:ascii="Times New Roman" w:cs="Times New Roman" w:eastAsia="Times New Roman" w:hAnsi="Times New Roman"/>
          <w:sz w:val="20"/>
          <w:szCs w:val="20"/>
          <w:color w:val="auto"/>
        </w:rPr>
        <w:t>, Lenders that do not wish to receive material non-public information with respect to the Borrowers or their respective securities) (each, a “</w:t>
      </w:r>
      <w:r>
        <w:rPr>
          <w:rFonts w:ascii="Times New Roman" w:cs="Times New Roman" w:eastAsia="Times New Roman" w:hAnsi="Times New Roman"/>
          <w:sz w:val="20"/>
          <w:szCs w:val="20"/>
          <w:u w:val="single" w:color="auto"/>
          <w:color w:val="auto"/>
        </w:rPr>
        <w:t>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519">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204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320" w:right="479" w:bottom="1440" w:gutter="0" w:footer="0" w:header="0"/>
        </w:sectPr>
      </w:pPr>
    </w:p>
    <w:bookmarkStart w:id="353" w:name="page354"/>
    <w:bookmarkEnd w:id="353"/>
    <w:p>
      <w:pPr>
        <w:spacing w:after="0" w:line="202" w:lineRule="exact"/>
        <w:rPr>
          <w:sz w:val="20"/>
          <w:szCs w:val="20"/>
          <w:color w:val="auto"/>
        </w:rPr>
      </w:pPr>
    </w:p>
    <w:p>
      <w:pPr>
        <w:jc w:val="both"/>
        <w:ind w:left="680"/>
        <w:spacing w:after="0" w:line="248" w:lineRule="auto"/>
        <w:rPr>
          <w:sz w:val="20"/>
          <w:szCs w:val="20"/>
          <w:color w:val="auto"/>
        </w:rPr>
      </w:pP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Each Borrower hereby agrees that it will use commercially reasonable efforts to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each Borrower shall be deemed to have authorized the Administrative Agent, the Arrangers, the Issuing Lenders and the Lenders to treat such Borrower Materials as not containing any material non-public information (although it may be sensitive and proprietary) with respect to such Borrower or its securities for purposes of United States Federal and state securities laws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to the extent such Borrower Materials constitute Information, they shall be treated as set forth in </w:t>
      </w:r>
      <w:r>
        <w:rPr>
          <w:rFonts w:ascii="Times New Roman" w:cs="Times New Roman" w:eastAsia="Times New Roman" w:hAnsi="Times New Roman"/>
          <w:sz w:val="20"/>
          <w:szCs w:val="20"/>
          <w:u w:val="single" w:color="auto"/>
          <w:color w:val="auto"/>
        </w:rPr>
        <w:t>Section 12.10</w:t>
      </w:r>
      <w:r>
        <w:rPr>
          <w:rFonts w:ascii="Times New Roman" w:cs="Times New Roman" w:eastAsia="Times New Roman" w:hAnsi="Times New Roman"/>
          <w:sz w:val="20"/>
          <w:szCs w:val="20"/>
          <w:color w:val="auto"/>
        </w:rPr>
        <w:t>); (y) all Borrower Materials marked “PUBLIC” are permitted to be made available through a portion of the Platform designated “Public Investor;” and (z) the Administrative Agent and the Arrangers shall be entitled to treat any Borrower Materials that are not marked “PUBLIC” as being suitable only for posting on a portion of the Platform not designated “Public Investor.”</w:t>
      </w:r>
    </w:p>
    <w:p>
      <w:pPr>
        <w:spacing w:after="0" w:line="168" w:lineRule="exact"/>
        <w:rPr>
          <w:sz w:val="20"/>
          <w:szCs w:val="20"/>
          <w:color w:val="auto"/>
        </w:rPr>
      </w:pPr>
    </w:p>
    <w:p>
      <w:pPr>
        <w:jc w:val="both"/>
        <w:ind w:left="680" w:right="60" w:firstLine="642"/>
        <w:spacing w:after="0" w:line="257" w:lineRule="auto"/>
        <w:rPr>
          <w:sz w:val="20"/>
          <w:szCs w:val="20"/>
          <w:color w:val="auto"/>
        </w:rPr>
      </w:pPr>
      <w:r>
        <w:rPr>
          <w:rFonts w:ascii="Times New Roman" w:cs="Times New Roman" w:eastAsia="Times New Roman" w:hAnsi="Times New Roman"/>
          <w:sz w:val="20"/>
          <w:szCs w:val="20"/>
          <w:color w:val="auto"/>
        </w:rPr>
        <w:t xml:space="preserve">SECTION 8.3 </w:t>
      </w:r>
      <w:r>
        <w:rPr>
          <w:rFonts w:ascii="Times New Roman" w:cs="Times New Roman" w:eastAsia="Times New Roman" w:hAnsi="Times New Roman"/>
          <w:sz w:val="20"/>
          <w:szCs w:val="20"/>
          <w:u w:val="single" w:color="auto"/>
          <w:color w:val="auto"/>
        </w:rPr>
        <w:t>Notice of Litigation and Other Matters</w:t>
      </w:r>
      <w:r>
        <w:rPr>
          <w:rFonts w:ascii="Times New Roman" w:cs="Times New Roman" w:eastAsia="Times New Roman" w:hAnsi="Times New Roman"/>
          <w:sz w:val="20"/>
          <w:szCs w:val="20"/>
          <w:color w:val="auto"/>
        </w:rPr>
        <w:t>. Promptly (but in no event later than ten (10) Business Days after any Responsible Officer of any Credit Party obtains knowledge thereof) notify the Administrative Agent in writing of (which shall promptly make such information available to the Lenders in accordance with its customary practice):</w:t>
      </w:r>
    </w:p>
    <w:p>
      <w:pPr>
        <w:spacing w:after="0" w:line="184" w:lineRule="exact"/>
        <w:rPr>
          <w:sz w:val="20"/>
          <w:szCs w:val="20"/>
          <w:color w:val="auto"/>
        </w:rPr>
      </w:pPr>
    </w:p>
    <w:p>
      <w:pPr>
        <w:ind w:left="1960" w:hanging="633"/>
        <w:spacing w:after="0"/>
        <w:tabs>
          <w:tab w:leader="none" w:pos="1960"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Default or Event of Default;</w:t>
      </w:r>
    </w:p>
    <w:p>
      <w:pPr>
        <w:spacing w:after="0" w:line="211" w:lineRule="exact"/>
        <w:rPr>
          <w:rFonts w:ascii="Times New Roman" w:cs="Times New Roman" w:eastAsia="Times New Roman" w:hAnsi="Times New Roman"/>
          <w:sz w:val="20"/>
          <w:szCs w:val="20"/>
          <w:color w:val="auto"/>
        </w:rPr>
      </w:pPr>
    </w:p>
    <w:p>
      <w:pPr>
        <w:jc w:val="both"/>
        <w:ind w:left="680" w:right="40" w:firstLine="646"/>
        <w:spacing w:after="0" w:line="255" w:lineRule="auto"/>
        <w:tabs>
          <w:tab w:leader="none" w:pos="1925"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commencement of all proceedings and investigations by or before any Governmental Authority and all actions and proceedings in any court or before any arbitrator against or involving any Credit Party or any Subsidiary thereof or any of their respective properties, assets or businesses in each case that if adversely determined could reasonably be expected to result in a Material Adverse Effect;</w:t>
      </w:r>
    </w:p>
    <w:p>
      <w:pPr>
        <w:spacing w:after="0" w:line="172" w:lineRule="exact"/>
        <w:rPr>
          <w:rFonts w:ascii="Times New Roman" w:cs="Times New Roman" w:eastAsia="Times New Roman" w:hAnsi="Times New Roman"/>
          <w:sz w:val="20"/>
          <w:szCs w:val="20"/>
          <w:color w:val="auto"/>
        </w:rPr>
      </w:pPr>
    </w:p>
    <w:p>
      <w:pPr>
        <w:jc w:val="both"/>
        <w:ind w:left="680" w:right="60" w:firstLine="646"/>
        <w:spacing w:after="0" w:line="264" w:lineRule="auto"/>
        <w:tabs>
          <w:tab w:leader="none" w:pos="1927"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notice of any violation received by any Credit Party or any Subsidiary thereof from any Governmental Authority including, without limitation, any notice of violation of Environmental Laws which in any such case could reasonably be expected to have a Material Adverse Effect;</w:t>
      </w:r>
    </w:p>
    <w:p>
      <w:pPr>
        <w:spacing w:after="0" w:line="163" w:lineRule="exact"/>
        <w:rPr>
          <w:rFonts w:ascii="Times New Roman" w:cs="Times New Roman" w:eastAsia="Times New Roman" w:hAnsi="Times New Roman"/>
          <w:sz w:val="20"/>
          <w:szCs w:val="20"/>
          <w:color w:val="auto"/>
        </w:rPr>
      </w:pPr>
    </w:p>
    <w:p>
      <w:pPr>
        <w:ind w:left="680" w:right="40" w:firstLine="646"/>
        <w:spacing w:after="0" w:line="277" w:lineRule="auto"/>
        <w:tabs>
          <w:tab w:leader="none" w:pos="1925"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labor controversy that has resulted in, or threatens to result in, a strike or other work action against any Credit Party or any Subsidiary thereof which could reasonably be expected to have a Material Adverse Effect;</w:t>
      </w:r>
    </w:p>
    <w:p>
      <w:pPr>
        <w:spacing w:after="0" w:line="151" w:lineRule="exact"/>
        <w:rPr>
          <w:rFonts w:ascii="Times New Roman" w:cs="Times New Roman" w:eastAsia="Times New Roman" w:hAnsi="Times New Roman"/>
          <w:sz w:val="20"/>
          <w:szCs w:val="20"/>
          <w:color w:val="auto"/>
        </w:rPr>
      </w:pPr>
    </w:p>
    <w:p>
      <w:pPr>
        <w:ind w:left="680" w:right="60" w:firstLine="646"/>
        <w:spacing w:after="0" w:line="277" w:lineRule="auto"/>
        <w:tabs>
          <w:tab w:leader="none" w:pos="1927"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attachment, judgment, lien (other than Permitted Liens), levy or order exceeding the Threshold Amount that may be assessed against or threatened in writing against any Credit Party or any Subsidiary thereof;</w:t>
      </w:r>
    </w:p>
    <w:p>
      <w:pPr>
        <w:spacing w:after="0" w:line="151" w:lineRule="exact"/>
        <w:rPr>
          <w:rFonts w:ascii="Times New Roman" w:cs="Times New Roman" w:eastAsia="Times New Roman" w:hAnsi="Times New Roman"/>
          <w:sz w:val="20"/>
          <w:szCs w:val="20"/>
          <w:color w:val="auto"/>
        </w:rPr>
      </w:pPr>
    </w:p>
    <w:p>
      <w:pPr>
        <w:jc w:val="both"/>
        <w:ind w:left="680" w:right="40" w:firstLine="646"/>
        <w:spacing w:after="0" w:line="257" w:lineRule="auto"/>
        <w:tabs>
          <w:tab w:leader="none" w:pos="1919"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event which constitutes or which with the passage of time or giving of notice or both would constitute a default or event of default under any contract or other agreement, written or oral, of any Credit Party or any of its Subsidiaries involving monetary liability of or to any such Person in an amount in excess of $35,000,000 per annum;</w:t>
      </w:r>
    </w:p>
    <w:p>
      <w:pPr>
        <w:spacing w:after="0" w:line="170" w:lineRule="exact"/>
        <w:rPr>
          <w:rFonts w:ascii="Times New Roman" w:cs="Times New Roman" w:eastAsia="Times New Roman" w:hAnsi="Times New Roman"/>
          <w:sz w:val="20"/>
          <w:szCs w:val="20"/>
          <w:color w:val="auto"/>
        </w:rPr>
      </w:pPr>
    </w:p>
    <w:p>
      <w:pPr>
        <w:jc w:val="both"/>
        <w:ind w:left="680" w:right="20" w:firstLine="646"/>
        <w:spacing w:after="0" w:line="254" w:lineRule="auto"/>
        <w:tabs>
          <w:tab w:leader="none" w:pos="1925"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unfavorable determination letter from the IRS regarding the qualification of an Employee Benefit Plan under Section 401(a) of the Code (along with a copy thereof), (ii) all notices received by any Credit Party or any ERISA Affiliate of the PBGC’s intent to terminate any Pension Plan or to have a trustee appointed to administer any Pension Plan, (iii) all notices received by any Credit Party or any ERISA Affiliate from a Multiemployer Plan sponsor concerning the imposition or amount of withdrawal liability pursuant to Section 4202 of ERISA and (iv) the Borrowers obtaining knowledge or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520">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205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20"/>
          </w:cols>
          <w:pgMar w:left="320" w:top="1440" w:right="459" w:bottom="1440" w:gutter="0" w:footer="0" w:header="0"/>
        </w:sectPr>
      </w:pPr>
    </w:p>
    <w:bookmarkStart w:id="354" w:name="page355"/>
    <w:bookmarkEnd w:id="354"/>
    <w:p>
      <w:pPr>
        <w:spacing w:after="0" w:line="95" w:lineRule="exact"/>
        <w:rPr>
          <w:sz w:val="20"/>
          <w:szCs w:val="20"/>
          <w:color w:val="auto"/>
        </w:rPr>
      </w:pPr>
    </w:p>
    <w:p>
      <w:pPr>
        <w:ind w:left="680"/>
        <w:spacing w:after="0" w:line="277" w:lineRule="auto"/>
        <w:rPr>
          <w:sz w:val="20"/>
          <w:szCs w:val="20"/>
          <w:color w:val="auto"/>
        </w:rPr>
      </w:pPr>
      <w:r>
        <w:rPr>
          <w:rFonts w:ascii="Times New Roman" w:cs="Times New Roman" w:eastAsia="Times New Roman" w:hAnsi="Times New Roman"/>
          <w:sz w:val="20"/>
          <w:szCs w:val="20"/>
          <w:color w:val="auto"/>
        </w:rPr>
        <w:t>reason to know that any Credit Party or any ERISA Affiliate has filed or intends to file a notice of intent to terminate any Pension Plan under a distress termination within the meaning of Section 4041(c)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521">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206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080"/>
          </w:cols>
          <w:pgMar w:left="320" w:top="1440" w:right="499" w:bottom="1440" w:gutter="0" w:footer="0" w:header="0"/>
        </w:sectPr>
      </w:pPr>
    </w:p>
    <w:bookmarkStart w:id="355" w:name="page356"/>
    <w:bookmarkEnd w:id="355"/>
    <w:p>
      <w:pPr>
        <w:spacing w:after="0" w:line="202" w:lineRule="exact"/>
        <w:rPr>
          <w:sz w:val="20"/>
          <w:szCs w:val="20"/>
          <w:color w:val="auto"/>
        </w:rPr>
      </w:pPr>
    </w:p>
    <w:p>
      <w:pPr>
        <w:jc w:val="both"/>
        <w:ind w:left="680" w:right="40"/>
        <w:spacing w:after="0" w:line="276" w:lineRule="auto"/>
        <w:rPr>
          <w:sz w:val="20"/>
          <w:szCs w:val="20"/>
          <w:color w:val="auto"/>
        </w:rPr>
      </w:pPr>
      <w:r>
        <w:rPr>
          <w:rFonts w:ascii="Times New Roman" w:cs="Times New Roman" w:eastAsia="Times New Roman" w:hAnsi="Times New Roman"/>
          <w:sz w:val="19"/>
          <w:szCs w:val="19"/>
          <w:color w:val="auto"/>
        </w:rPr>
        <w:t>ERISA, or any notice of intent to terminate in whole or in part any Canadian Employee Benefit Plan under Canadian Pension Laws or otherwise that, in each case, is filed with or by the PBGC or other Governmental Authority applicable to Canadian Employee Benefit Plans by any Credit Party or any ERISA Affiliate or otherwise received by any Credit Party or any ERISA Affiliate; and</w:t>
      </w:r>
    </w:p>
    <w:p>
      <w:pPr>
        <w:spacing w:after="0" w:line="156" w:lineRule="exact"/>
        <w:rPr>
          <w:sz w:val="20"/>
          <w:szCs w:val="20"/>
          <w:color w:val="auto"/>
        </w:rPr>
      </w:pPr>
    </w:p>
    <w:p>
      <w:pPr>
        <w:jc w:val="both"/>
        <w:ind w:left="680" w:right="40" w:firstLine="646"/>
        <w:spacing w:after="0" w:line="257" w:lineRule="auto"/>
        <w:tabs>
          <w:tab w:leader="none" w:pos="1925"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event which makes any of the representations set forth in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that is subject to materiality or Material Adverse Effect qualifications inaccurate in any respect or any event which makes any of the representations set forth in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that is not subject to materiality or Material Adverse Effect qualifications inaccurate in any material respect.</w:t>
      </w:r>
    </w:p>
    <w:p>
      <w:pPr>
        <w:spacing w:after="0" w:line="184" w:lineRule="exact"/>
        <w:rPr>
          <w:sz w:val="20"/>
          <w:szCs w:val="20"/>
          <w:color w:val="auto"/>
        </w:rPr>
      </w:pPr>
    </w:p>
    <w:p>
      <w:pPr>
        <w:jc w:val="both"/>
        <w:ind w:left="680" w:right="40" w:firstLine="642"/>
        <w:spacing w:after="0" w:line="250" w:lineRule="auto"/>
        <w:rPr>
          <w:sz w:val="20"/>
          <w:szCs w:val="20"/>
          <w:color w:val="auto"/>
        </w:rPr>
      </w:pPr>
      <w:r>
        <w:rPr>
          <w:rFonts w:ascii="Times New Roman" w:cs="Times New Roman" w:eastAsia="Times New Roman" w:hAnsi="Times New Roman"/>
          <w:sz w:val="20"/>
          <w:szCs w:val="20"/>
          <w:color w:val="auto"/>
        </w:rPr>
        <w:t xml:space="preserve">Each notice pursuant to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 xml:space="preserve"> shall be accompanied by a statement of a Responsible Officer of Centuri setting forth details of the occurrence referred to therein and stating what action Centuri has taken and proposes to take with respect thereto. Each notice pursuant to </w:t>
      </w:r>
      <w:r>
        <w:rPr>
          <w:rFonts w:ascii="Times New Roman" w:cs="Times New Roman" w:eastAsia="Times New Roman" w:hAnsi="Times New Roman"/>
          <w:sz w:val="20"/>
          <w:szCs w:val="20"/>
          <w:u w:val="single" w:color="auto"/>
          <w:color w:val="auto"/>
        </w:rPr>
        <w:t>Section 8.3(a)</w:t>
      </w:r>
      <w:r>
        <w:rPr>
          <w:rFonts w:ascii="Times New Roman" w:cs="Times New Roman" w:eastAsia="Times New Roman" w:hAnsi="Times New Roman"/>
          <w:sz w:val="20"/>
          <w:szCs w:val="20"/>
          <w:color w:val="auto"/>
        </w:rPr>
        <w:t xml:space="preserve"> shall describe with particularity any and all provisions of this Agreement and any other Loan Document that have been breached.</w:t>
      </w:r>
    </w:p>
    <w:p>
      <w:pPr>
        <w:spacing w:after="0" w:line="192" w:lineRule="exact"/>
        <w:rPr>
          <w:sz w:val="20"/>
          <w:szCs w:val="20"/>
          <w:color w:val="auto"/>
        </w:rPr>
      </w:pPr>
    </w:p>
    <w:p>
      <w:pPr>
        <w:jc w:val="both"/>
        <w:ind w:left="680" w:firstLine="642"/>
        <w:spacing w:after="0" w:line="250" w:lineRule="auto"/>
        <w:rPr>
          <w:sz w:val="20"/>
          <w:szCs w:val="20"/>
          <w:color w:val="auto"/>
        </w:rPr>
      </w:pPr>
      <w:r>
        <w:rPr>
          <w:rFonts w:ascii="Times New Roman" w:cs="Times New Roman" w:eastAsia="Times New Roman" w:hAnsi="Times New Roman"/>
          <w:sz w:val="20"/>
          <w:szCs w:val="20"/>
          <w:color w:val="auto"/>
        </w:rPr>
        <w:t xml:space="preserve">SECTION 8.4 </w:t>
      </w:r>
      <w:r>
        <w:rPr>
          <w:rFonts w:ascii="Times New Roman" w:cs="Times New Roman" w:eastAsia="Times New Roman" w:hAnsi="Times New Roman"/>
          <w:sz w:val="20"/>
          <w:szCs w:val="20"/>
          <w:u w:val="single" w:color="auto"/>
          <w:color w:val="auto"/>
        </w:rPr>
        <w:t>Preservation of Corporate Existence and Related Matters</w:t>
      </w:r>
      <w:r>
        <w:rPr>
          <w:rFonts w:ascii="Times New Roman" w:cs="Times New Roman" w:eastAsia="Times New Roman" w:hAnsi="Times New Roman"/>
          <w:sz w:val="20"/>
          <w:szCs w:val="20"/>
          <w:color w:val="auto"/>
        </w:rPr>
        <w:t xml:space="preserve">. Except as permitted by </w:t>
      </w:r>
      <w:r>
        <w:rPr>
          <w:rFonts w:ascii="Times New Roman" w:cs="Times New Roman" w:eastAsia="Times New Roman" w:hAnsi="Times New Roman"/>
          <w:sz w:val="20"/>
          <w:szCs w:val="20"/>
          <w:u w:val="single" w:color="auto"/>
          <w:color w:val="auto"/>
        </w:rPr>
        <w:t>Section 9.4</w:t>
      </w:r>
      <w:r>
        <w:rPr>
          <w:rFonts w:ascii="Times New Roman" w:cs="Times New Roman" w:eastAsia="Times New Roman" w:hAnsi="Times New Roman"/>
          <w:sz w:val="20"/>
          <w:szCs w:val="20"/>
          <w:color w:val="auto"/>
        </w:rPr>
        <w:t>, preserve and maintain its separate corporate existence and all rights, franchises, licenses and privileges necessary to the conduct of its business, and qualify and remain qualified as a foreign corporation or other entity and authorized to do business in each jurisdiction in which the failure to so qualify could reasonably be expected to have a Material Adverse Effect.</w:t>
      </w:r>
    </w:p>
    <w:p>
      <w:pPr>
        <w:spacing w:after="0" w:line="192" w:lineRule="exact"/>
        <w:rPr>
          <w:sz w:val="20"/>
          <w:szCs w:val="20"/>
          <w:color w:val="auto"/>
        </w:rPr>
      </w:pPr>
    </w:p>
    <w:p>
      <w:pPr>
        <w:ind w:left="1320"/>
        <w:spacing w:after="0"/>
        <w:tabs>
          <w:tab w:leader="none" w:pos="2620" w:val="left"/>
        </w:tabs>
        <w:rPr>
          <w:sz w:val="20"/>
          <w:szCs w:val="20"/>
          <w:color w:val="auto"/>
        </w:rPr>
      </w:pPr>
      <w:r>
        <w:rPr>
          <w:rFonts w:ascii="Times New Roman" w:cs="Times New Roman" w:eastAsia="Times New Roman" w:hAnsi="Times New Roman"/>
          <w:sz w:val="20"/>
          <w:szCs w:val="20"/>
          <w:color w:val="auto"/>
        </w:rPr>
        <w:t>SECTION 8.5</w:t>
      </w:r>
      <w:r>
        <w:rPr>
          <w:sz w:val="20"/>
          <w:szCs w:val="20"/>
          <w:color w:val="auto"/>
        </w:rPr>
        <w:tab/>
      </w:r>
      <w:r>
        <w:rPr>
          <w:rFonts w:ascii="Times New Roman" w:cs="Times New Roman" w:eastAsia="Times New Roman" w:hAnsi="Times New Roman"/>
          <w:sz w:val="19"/>
          <w:szCs w:val="19"/>
          <w:u w:val="single" w:color="auto"/>
          <w:color w:val="auto"/>
        </w:rPr>
        <w:t>Maintenance of Property and Licenses</w:t>
      </w:r>
      <w:r>
        <w:rPr>
          <w:rFonts w:ascii="Times New Roman" w:cs="Times New Roman" w:eastAsia="Times New Roman" w:hAnsi="Times New Roman"/>
          <w:sz w:val="19"/>
          <w:szCs w:val="19"/>
          <w:color w:val="auto"/>
        </w:rPr>
        <w:t>.</w:t>
      </w:r>
    </w:p>
    <w:p>
      <w:pPr>
        <w:spacing w:after="0" w:line="211" w:lineRule="exact"/>
        <w:rPr>
          <w:sz w:val="20"/>
          <w:szCs w:val="20"/>
          <w:color w:val="auto"/>
        </w:rPr>
      </w:pPr>
    </w:p>
    <w:p>
      <w:pPr>
        <w:jc w:val="both"/>
        <w:ind w:left="680" w:right="20" w:firstLine="646"/>
        <w:spacing w:after="0" w:line="250" w:lineRule="auto"/>
        <w:tabs>
          <w:tab w:leader="none" w:pos="1927"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Protect and preserve all Properties necessary in and material to its business, including copyrights, patents, trade names, service marks and trademarks; maintain in good working order and condition, ordinary wear and tear excepted, all buildings, equipment and other tangible real and personal property; and from time to time make or cause to be made all repairs, renewals and replacements thereof and additions to such Property necessary for the conduct of its business, so that the business carried on in connection therewith may be conducted in a commercially reasonable manner, in each case except as such action or inaction could not reasonably be expected to result in a Material Adverse Effect.</w:t>
      </w:r>
    </w:p>
    <w:p>
      <w:pPr>
        <w:spacing w:after="0" w:line="180" w:lineRule="exact"/>
        <w:rPr>
          <w:rFonts w:ascii="Times New Roman" w:cs="Times New Roman" w:eastAsia="Times New Roman" w:hAnsi="Times New Roman"/>
          <w:sz w:val="20"/>
          <w:szCs w:val="20"/>
          <w:color w:val="auto"/>
        </w:rPr>
      </w:pPr>
    </w:p>
    <w:p>
      <w:pPr>
        <w:jc w:val="both"/>
        <w:ind w:left="680" w:right="20" w:firstLine="646"/>
        <w:spacing w:after="0" w:line="255" w:lineRule="auto"/>
        <w:tabs>
          <w:tab w:leader="none" w:pos="1925"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in full force and effect in all material respects, each and every material license, permit, certification, qualification, approval or franchise issued by any Governmental Authority (each a “</w:t>
      </w:r>
      <w:r>
        <w:rPr>
          <w:rFonts w:ascii="Times New Roman" w:cs="Times New Roman" w:eastAsia="Times New Roman" w:hAnsi="Times New Roman"/>
          <w:sz w:val="20"/>
          <w:szCs w:val="20"/>
          <w:u w:val="single" w:color="auto"/>
          <w:color w:val="auto"/>
        </w:rPr>
        <w:t>License</w:t>
      </w:r>
      <w:r>
        <w:rPr>
          <w:rFonts w:ascii="Times New Roman" w:cs="Times New Roman" w:eastAsia="Times New Roman" w:hAnsi="Times New Roman"/>
          <w:sz w:val="20"/>
          <w:szCs w:val="20"/>
          <w:color w:val="auto"/>
        </w:rPr>
        <w:t>”) required for each of them to conduct their respective businesses as presently conducted, except where the failure to do so could not reasonably be expected to have a Material Adverse Effect.</w:t>
      </w:r>
    </w:p>
    <w:p>
      <w:pPr>
        <w:spacing w:after="0" w:line="173" w:lineRule="exact"/>
        <w:rPr>
          <w:sz w:val="20"/>
          <w:szCs w:val="20"/>
          <w:color w:val="auto"/>
        </w:rPr>
      </w:pPr>
    </w:p>
    <w:p>
      <w:pPr>
        <w:jc w:val="both"/>
        <w:ind w:left="680" w:right="20" w:firstLine="642"/>
        <w:spacing w:after="0" w:line="249" w:lineRule="auto"/>
        <w:rPr>
          <w:sz w:val="20"/>
          <w:szCs w:val="20"/>
          <w:color w:val="auto"/>
        </w:rPr>
      </w:pPr>
      <w:r>
        <w:rPr>
          <w:rFonts w:ascii="Times New Roman" w:cs="Times New Roman" w:eastAsia="Times New Roman" w:hAnsi="Times New Roman"/>
          <w:sz w:val="20"/>
          <w:szCs w:val="20"/>
          <w:color w:val="auto"/>
        </w:rPr>
        <w:t xml:space="preserve">SECTION 8.6 </w:t>
      </w: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Maintain insurance with financially sound and reputable insurance companies against at least such risks and in at least such amounts as are customarily maintained by similar businesses and as may be required by Applicable Law (including, without limitation, hazard and business interruption insurance). All such insurance shall, (a) provide that no cancellation or material modification thereof shall be effective until at least 30 days after receipt by the Administrative Agent of written notice thereof (except as a result of non-payment of premium in which case only 10 days’ prior written notice shall be required) and (b) name the Administrative Agent as an additional insured party (or in the case of each casualty insurance policy, name the Administrative Agent as lender’s loss payee) thereunder. On the Closing Date and from time to time thereafter deliver to the Administrative Agent upon its request information in reasonable detail as to the insurance then in effect, stating the names of the insurance companies, the amounts and rates of the insurance, the dates of the expiration thereof and the properties and risks covered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522">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207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356" w:name="page357"/>
    <w:bookmarkEnd w:id="356"/>
    <w:p>
      <w:pPr>
        <w:spacing w:after="0" w:line="201" w:lineRule="exact"/>
        <w:rPr>
          <w:sz w:val="20"/>
          <w:szCs w:val="20"/>
          <w:color w:val="auto"/>
        </w:rPr>
      </w:pPr>
    </w:p>
    <w:p>
      <w:pPr>
        <w:jc w:val="both"/>
        <w:ind w:left="680" w:right="20" w:firstLine="642"/>
        <w:spacing w:after="0" w:line="250" w:lineRule="auto"/>
        <w:rPr>
          <w:sz w:val="20"/>
          <w:szCs w:val="20"/>
          <w:color w:val="auto"/>
        </w:rPr>
      </w:pPr>
      <w:r>
        <w:rPr>
          <w:rFonts w:ascii="Times New Roman" w:cs="Times New Roman" w:eastAsia="Times New Roman" w:hAnsi="Times New Roman"/>
          <w:sz w:val="20"/>
          <w:szCs w:val="20"/>
          <w:color w:val="auto"/>
        </w:rPr>
        <w:t xml:space="preserve">SECTION 8.7 </w:t>
      </w:r>
      <w:r>
        <w:rPr>
          <w:rFonts w:ascii="Times New Roman" w:cs="Times New Roman" w:eastAsia="Times New Roman" w:hAnsi="Times New Roman"/>
          <w:sz w:val="20"/>
          <w:szCs w:val="20"/>
          <w:u w:val="single" w:color="auto"/>
          <w:color w:val="auto"/>
        </w:rPr>
        <w:t>Accounting Methods and Financial Records</w:t>
      </w:r>
      <w:r>
        <w:rPr>
          <w:rFonts w:ascii="Times New Roman" w:cs="Times New Roman" w:eastAsia="Times New Roman" w:hAnsi="Times New Roman"/>
          <w:sz w:val="20"/>
          <w:szCs w:val="20"/>
          <w:color w:val="auto"/>
        </w:rPr>
        <w:t>. Maintain a system of accounting, and keep proper books, records and accounts (which shall be true and complete in all material respects) as may be required or as may be necessary to permit the preparation of financial statements in accordance with GAAP and in compliance with the regulations of any Governmental Authority having jurisdiction over it or any of its Properties.</w:t>
      </w:r>
    </w:p>
    <w:p>
      <w:pPr>
        <w:spacing w:after="0" w:line="192" w:lineRule="exact"/>
        <w:rPr>
          <w:sz w:val="20"/>
          <w:szCs w:val="20"/>
          <w:color w:val="auto"/>
        </w:rPr>
      </w:pPr>
    </w:p>
    <w:p>
      <w:pPr>
        <w:jc w:val="both"/>
        <w:ind w:left="680" w:firstLine="642"/>
        <w:spacing w:after="0" w:line="250" w:lineRule="auto"/>
        <w:rPr>
          <w:sz w:val="20"/>
          <w:szCs w:val="20"/>
          <w:color w:val="auto"/>
        </w:rPr>
      </w:pPr>
      <w:r>
        <w:rPr>
          <w:rFonts w:ascii="Times New Roman" w:cs="Times New Roman" w:eastAsia="Times New Roman" w:hAnsi="Times New Roman"/>
          <w:sz w:val="20"/>
          <w:szCs w:val="20"/>
          <w:color w:val="auto"/>
        </w:rPr>
        <w:t xml:space="preserve">SECTION 8.8 </w:t>
      </w:r>
      <w:r>
        <w:rPr>
          <w:rFonts w:ascii="Times New Roman" w:cs="Times New Roman" w:eastAsia="Times New Roman" w:hAnsi="Times New Roman"/>
          <w:sz w:val="20"/>
          <w:szCs w:val="20"/>
          <w:u w:val="single" w:color="auto"/>
          <w:color w:val="auto"/>
        </w:rPr>
        <w:t>Payment of Taxes and Other Obligations</w:t>
      </w:r>
      <w:r>
        <w:rPr>
          <w:rFonts w:ascii="Times New Roman" w:cs="Times New Roman" w:eastAsia="Times New Roman" w:hAnsi="Times New Roman"/>
          <w:sz w:val="20"/>
          <w:szCs w:val="20"/>
          <w:color w:val="auto"/>
        </w:rPr>
        <w:t>. Pay and perform (a) all taxes, assessments and other governmental charges that may be levied or assessed upon it or any of its Property and (b) all other Indebtedness, obligations and liabilities in accordance with customary trade practices, except where the failure to pay or perform such items described in clauses (a) or (b) of this Section could not reasonably be expected to have a Material Adverse Effect.</w:t>
      </w:r>
    </w:p>
    <w:p>
      <w:pPr>
        <w:spacing w:after="0" w:line="192" w:lineRule="exact"/>
        <w:rPr>
          <w:sz w:val="20"/>
          <w:szCs w:val="20"/>
          <w:color w:val="auto"/>
        </w:rPr>
      </w:pPr>
    </w:p>
    <w:p>
      <w:pPr>
        <w:jc w:val="both"/>
        <w:ind w:left="680" w:right="20" w:firstLine="642"/>
        <w:spacing w:after="0" w:line="257" w:lineRule="auto"/>
        <w:rPr>
          <w:sz w:val="20"/>
          <w:szCs w:val="20"/>
          <w:color w:val="auto"/>
        </w:rPr>
      </w:pPr>
      <w:r>
        <w:rPr>
          <w:rFonts w:ascii="Times New Roman" w:cs="Times New Roman" w:eastAsia="Times New Roman" w:hAnsi="Times New Roman"/>
          <w:sz w:val="20"/>
          <w:szCs w:val="20"/>
          <w:color w:val="auto"/>
        </w:rPr>
        <w:t xml:space="preserve">SECTION 8.9 </w:t>
      </w:r>
      <w:r>
        <w:rPr>
          <w:rFonts w:ascii="Times New Roman" w:cs="Times New Roman" w:eastAsia="Times New Roman" w:hAnsi="Times New Roman"/>
          <w:sz w:val="20"/>
          <w:szCs w:val="20"/>
          <w:u w:val="single" w:color="auto"/>
          <w:color w:val="auto"/>
        </w:rPr>
        <w:t>Compliance with Laws and Approvals</w:t>
      </w:r>
      <w:r>
        <w:rPr>
          <w:rFonts w:ascii="Times New Roman" w:cs="Times New Roman" w:eastAsia="Times New Roman" w:hAnsi="Times New Roman"/>
          <w:sz w:val="20"/>
          <w:szCs w:val="20"/>
          <w:color w:val="auto"/>
        </w:rPr>
        <w:t>. Observe and remain in compliance in all material respects with all Applicable Laws and maintain in full force and effect all Governmental Approvals, in each case applicable to the conduct of its business except where the failure to do so could not reasonably be expected to have a Material Adverse Effect.</w:t>
      </w:r>
    </w:p>
    <w:p>
      <w:pPr>
        <w:spacing w:after="0" w:line="171" w:lineRule="exact"/>
        <w:rPr>
          <w:sz w:val="20"/>
          <w:szCs w:val="20"/>
          <w:color w:val="auto"/>
        </w:rPr>
      </w:pPr>
    </w:p>
    <w:p>
      <w:pPr>
        <w:jc w:val="both"/>
        <w:ind w:left="680" w:firstLine="642"/>
        <w:spacing w:after="0" w:line="261" w:lineRule="auto"/>
        <w:rPr>
          <w:sz w:val="20"/>
          <w:szCs w:val="20"/>
          <w:color w:val="auto"/>
        </w:rPr>
      </w:pPr>
      <w:r>
        <w:rPr>
          <w:rFonts w:ascii="Times New Roman" w:cs="Times New Roman" w:eastAsia="Times New Roman" w:hAnsi="Times New Roman"/>
          <w:sz w:val="19"/>
          <w:szCs w:val="19"/>
          <w:color w:val="auto"/>
        </w:rPr>
        <w:t xml:space="preserve">SECTION 8.10 </w:t>
      </w:r>
      <w:r>
        <w:rPr>
          <w:rFonts w:ascii="Times New Roman" w:cs="Times New Roman" w:eastAsia="Times New Roman" w:hAnsi="Times New Roman"/>
          <w:sz w:val="19"/>
          <w:szCs w:val="19"/>
          <w:u w:val="single" w:color="auto"/>
          <w:color w:val="auto"/>
        </w:rPr>
        <w:t>Environmental Laws</w:t>
      </w:r>
      <w:r>
        <w:rPr>
          <w:rFonts w:ascii="Times New Roman" w:cs="Times New Roman" w:eastAsia="Times New Roman" w:hAnsi="Times New Roman"/>
          <w:sz w:val="19"/>
          <w:szCs w:val="19"/>
          <w:color w:val="auto"/>
        </w:rPr>
        <w:t xml:space="preserve">. In addition to and without limiting the generality of </w:t>
      </w:r>
      <w:r>
        <w:rPr>
          <w:rFonts w:ascii="Times New Roman" w:cs="Times New Roman" w:eastAsia="Times New Roman" w:hAnsi="Times New Roman"/>
          <w:sz w:val="19"/>
          <w:szCs w:val="19"/>
          <w:u w:val="single" w:color="auto"/>
          <w:color w:val="auto"/>
        </w:rPr>
        <w:t>Section 8.9</w:t>
      </w:r>
      <w:r>
        <w:rPr>
          <w:rFonts w:ascii="Times New Roman" w:cs="Times New Roman" w:eastAsia="Times New Roman" w:hAnsi="Times New Roman"/>
          <w:sz w:val="19"/>
          <w:szCs w:val="19"/>
          <w:color w:val="auto"/>
        </w:rPr>
        <w:t>, (a) comply with, and take commercially reasonable efforts to ensure such compliance by all tenants and subtenants with all applicable Environmental Laws and obtain and comply with and maintain, and take commercially reasonable efforts to ensure that all tenants and subtenants, if any, obtain and comply with and maintain, any and all licenses, approvals, notifications, registrations or permits required by applicable Environmental Laws, except with respect to any matters that could not reasonably be expected to result in a Material Adverse Effect, (b) conduct and complete all investigations, studies, sampling and testing, and all remedial, removal and other actions required under Environmental Laws, and promptly comply with all lawful orders and directives of any Governmental Authority regarding Environmental Laws, and (c) defend, indemnify and hold harmless the Administrative Agent and the Lenders, and their respective parents, Subsidiaries, Affiliates, employees, agents, officers and directors, from and against any claims, demands, penalties, fines, liabilities, settlements, damages, costs and expenses of whatever kind or nature known or unknown, contingent or otherwise, arising out of, or in any way relating to the presence of Hazardous Materials, or the violation of, noncompliance with or liability under any Environmental Laws applicable to the operations of the Consolidated Companies, or any orders, requirements or demands of Governmental Authorities related thereto, including, without limitation, reasonable attorney’s and consultant’s fees, investigation and laboratory fees, response costs, court costs and litigation expenses, except to the extent that any of the foregoing directly result from the gross negligence, willful misconduct or breach in bad faith of obligations of the party seeking indemnification therefor, as determined by a court of competent jurisdiction by final nonappealable judgment.</w:t>
      </w:r>
    </w:p>
    <w:p>
      <w:pPr>
        <w:spacing w:after="0" w:line="157" w:lineRule="exact"/>
        <w:rPr>
          <w:sz w:val="20"/>
          <w:szCs w:val="20"/>
          <w:color w:val="auto"/>
        </w:rPr>
      </w:pPr>
    </w:p>
    <w:p>
      <w:pPr>
        <w:jc w:val="both"/>
        <w:ind w:left="680" w:firstLine="642"/>
        <w:spacing w:after="0" w:line="248" w:lineRule="auto"/>
        <w:rPr>
          <w:sz w:val="20"/>
          <w:szCs w:val="20"/>
          <w:color w:val="auto"/>
        </w:rPr>
      </w:pPr>
      <w:r>
        <w:rPr>
          <w:rFonts w:ascii="Times New Roman" w:cs="Times New Roman" w:eastAsia="Times New Roman" w:hAnsi="Times New Roman"/>
          <w:sz w:val="20"/>
          <w:szCs w:val="20"/>
          <w:color w:val="auto"/>
        </w:rPr>
        <w:t xml:space="preserve">SECTION 8.11 </w:t>
      </w:r>
      <w:r>
        <w:rPr>
          <w:rFonts w:ascii="Times New Roman" w:cs="Times New Roman" w:eastAsia="Times New Roman" w:hAnsi="Times New Roman"/>
          <w:sz w:val="20"/>
          <w:szCs w:val="20"/>
          <w:u w:val="single" w:color="auto"/>
          <w:color w:val="auto"/>
        </w:rPr>
        <w:t>Compliance with ERISA and Canadian Pension Laws</w:t>
      </w:r>
      <w:r>
        <w:rPr>
          <w:rFonts w:ascii="Times New Roman" w:cs="Times New Roman" w:eastAsia="Times New Roman" w:hAnsi="Times New Roman"/>
          <w:sz w:val="20"/>
          <w:szCs w:val="20"/>
          <w:color w:val="auto"/>
        </w:rPr>
        <w:t xml:space="preserve">. In addition to and without limiting the generality of </w:t>
      </w:r>
      <w:r>
        <w:rPr>
          <w:rFonts w:ascii="Times New Roman" w:cs="Times New Roman" w:eastAsia="Times New Roman" w:hAnsi="Times New Roman"/>
          <w:sz w:val="20"/>
          <w:szCs w:val="20"/>
          <w:u w:val="single" w:color="auto"/>
          <w:color w:val="auto"/>
        </w:rPr>
        <w:t>Section 8.9</w:t>
      </w:r>
      <w:r>
        <w:rPr>
          <w:rFonts w:ascii="Times New Roman" w:cs="Times New Roman" w:eastAsia="Times New Roman" w:hAnsi="Times New Roman"/>
          <w:sz w:val="20"/>
          <w:szCs w:val="20"/>
          <w:color w:val="auto"/>
        </w:rPr>
        <w:t>, (a) except where the failure to so comply could not, individually or in the aggregate, reasonably be expected to have a Material Adverse Effect, (i) comply with applicable provisions of ERISA, the Code and the regulations and published interpretations thereunder with respect to all Employee Benefit Plans and with Canadian Pension Laws with respect to all Canadian Employee Benefit Plans, (ii) not take any action or fail to take action the result of which could reasonably be expected to result in a liability to the PBGC or to a Multiemployer Plan or to a Canadian Multiemployer Plan, (iii) not participate in any prohibited transaction that could result in any civil penalty under ERISA or tax under the Code or any penalty or tax under Canadian Pension Laws and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523">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208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080"/>
          </w:cols>
          <w:pgMar w:left="320" w:top="1440" w:right="499" w:bottom="1440" w:gutter="0" w:footer="0" w:header="0"/>
        </w:sectPr>
      </w:pPr>
    </w:p>
    <w:bookmarkStart w:id="357" w:name="page358"/>
    <w:bookmarkEnd w:id="357"/>
    <w:p>
      <w:pPr>
        <w:jc w:val="both"/>
        <w:ind w:left="680" w:firstLine="4"/>
        <w:spacing w:after="0" w:line="257" w:lineRule="auto"/>
        <w:tabs>
          <w:tab w:leader="none" w:pos="1284"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operate each Employee Benefit Plan in such a manner that will not incur any tax liability under Section 4980B of the Code or any liability to any qualified beneficiary as defined in Section 4980B of the Code, (b) comply with and perform in all material respects all of their obligations, including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524">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209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060"/>
          </w:cols>
          <w:pgMar w:left="320" w:top="1320" w:right="519" w:bottom="1440" w:gutter="0" w:footer="0" w:header="0"/>
        </w:sectPr>
      </w:pPr>
    </w:p>
    <w:bookmarkStart w:id="358" w:name="page359"/>
    <w:bookmarkEnd w:id="358"/>
    <w:p>
      <w:pPr>
        <w:spacing w:after="0" w:line="202" w:lineRule="exact"/>
        <w:rPr>
          <w:sz w:val="20"/>
          <w:szCs w:val="20"/>
          <w:color w:val="auto"/>
        </w:rPr>
      </w:pPr>
    </w:p>
    <w:p>
      <w:pPr>
        <w:ind w:left="680" w:right="60"/>
        <w:spacing w:after="0" w:line="251" w:lineRule="auto"/>
        <w:rPr>
          <w:sz w:val="20"/>
          <w:szCs w:val="20"/>
          <w:color w:val="auto"/>
        </w:rPr>
      </w:pPr>
      <w:r>
        <w:rPr>
          <w:rFonts w:ascii="Times New Roman" w:cs="Times New Roman" w:eastAsia="Times New Roman" w:hAnsi="Times New Roman"/>
          <w:sz w:val="20"/>
          <w:szCs w:val="20"/>
          <w:color w:val="auto"/>
        </w:rPr>
        <w:t>fiduciary, funding, investment and administration obligations, under and in respect of each Canadian Employee Benefit Plan under the terms thereof, any funding agreements, and all Applicable Laws, and</w:t>
      </w:r>
    </w:p>
    <w:p>
      <w:pPr>
        <w:spacing w:after="0" w:line="1" w:lineRule="exact"/>
        <w:rPr>
          <w:sz w:val="20"/>
          <w:szCs w:val="20"/>
          <w:color w:val="auto"/>
        </w:rPr>
      </w:pPr>
    </w:p>
    <w:p>
      <w:pPr>
        <w:jc w:val="both"/>
        <w:ind w:left="680" w:right="20" w:firstLine="4"/>
        <w:spacing w:after="0" w:line="250" w:lineRule="auto"/>
        <w:tabs>
          <w:tab w:leader="none" w:pos="962"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furnish to the Administrative Agent upon the Administrative Agent’s request such additional information about any Employee Benefit Plan or Canadian Employee Benefit Plan as may be reasonably requested by the Administrative Agent. No Credit Party nor any Subsidiary shall at any time terminate or wind-up a Canadian Employee Benefit Plan unless there are no Canadian Pension Plan Unfunded Liabilities in excess of the Threshold Amount.</w:t>
      </w:r>
    </w:p>
    <w:p>
      <w:pPr>
        <w:spacing w:after="0" w:line="17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 xml:space="preserve">SECTION 8.12 </w:t>
      </w:r>
      <w:r>
        <w:rPr>
          <w:rFonts w:ascii="Times New Roman" w:cs="Times New Roman" w:eastAsia="Times New Roman" w:hAnsi="Times New Roman"/>
          <w:sz w:val="20"/>
          <w:szCs w:val="20"/>
          <w:u w:val="single" w:color="auto"/>
          <w:color w:val="auto"/>
        </w:rPr>
        <w:t>Maintenance of Debt Ratings</w:t>
      </w:r>
      <w:r>
        <w:rPr>
          <w:rFonts w:ascii="Times New Roman" w:cs="Times New Roman" w:eastAsia="Times New Roman" w:hAnsi="Times New Roman"/>
          <w:sz w:val="20"/>
          <w:szCs w:val="20"/>
          <w:color w:val="auto"/>
        </w:rPr>
        <w:t>. Use commercially reasonable efforts to maintain all Debt Ratings.</w:t>
      </w:r>
    </w:p>
    <w:p>
      <w:pPr>
        <w:spacing w:after="0" w:line="211" w:lineRule="exact"/>
        <w:rPr>
          <w:sz w:val="20"/>
          <w:szCs w:val="20"/>
          <w:color w:val="auto"/>
        </w:rPr>
      </w:pPr>
    </w:p>
    <w:p>
      <w:pPr>
        <w:jc w:val="both"/>
        <w:ind w:left="680" w:right="20" w:firstLine="642"/>
        <w:spacing w:after="0" w:line="248" w:lineRule="auto"/>
        <w:rPr>
          <w:sz w:val="20"/>
          <w:szCs w:val="20"/>
          <w:color w:val="auto"/>
        </w:rPr>
      </w:pPr>
      <w:r>
        <w:rPr>
          <w:rFonts w:ascii="Times New Roman" w:cs="Times New Roman" w:eastAsia="Times New Roman" w:hAnsi="Times New Roman"/>
          <w:sz w:val="20"/>
          <w:szCs w:val="20"/>
          <w:color w:val="auto"/>
        </w:rPr>
        <w:t xml:space="preserve">SECTION 8.13 </w:t>
      </w:r>
      <w:r>
        <w:rPr>
          <w:rFonts w:ascii="Times New Roman" w:cs="Times New Roman" w:eastAsia="Times New Roman" w:hAnsi="Times New Roman"/>
          <w:sz w:val="20"/>
          <w:szCs w:val="20"/>
          <w:u w:val="single" w:color="auto"/>
          <w:color w:val="auto"/>
        </w:rPr>
        <w:t>Visits and Inspections</w:t>
      </w:r>
      <w:r>
        <w:rPr>
          <w:rFonts w:ascii="Times New Roman" w:cs="Times New Roman" w:eastAsia="Times New Roman" w:hAnsi="Times New Roman"/>
          <w:sz w:val="20"/>
          <w:szCs w:val="20"/>
          <w:color w:val="auto"/>
        </w:rPr>
        <w:t xml:space="preserve">. Permit representatives of the Administrative Agent or any Lender, from time to time upon prior reasonable notice and at such times during normal business hours, all at the expense of the Borrowers, to visit and inspect its properties; inspect, audit and make extracts from its books, records and files, including, but not limited to, management letters prepared by independent accountants; and discuss with its principal officers, and its independent accountants, its business, assets, liabilities, financial condition, results of operations and business prospects;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excluding any such visits and inspections during the continuation of an Event of Default, the Administrative Agent shall not exercise such rights more often than one (1) time during any calendar year at the Borrowers’ expense;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further that upon the occurrence and during the continuance of an Event of Default, the Administrative Agent or any Lender may do any of the foregoing at the expense of the Borrowers at any time without advance notice. Upon the request of the Administrative Agent or the Required Lenders, participate in a meeting of the Administrative Agent and Lenders once during each Fiscal Year, which meeting will be held at Centuri’s corporate offices (or such other location as may be agreed to by Centuri and the Administrative Agent) at such time as may be agreed by Centuri and the Administrative Agent.</w:t>
      </w:r>
    </w:p>
    <w:p>
      <w:pPr>
        <w:spacing w:after="0" w:line="171" w:lineRule="exact"/>
        <w:rPr>
          <w:sz w:val="20"/>
          <w:szCs w:val="20"/>
          <w:color w:val="auto"/>
        </w:rPr>
      </w:pPr>
    </w:p>
    <w:p>
      <w:pPr>
        <w:ind w:left="1320"/>
        <w:spacing w:after="0"/>
        <w:tabs>
          <w:tab w:leader="none" w:pos="2720" w:val="left"/>
        </w:tabs>
        <w:rPr>
          <w:sz w:val="20"/>
          <w:szCs w:val="20"/>
          <w:color w:val="auto"/>
        </w:rPr>
      </w:pPr>
      <w:r>
        <w:rPr>
          <w:rFonts w:ascii="Times New Roman" w:cs="Times New Roman" w:eastAsia="Times New Roman" w:hAnsi="Times New Roman"/>
          <w:sz w:val="20"/>
          <w:szCs w:val="20"/>
          <w:color w:val="auto"/>
        </w:rPr>
        <w:t>SECTION 8.14</w:t>
      </w:r>
      <w:r>
        <w:rPr>
          <w:sz w:val="20"/>
          <w:szCs w:val="20"/>
          <w:color w:val="auto"/>
        </w:rPr>
        <w:tab/>
      </w:r>
      <w:r>
        <w:rPr>
          <w:rFonts w:ascii="Times New Roman" w:cs="Times New Roman" w:eastAsia="Times New Roman" w:hAnsi="Times New Roman"/>
          <w:sz w:val="19"/>
          <w:szCs w:val="19"/>
          <w:u w:val="single" w:color="auto"/>
          <w:color w:val="auto"/>
        </w:rPr>
        <w:t>Additional Subsidiaries and Collateral</w:t>
      </w:r>
      <w:r>
        <w:rPr>
          <w:rFonts w:ascii="Times New Roman" w:cs="Times New Roman" w:eastAsia="Times New Roman" w:hAnsi="Times New Roman"/>
          <w:sz w:val="19"/>
          <w:szCs w:val="19"/>
          <w:color w:val="auto"/>
        </w:rPr>
        <w:t>.</w:t>
      </w:r>
    </w:p>
    <w:p>
      <w:pPr>
        <w:spacing w:after="0" w:line="225" w:lineRule="exact"/>
        <w:rPr>
          <w:sz w:val="20"/>
          <w:szCs w:val="20"/>
          <w:color w:val="auto"/>
        </w:rPr>
      </w:pPr>
    </w:p>
    <w:p>
      <w:pPr>
        <w:jc w:val="both"/>
        <w:ind w:left="680" w:firstLine="646"/>
        <w:spacing w:after="0" w:line="247" w:lineRule="auto"/>
        <w:tabs>
          <w:tab w:leader="none" w:pos="1927" w:val="left"/>
        </w:tabs>
        <w:numPr>
          <w:ilvl w:val="1"/>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US Subsidiaries</w:t>
      </w:r>
      <w:r>
        <w:rPr>
          <w:rFonts w:ascii="Times New Roman" w:cs="Times New Roman" w:eastAsia="Times New Roman" w:hAnsi="Times New Roman"/>
          <w:sz w:val="20"/>
          <w:szCs w:val="20"/>
          <w:color w:val="auto"/>
        </w:rPr>
        <w:t xml:space="preserve">. Promptly after (x) the creation or acquisition (including by statutory division) of any US Subsidiary (other than an Excluded Subsidiary), (y) any US Subsidiary that is an Excluded Subsidiary failing to constitute an Excluded Subsidiary or (z) the re-designation of any Immaterial Subsidiary (and, in any event, within thirty (30) days after such event, as such time period may be extended by the Administrative Agent in its sole discretion) cause such Person to (i) either (A) become a US Subsidiary Guarantor by delivering to the Administrative Agent a duly executed supplement to the US Credit Party Guaranty Agreement or such other document as the Administrative Agent shall deem appropriate for such purpose, or (B) become an Additional Borrower in compliance with </w:t>
      </w:r>
      <w:r>
        <w:rPr>
          <w:rFonts w:ascii="Times New Roman" w:cs="Times New Roman" w:eastAsia="Times New Roman" w:hAnsi="Times New Roman"/>
          <w:sz w:val="20"/>
          <w:szCs w:val="20"/>
          <w:u w:val="single" w:color="auto"/>
          <w:color w:val="auto"/>
        </w:rPr>
        <w:t>Section 5.17</w:t>
      </w:r>
      <w:r>
        <w:rPr>
          <w:rFonts w:ascii="Times New Roman" w:cs="Times New Roman" w:eastAsia="Times New Roman" w:hAnsi="Times New Roman"/>
          <w:sz w:val="20"/>
          <w:szCs w:val="20"/>
          <w:color w:val="auto"/>
        </w:rPr>
        <w:t>, (ii) grant a security interest, to secure all Secured Obligations, in all Collateral (subject to the exceptions specified in the US Collateral Agreement) owned by such US Subsidiary by delivering to the Administrative Agent a duly executed supplement to each applicable Security Document or such other document as the Administrative Agent shall deem appropriate for such purpose and comply with the terms of each applicable Security Document,</w:t>
      </w:r>
    </w:p>
    <w:p>
      <w:pPr>
        <w:jc w:val="both"/>
        <w:ind w:left="680" w:firstLine="4"/>
        <w:spacing w:after="0" w:line="244" w:lineRule="auto"/>
        <w:tabs>
          <w:tab w:leader="none" w:pos="1035"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deliver to the Administrative Agent such opinions, documents and certificates referred to in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as may be reasonably requested by the Administrative Agent, (iv) deliver to the Administrative Agent such original certificated Equity Interests or other certificates and stock or other transfer powers evidencing the Equity Interests of such Person,</w:t>
      </w:r>
    </w:p>
    <w:p>
      <w:pPr>
        <w:spacing w:after="0" w:line="2" w:lineRule="exact"/>
        <w:rPr>
          <w:rFonts w:ascii="Times New Roman" w:cs="Times New Roman" w:eastAsia="Times New Roman" w:hAnsi="Times New Roman"/>
          <w:sz w:val="20"/>
          <w:szCs w:val="20"/>
          <w:color w:val="auto"/>
        </w:rPr>
      </w:pPr>
    </w:p>
    <w:p>
      <w:pPr>
        <w:ind w:left="960" w:hanging="276"/>
        <w:spacing w:after="0" w:line="223" w:lineRule="auto"/>
        <w:tabs>
          <w:tab w:leader="none" w:pos="960"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 to the Administrative Agent such updated Schedules to the Loan Documents as requested by</w:t>
      </w:r>
    </w:p>
    <w:p>
      <w:pPr>
        <w:jc w:val="both"/>
        <w:ind w:left="680" w:right="60"/>
        <w:spacing w:after="0" w:line="25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with respect to such Person, and (vi) deliver to the Administrative Agent such other documents as may be reasonably requested by the Administrative Agent, all in form, content and scope reasonably satisfactory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525">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210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20"/>
          </w:cols>
          <w:pgMar w:left="320" w:top="1440" w:right="459" w:bottom="1440" w:gutter="0" w:footer="0" w:header="0"/>
        </w:sectPr>
      </w:pPr>
    </w:p>
    <w:bookmarkStart w:id="359" w:name="page360"/>
    <w:bookmarkEnd w:id="359"/>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526">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211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0139"/>
          </w:cols>
          <w:pgMar w:left="320" w:top="1440" w:right="1440" w:bottom="1440" w:gutter="0" w:footer="0" w:header="0"/>
        </w:sectPr>
      </w:pPr>
    </w:p>
    <w:bookmarkStart w:id="360" w:name="page361"/>
    <w:bookmarkEnd w:id="360"/>
    <w:p>
      <w:pPr>
        <w:spacing w:after="0" w:line="202" w:lineRule="exact"/>
        <w:rPr>
          <w:sz w:val="20"/>
          <w:szCs w:val="20"/>
          <w:color w:val="auto"/>
        </w:rPr>
      </w:pPr>
    </w:p>
    <w:p>
      <w:pPr>
        <w:jc w:val="both"/>
        <w:ind w:left="680" w:right="40" w:firstLine="646"/>
        <w:spacing w:after="0" w:line="247" w:lineRule="auto"/>
        <w:tabs>
          <w:tab w:leader="none" w:pos="1925" w:val="left"/>
        </w:tabs>
        <w:numPr>
          <w:ilvl w:val="2"/>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Canadian Subsidiaries</w:t>
      </w:r>
      <w:r>
        <w:rPr>
          <w:rFonts w:ascii="Times New Roman" w:cs="Times New Roman" w:eastAsia="Times New Roman" w:hAnsi="Times New Roman"/>
          <w:sz w:val="20"/>
          <w:szCs w:val="20"/>
          <w:color w:val="auto"/>
        </w:rPr>
        <w:t>. Promptly after (x) the creation or acquisition of any Canadian Subsidiary (other than an Excluded Subsidiary), (y) any Canadian Subsidiary that is an Excluded Subsidiary failing to constitute an Excluded Subsidiary or (z) the re-designation of any Immaterial Subsidiary (and in any event within thirty (30) days after such event, as such time period may be extended by the Administrative Agent in its sole discretion) cause such Canadian Subsidiary to</w:t>
      </w:r>
    </w:p>
    <w:p>
      <w:pPr>
        <w:spacing w:after="0" w:line="3" w:lineRule="exact"/>
        <w:rPr>
          <w:rFonts w:ascii="Times New Roman" w:cs="Times New Roman" w:eastAsia="Times New Roman" w:hAnsi="Times New Roman"/>
          <w:sz w:val="20"/>
          <w:szCs w:val="20"/>
          <w:color w:val="auto"/>
        </w:rPr>
      </w:pPr>
    </w:p>
    <w:p>
      <w:pPr>
        <w:jc w:val="both"/>
        <w:ind w:left="680" w:firstLine="4"/>
        <w:spacing w:after="0" w:line="246" w:lineRule="auto"/>
        <w:tabs>
          <w:tab w:leader="none" w:pos="917" w:val="left"/>
        </w:tabs>
        <w:numPr>
          <w:ilvl w:val="1"/>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either (A) become a Canadian Subsidiary Guarantor by delivering to the Administrative Agent a duly executed supplement to the Canadian Credit Party Guarantee Agreement or such other document as the Administrative Agent shall deem appropriate for such purpose, or (B) become an Additional Borrower in compliance with </w:t>
      </w:r>
      <w:r>
        <w:rPr>
          <w:rFonts w:ascii="Times New Roman" w:cs="Times New Roman" w:eastAsia="Times New Roman" w:hAnsi="Times New Roman"/>
          <w:sz w:val="20"/>
          <w:szCs w:val="20"/>
          <w:u w:val="single" w:color="auto"/>
          <w:color w:val="auto"/>
        </w:rPr>
        <w:t>Section 5.17</w:t>
      </w:r>
      <w:r>
        <w:rPr>
          <w:rFonts w:ascii="Times New Roman" w:cs="Times New Roman" w:eastAsia="Times New Roman" w:hAnsi="Times New Roman"/>
          <w:sz w:val="20"/>
          <w:szCs w:val="20"/>
          <w:color w:val="auto"/>
        </w:rPr>
        <w:t>, (ii) grant a security interest, to secure all Canadian Secured Obligations, in all Collateral (subject to the exceptions specified in the Canadian Collateral Agreement) owned by such Canadian Subsidiary by delivering to the Administrative Agent a duly executed supplement to each applicable Security Document or such other document as the Administrative Agent shall deem appropriate for such purpose and comply with the terms of each applicable Security Document,</w:t>
      </w:r>
    </w:p>
    <w:p>
      <w:pPr>
        <w:spacing w:after="0" w:line="2" w:lineRule="exact"/>
        <w:rPr>
          <w:rFonts w:ascii="Times New Roman" w:cs="Times New Roman" w:eastAsia="Times New Roman" w:hAnsi="Times New Roman"/>
          <w:sz w:val="20"/>
          <w:szCs w:val="20"/>
          <w:color w:val="auto"/>
        </w:rPr>
      </w:pPr>
    </w:p>
    <w:p>
      <w:pPr>
        <w:ind w:left="1020" w:hanging="336"/>
        <w:spacing w:after="0" w:line="223" w:lineRule="auto"/>
        <w:tabs>
          <w:tab w:leader="none" w:pos="1020" w:val="left"/>
        </w:tabs>
        <w:numPr>
          <w:ilvl w:val="1"/>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deliver to the Administrative Agent such opinions, documents and certificates referred to in </w:t>
      </w:r>
      <w:r>
        <w:rPr>
          <w:rFonts w:ascii="Times New Roman" w:cs="Times New Roman" w:eastAsia="Times New Roman" w:hAnsi="Times New Roman"/>
          <w:sz w:val="20"/>
          <w:szCs w:val="20"/>
          <w:u w:val="single" w:color="auto"/>
          <w:color w:val="auto"/>
        </w:rPr>
        <w:t>Section</w:t>
      </w:r>
    </w:p>
    <w:p>
      <w:pPr>
        <w:jc w:val="both"/>
        <w:ind w:left="680" w:right="20"/>
        <w:spacing w:after="0" w:line="248" w:lineRule="auto"/>
        <w:rPr>
          <w:sz w:val="20"/>
          <w:szCs w:val="20"/>
          <w:color w:val="auto"/>
        </w:rPr>
      </w:pPr>
      <w:r>
        <w:rPr>
          <w:rFonts w:ascii="Times New Roman" w:cs="Times New Roman" w:eastAsia="Times New Roman" w:hAnsi="Times New Roman"/>
          <w:sz w:val="20"/>
          <w:szCs w:val="20"/>
          <w:u w:val="single" w:color="auto"/>
          <w:color w:val="auto"/>
        </w:rPr>
        <w:t>6.1</w:t>
      </w:r>
      <w:r>
        <w:rPr>
          <w:rFonts w:ascii="Times New Roman" w:cs="Times New Roman" w:eastAsia="Times New Roman" w:hAnsi="Times New Roman"/>
          <w:sz w:val="20"/>
          <w:szCs w:val="20"/>
          <w:color w:val="auto"/>
        </w:rPr>
        <w:t xml:space="preserve"> as may be reasonably requested by the Administrative Agent, (iv) deliver to the Administrative Agent such original certificated Equity Interests or other certificates and stock or other transfer powers evidencing the Equity Interests of such Person, (v) deliver to the Administrative Agent such updated Schedules to the Loan Documents as requested by the Administrative Agent with respect to such Person, and (vi) deliver to the Administrative Agent such other documents as may be reasonably requested by the Administrative Agent, all in form, content and scope reasonably satisfactory to the Administrative Agent.</w:t>
      </w:r>
    </w:p>
    <w:p>
      <w:pPr>
        <w:spacing w:after="0" w:line="181" w:lineRule="exact"/>
        <w:rPr>
          <w:sz w:val="20"/>
          <w:szCs w:val="20"/>
          <w:color w:val="auto"/>
        </w:rPr>
      </w:pPr>
    </w:p>
    <w:p>
      <w:pPr>
        <w:jc w:val="both"/>
        <w:ind w:left="680" w:right="40" w:firstLine="646"/>
        <w:spacing w:after="0" w:line="246" w:lineRule="auto"/>
        <w:tabs>
          <w:tab w:leader="none" w:pos="1927" w:val="left"/>
        </w:tabs>
        <w:numPr>
          <w:ilvl w:val="1"/>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First Tier Foreign Subsidiaries</w:t>
      </w:r>
      <w:r>
        <w:rPr>
          <w:rFonts w:ascii="Times New Roman" w:cs="Times New Roman" w:eastAsia="Times New Roman" w:hAnsi="Times New Roman"/>
          <w:sz w:val="20"/>
          <w:szCs w:val="20"/>
          <w:color w:val="auto"/>
        </w:rPr>
        <w:t xml:space="preserve">. Notify the Administrative Agent promptly after any Person becomes a First Tier Foreign Subsidiary, and at the request of the Administrative Agent, promptly thereafter (and, in any event, within forty-five (45) days after such request, as such time period may be extended by the Administrative Agent in its sole discretion), cause (i) the applicable US Credit Party to deliver to the Administrative Agent Security Documents pledging (A) as security for the US Secured Obligations, sixty-six percent (66%) of the total outstanding voting Equity Interests (and one hundred percent (100%) of the non-voting Equity Interests) of any such new First Tier Foreign Subsidiary and (B) as security for the Canadian Secured Obligations, one hundred percent (100%) of the Equity Interests of any such new First Tier Foreign Subsidiary and, in each case, a consent thereto executed by such new First Tier Foreign Subsidiary (including, without limitation, if applicable, original stock certificates (or the equivalent thereof pursuant to the Applicable Laws and practices of any relevant foreign jurisdiction) evidencing the Equity Interests of such new First Tier Foreign Subsidiary, together with an appropriate undated stock power for each certificate duly executed in blank by the registered owner thereof), (ii) such Person to deliver to the Administrative Agent such opinions, documents and certificates referred to in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as may be reasonably requested by the Administrative Agent,</w:t>
      </w:r>
    </w:p>
    <w:p>
      <w:pPr>
        <w:spacing w:after="0" w:line="1" w:lineRule="exact"/>
        <w:rPr>
          <w:rFonts w:ascii="Times New Roman" w:cs="Times New Roman" w:eastAsia="Times New Roman" w:hAnsi="Times New Roman"/>
          <w:sz w:val="20"/>
          <w:szCs w:val="20"/>
          <w:color w:val="auto"/>
        </w:rPr>
      </w:pPr>
    </w:p>
    <w:p>
      <w:pPr>
        <w:ind w:left="1020" w:hanging="336"/>
        <w:spacing w:after="0" w:line="237" w:lineRule="auto"/>
        <w:tabs>
          <w:tab w:leader="none" w:pos="1020" w:val="left"/>
        </w:tabs>
        <w:numPr>
          <w:ilvl w:val="0"/>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Person to deliver to the Administrative Agent such updated Schedules to the Loan Documents</w:t>
      </w:r>
    </w:p>
    <w:p>
      <w:pPr>
        <w:jc w:val="both"/>
        <w:ind w:left="680" w:right="60"/>
        <w:spacing w:after="0" w:line="245" w:lineRule="auto"/>
        <w:rPr>
          <w:sz w:val="20"/>
          <w:szCs w:val="20"/>
          <w:color w:val="auto"/>
        </w:rPr>
      </w:pPr>
      <w:r>
        <w:rPr>
          <w:rFonts w:ascii="Times New Roman" w:cs="Times New Roman" w:eastAsia="Times New Roman" w:hAnsi="Times New Roman"/>
          <w:sz w:val="20"/>
          <w:szCs w:val="20"/>
          <w:color w:val="auto"/>
        </w:rPr>
        <w:t>as requested by the Administrative Agent with regard to such Person and (iv) such Person to deliver to the Administrative Agent such other documents as may be reasonably requested by the Administrative Agent, all in form, content and scope reasonably satisfactory to the Administrative Agent.</w:t>
      </w:r>
    </w:p>
    <w:p>
      <w:pPr>
        <w:spacing w:after="0" w:line="183" w:lineRule="exact"/>
        <w:rPr>
          <w:sz w:val="20"/>
          <w:szCs w:val="20"/>
          <w:color w:val="auto"/>
        </w:rPr>
      </w:pPr>
    </w:p>
    <w:p>
      <w:pPr>
        <w:jc w:val="both"/>
        <w:ind w:left="680" w:firstLine="646"/>
        <w:spacing w:after="0" w:line="250" w:lineRule="auto"/>
        <w:tabs>
          <w:tab w:leader="none" w:pos="1925" w:val="left"/>
        </w:tabs>
        <w:numPr>
          <w:ilvl w:val="0"/>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Merger Subsidiaries</w:t>
      </w:r>
      <w:r>
        <w:rPr>
          <w:rFonts w:ascii="Times New Roman" w:cs="Times New Roman" w:eastAsia="Times New Roman" w:hAnsi="Times New Roman"/>
          <w:sz w:val="20"/>
          <w:szCs w:val="20"/>
          <w:color w:val="auto"/>
        </w:rPr>
        <w:t xml:space="preserve">. Notwithstanding the foregoing, to the extent any new Subsidiary is created solely for the purpose of consummating a merger transaction pursuant to a Permitted Acquisition, and such new Subsidiary at no time holds any assets or liabilities other than any merger consideration contributed to it contemporaneously with the closing of such merger transaction, such new Subsidiary shall not be required to take the actions set forth in </w:t>
      </w:r>
      <w:r>
        <w:rPr>
          <w:rFonts w:ascii="Times New Roman" w:cs="Times New Roman" w:eastAsia="Times New Roman" w:hAnsi="Times New Roman"/>
          <w:sz w:val="20"/>
          <w:szCs w:val="20"/>
          <w:u w:val="single" w:color="auto"/>
          <w:color w:val="auto"/>
        </w:rPr>
        <w:t>Section 8.14(a)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as applicable, until the consummation of such Permitted Acquisition (at which time, the surviving entity of the respective merger transaction shall be required to so comply with </w:t>
      </w:r>
      <w:r>
        <w:rPr>
          <w:rFonts w:ascii="Times New Roman" w:cs="Times New Roman" w:eastAsia="Times New Roman" w:hAnsi="Times New Roman"/>
          <w:sz w:val="20"/>
          <w:szCs w:val="20"/>
          <w:u w:val="single" w:color="auto"/>
          <w:color w:val="auto"/>
        </w:rPr>
        <w:t>Section 8.14(a)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as applicable, within ten (10)</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527">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212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20"/>
          </w:cols>
          <w:pgMar w:left="320" w:top="1440" w:right="459" w:bottom="1440" w:gutter="0" w:footer="0" w:header="0"/>
        </w:sectPr>
      </w:pPr>
    </w:p>
    <w:bookmarkStart w:id="361" w:name="page362"/>
    <w:bookmarkEnd w:id="361"/>
    <w:p>
      <w:pPr>
        <w:spacing w:after="0" w:line="95" w:lineRule="exact"/>
        <w:rPr>
          <w:sz w:val="20"/>
          <w:szCs w:val="20"/>
          <w:color w:val="auto"/>
        </w:rPr>
      </w:pPr>
    </w:p>
    <w:p>
      <w:pPr>
        <w:ind w:left="680"/>
        <w:spacing w:after="0" w:line="277" w:lineRule="auto"/>
        <w:rPr>
          <w:sz w:val="20"/>
          <w:szCs w:val="20"/>
          <w:color w:val="auto"/>
        </w:rPr>
      </w:pPr>
      <w:r>
        <w:rPr>
          <w:rFonts w:ascii="Times New Roman" w:cs="Times New Roman" w:eastAsia="Times New Roman" w:hAnsi="Times New Roman"/>
          <w:sz w:val="20"/>
          <w:szCs w:val="20"/>
          <w:color w:val="auto"/>
        </w:rPr>
        <w:t>Business Days of the consummation of such Permitted Acquisition, as such time period may be extended by the Administrative Agent in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528">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213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20"/>
          </w:cols>
          <w:pgMar w:left="320" w:top="1440" w:right="459" w:bottom="1440" w:gutter="0" w:footer="0" w:header="0"/>
        </w:sectPr>
      </w:pPr>
    </w:p>
    <w:bookmarkStart w:id="362" w:name="page363"/>
    <w:bookmarkEnd w:id="362"/>
    <w:p>
      <w:pPr>
        <w:spacing w:after="0" w:line="202" w:lineRule="exact"/>
        <w:rPr>
          <w:sz w:val="20"/>
          <w:szCs w:val="20"/>
          <w:color w:val="auto"/>
        </w:rPr>
      </w:pPr>
    </w:p>
    <w:p>
      <w:pPr>
        <w:jc w:val="both"/>
        <w:ind w:left="680" w:right="20" w:firstLine="646"/>
        <w:spacing w:after="0" w:line="248" w:lineRule="auto"/>
        <w:tabs>
          <w:tab w:leader="none" w:pos="1927" w:val="left"/>
        </w:tabs>
        <w:numPr>
          <w:ilvl w:val="1"/>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Collateral</w:t>
      </w:r>
      <w:r>
        <w:rPr>
          <w:rFonts w:ascii="Times New Roman" w:cs="Times New Roman" w:eastAsia="Times New Roman" w:hAnsi="Times New Roman"/>
          <w:sz w:val="20"/>
          <w:szCs w:val="20"/>
          <w:color w:val="auto"/>
        </w:rPr>
        <w:t>. After the Closing Date, Centuri will notify the Administrative Agent in writing promptly upon any Credit Party’s acquisition (including any acquisition by statutory division) or ownership of any Collateral not already covered by the US Collateral Agreement or Canadian Collateral Agreement, as applicable (such acquisition or ownership being herein called an “</w:t>
      </w:r>
      <w:r>
        <w:rPr>
          <w:rFonts w:ascii="Times New Roman" w:cs="Times New Roman" w:eastAsia="Times New Roman" w:hAnsi="Times New Roman"/>
          <w:sz w:val="20"/>
          <w:szCs w:val="20"/>
          <w:u w:val="single" w:color="auto"/>
          <w:color w:val="auto"/>
        </w:rPr>
        <w:t>Additional Collateral Event</w:t>
      </w:r>
      <w:r>
        <w:rPr>
          <w:rFonts w:ascii="Times New Roman" w:cs="Times New Roman" w:eastAsia="Times New Roman" w:hAnsi="Times New Roman"/>
          <w:sz w:val="20"/>
          <w:szCs w:val="20"/>
          <w:color w:val="auto"/>
        </w:rPr>
        <w:t>” and the property so acquired or owned being herein called “</w:t>
      </w:r>
      <w:r>
        <w:rPr>
          <w:rFonts w:ascii="Times New Roman" w:cs="Times New Roman" w:eastAsia="Times New Roman" w:hAnsi="Times New Roman"/>
          <w:sz w:val="20"/>
          <w:szCs w:val="20"/>
          <w:u w:val="single" w:color="auto"/>
          <w:color w:val="auto"/>
        </w:rPr>
        <w:t>Additional Collateral</w:t>
      </w:r>
      <w:r>
        <w:rPr>
          <w:rFonts w:ascii="Times New Roman" w:cs="Times New Roman" w:eastAsia="Times New Roman" w:hAnsi="Times New Roman"/>
          <w:sz w:val="20"/>
          <w:szCs w:val="20"/>
          <w:color w:val="auto"/>
        </w:rPr>
        <w:t>”). As soon as practicable and in any event within thirty (30) days (or such longer period as the Administrative Agent shall agree) after an Additional Collateral Event, the applicable Credit Party shall</w:t>
      </w:r>
    </w:p>
    <w:p>
      <w:pPr>
        <w:ind w:left="920" w:hanging="236"/>
        <w:spacing w:after="0"/>
        <w:tabs>
          <w:tab w:leader="none" w:pos="920" w:val="left"/>
        </w:tabs>
        <w:numPr>
          <w:ilvl w:val="0"/>
          <w:numId w:val="2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and deliver or cause to be executed and delivered Security Documents, in form and substance reasonably satisfactory to</w:t>
      </w:r>
    </w:p>
    <w:p>
      <w:pPr>
        <w:spacing w:after="0" w:line="14" w:lineRule="exact"/>
        <w:rPr>
          <w:sz w:val="20"/>
          <w:szCs w:val="20"/>
          <w:color w:val="auto"/>
        </w:rPr>
      </w:pPr>
    </w:p>
    <w:p>
      <w:pPr>
        <w:jc w:val="both"/>
        <w:ind w:left="680" w:right="20"/>
        <w:spacing w:after="0" w:line="246" w:lineRule="auto"/>
        <w:rPr>
          <w:sz w:val="20"/>
          <w:szCs w:val="20"/>
          <w:color w:val="auto"/>
        </w:rPr>
      </w:pPr>
      <w:r>
        <w:rPr>
          <w:rFonts w:ascii="Times New Roman" w:cs="Times New Roman" w:eastAsia="Times New Roman" w:hAnsi="Times New Roman"/>
          <w:sz w:val="20"/>
          <w:szCs w:val="20"/>
          <w:color w:val="auto"/>
        </w:rPr>
        <w:t>Administrative Agent, in favor of Administrative Agent and duly executed by the applicable Credit Party, covering and effecting and granting a first-priority Lien (subject to Permitted Liens) upon the applicable Additional Collateral, and such other documents (including, without limitation, certificates and legal opinions, all in form and substance reasonably satisfactory to Administrative Agent) as may be reasonably required by Administrative Agent in connection with the execution and delivery of such Security Documents and (ii) deliver or cause to be delivered by the Consolidated Companies such other documents or certificates consistent with the terms of this Agreement and relating to the transactions contemplated hereby as Administrative Agent may reasonably request.</w:t>
      </w:r>
    </w:p>
    <w:p>
      <w:pPr>
        <w:spacing w:after="0" w:line="182" w:lineRule="exact"/>
        <w:rPr>
          <w:sz w:val="20"/>
          <w:szCs w:val="20"/>
          <w:color w:val="auto"/>
        </w:rPr>
      </w:pPr>
    </w:p>
    <w:p>
      <w:pPr>
        <w:ind w:left="680" w:right="20" w:firstLine="642"/>
        <w:spacing w:after="0" w:line="249" w:lineRule="auto"/>
        <w:rPr>
          <w:sz w:val="20"/>
          <w:szCs w:val="20"/>
          <w:color w:val="auto"/>
        </w:rPr>
      </w:pPr>
      <w:r>
        <w:rPr>
          <w:rFonts w:ascii="Times New Roman" w:cs="Times New Roman" w:eastAsia="Times New Roman" w:hAnsi="Times New Roman"/>
          <w:sz w:val="20"/>
          <w:szCs w:val="20"/>
          <w:color w:val="auto"/>
        </w:rPr>
        <w:t xml:space="preserve">SECTION 8.15 </w:t>
      </w:r>
      <w:r>
        <w:rPr>
          <w:rFonts w:ascii="Times New Roman" w:cs="Times New Roman" w:eastAsia="Times New Roman" w:hAnsi="Times New Roman"/>
          <w:sz w:val="20"/>
          <w:szCs w:val="20"/>
          <w:u w:val="single" w:color="auto"/>
          <w:color w:val="auto"/>
        </w:rPr>
        <w:t>Use of Proceeds</w:t>
      </w:r>
      <w:r>
        <w:rPr>
          <w:rFonts w:ascii="Times New Roman" w:cs="Times New Roman" w:eastAsia="Times New Roman" w:hAnsi="Times New Roman"/>
          <w:sz w:val="20"/>
          <w:szCs w:val="20"/>
          <w:color w:val="auto"/>
        </w:rPr>
        <w:t>. The Borrowers shall use the proceeds of the Extensions of Credit (a) to finance the Transactions, (b) pay fees, commissions and expenses in connection with the Transactions, and (c) for working capital and general corporate purposes of the Consolidated Companies, including the payment of certain fees and expenses incurred in connection with the Transactions and this Agreement. No Borrower will request any Extension of Credit, nor shall any Borrower use, and each Borrower shall ensure that its Subsidiaries and its or their respective directors, officers, employees and agents shall not use, the proceeds of any Extension of Credit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or (iii) in any manner that would result in the violation of any Sanctions applicable to any party hereto.</w:t>
      </w:r>
    </w:p>
    <w:p>
      <w:pPr>
        <w:spacing w:after="0" w:line="166" w:lineRule="exact"/>
        <w:rPr>
          <w:sz w:val="20"/>
          <w:szCs w:val="20"/>
          <w:color w:val="auto"/>
        </w:rPr>
      </w:pPr>
    </w:p>
    <w:p>
      <w:pPr>
        <w:jc w:val="both"/>
        <w:ind w:left="680" w:firstLine="642"/>
        <w:spacing w:after="0" w:line="248" w:lineRule="auto"/>
        <w:rPr>
          <w:sz w:val="20"/>
          <w:szCs w:val="20"/>
          <w:color w:val="auto"/>
        </w:rPr>
      </w:pPr>
      <w:r>
        <w:rPr>
          <w:rFonts w:ascii="Times New Roman" w:cs="Times New Roman" w:eastAsia="Times New Roman" w:hAnsi="Times New Roman"/>
          <w:sz w:val="20"/>
          <w:szCs w:val="20"/>
          <w:color w:val="auto"/>
        </w:rPr>
        <w:t xml:space="preserve">SECTION 8.16 </w:t>
      </w:r>
      <w:r>
        <w:rPr>
          <w:rFonts w:ascii="Times New Roman" w:cs="Times New Roman" w:eastAsia="Times New Roman" w:hAnsi="Times New Roman"/>
          <w:sz w:val="20"/>
          <w:szCs w:val="20"/>
          <w:u w:val="single" w:color="auto"/>
          <w:color w:val="auto"/>
        </w:rPr>
        <w:t>Corporate Governance</w:t>
      </w:r>
      <w:r>
        <w:rPr>
          <w:rFonts w:ascii="Times New Roman" w:cs="Times New Roman" w:eastAsia="Times New Roman" w:hAnsi="Times New Roman"/>
          <w:sz w:val="20"/>
          <w:szCs w:val="20"/>
          <w:color w:val="auto"/>
        </w:rPr>
        <w:t xml:space="preserve">. (a) Maintain entity records and books of account separate from those of any other entity which is an Affiliate of such entity, (b) not commingle its funds or assets with those of any other entity which is an Affiliate of such entity (except pursuant to cash management systems reasonably acceptable to the Administrative Agent) and (c) provide that its board of directors (or equivalent governing body) will hold all appropriate meetings, or act by unanimous written consent, to authorize and approve such entity’s actions, which meetings will be separate from those of any other entity which is an Affiliate of such entity;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Centuri and Southwest Administrators, Inc. shall be permitted, at the request of Centuri, to (x) maintain entity records and books of account that are not separate and (y) commingle their funds and assets on an as needed basis to conduct the Consolidated Companies’ business in its ordinary course consistent with past practices.</w:t>
      </w:r>
    </w:p>
    <w:p>
      <w:pPr>
        <w:spacing w:after="0" w:line="185" w:lineRule="exact"/>
        <w:rPr>
          <w:sz w:val="20"/>
          <w:szCs w:val="20"/>
          <w:color w:val="auto"/>
        </w:rPr>
      </w:pPr>
    </w:p>
    <w:p>
      <w:pPr>
        <w:jc w:val="both"/>
        <w:ind w:left="680" w:right="20" w:firstLine="642"/>
        <w:spacing w:after="0" w:line="250" w:lineRule="auto"/>
        <w:rPr>
          <w:sz w:val="20"/>
          <w:szCs w:val="20"/>
          <w:color w:val="auto"/>
        </w:rPr>
      </w:pPr>
      <w:r>
        <w:rPr>
          <w:rFonts w:ascii="Times New Roman" w:cs="Times New Roman" w:eastAsia="Times New Roman" w:hAnsi="Times New Roman"/>
          <w:sz w:val="20"/>
          <w:szCs w:val="20"/>
          <w:color w:val="auto"/>
        </w:rPr>
        <w:t xml:space="preserve">SECTION 8.17 </w:t>
      </w:r>
      <w:r>
        <w:rPr>
          <w:rFonts w:ascii="Times New Roman" w:cs="Times New Roman" w:eastAsia="Times New Roman" w:hAnsi="Times New Roman"/>
          <w:sz w:val="20"/>
          <w:szCs w:val="20"/>
          <w:u w:val="single" w:color="auto"/>
          <w:color w:val="auto"/>
        </w:rPr>
        <w:t>Further Assurances</w:t>
      </w:r>
      <w:r>
        <w:rPr>
          <w:rFonts w:ascii="Times New Roman" w:cs="Times New Roman" w:eastAsia="Times New Roman" w:hAnsi="Times New Roman"/>
          <w:sz w:val="20"/>
          <w:szCs w:val="20"/>
          <w:color w:val="auto"/>
        </w:rPr>
        <w:t>. Execute any and all further documents, financing statements, agreements and instruments, and take all such further actions (including the filing and recording of financing statements and other documents), which may be required under any Applicable Law, or which the Administrative Agent or the Required Lenders may reasonably request, to effectuate the transactions contemplated by the Loan Documents or to grant, preserve, protect or perfect the Liens created or intended to be created by the Security Documents or the validity or priority of any such Lien, all at the expense of the Credit Parties.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529">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214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363" w:name="page364"/>
    <w:bookmarkEnd w:id="363"/>
    <w:p>
      <w:pPr>
        <w:spacing w:after="0" w:line="95" w:lineRule="exact"/>
        <w:rPr>
          <w:sz w:val="20"/>
          <w:szCs w:val="20"/>
          <w:color w:val="auto"/>
        </w:rPr>
      </w:pPr>
    </w:p>
    <w:p>
      <w:pPr>
        <w:ind w:left="680" w:firstLine="642"/>
        <w:spacing w:after="0" w:line="263" w:lineRule="auto"/>
        <w:rPr>
          <w:sz w:val="20"/>
          <w:szCs w:val="20"/>
          <w:color w:val="auto"/>
        </w:rPr>
      </w:pPr>
      <w:r>
        <w:rPr>
          <w:rFonts w:ascii="Times New Roman" w:cs="Times New Roman" w:eastAsia="Times New Roman" w:hAnsi="Times New Roman"/>
          <w:sz w:val="20"/>
          <w:szCs w:val="20"/>
          <w:color w:val="auto"/>
        </w:rPr>
        <w:t xml:space="preserve">SECTION 8.18 </w:t>
      </w:r>
      <w:r>
        <w:rPr>
          <w:rFonts w:ascii="Times New Roman" w:cs="Times New Roman" w:eastAsia="Times New Roman" w:hAnsi="Times New Roman"/>
          <w:sz w:val="20"/>
          <w:szCs w:val="20"/>
          <w:u w:val="single" w:color="auto"/>
          <w:color w:val="auto"/>
        </w:rPr>
        <w:t>Compliance with Anti-Corruption Laws; Beneficial Ownership Regulation, Anti-Money Laundering Laws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and Sanctions</w:t>
      </w:r>
      <w:r>
        <w:rPr>
          <w:rFonts w:ascii="Times New Roman" w:cs="Times New Roman" w:eastAsia="Times New Roman" w:hAnsi="Times New Roman"/>
          <w:sz w:val="20"/>
          <w:szCs w:val="20"/>
          <w:color w:val="auto"/>
        </w:rPr>
        <w:t>. Each Borrower will maintain in effect and enforce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530">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215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364" w:name="page365"/>
    <w:bookmarkEnd w:id="364"/>
    <w:p>
      <w:pPr>
        <w:spacing w:after="0" w:line="201" w:lineRule="exact"/>
        <w:rPr>
          <w:sz w:val="20"/>
          <w:szCs w:val="20"/>
          <w:color w:val="auto"/>
        </w:rPr>
      </w:pPr>
    </w:p>
    <w:p>
      <w:pPr>
        <w:jc w:val="both"/>
        <w:ind w:left="680" w:right="40"/>
        <w:spacing w:after="0" w:line="248" w:lineRule="auto"/>
        <w:rPr>
          <w:sz w:val="20"/>
          <w:szCs w:val="20"/>
          <w:color w:val="auto"/>
        </w:rPr>
      </w:pPr>
      <w:r>
        <w:rPr>
          <w:rFonts w:ascii="Times New Roman" w:cs="Times New Roman" w:eastAsia="Times New Roman" w:hAnsi="Times New Roman"/>
          <w:sz w:val="20"/>
          <w:szCs w:val="20"/>
          <w:color w:val="auto"/>
        </w:rPr>
        <w:t>and procedures designed to ensure compliance by such Borrower, its Subsidiaries and their respective directors, officers, employees and agents (a) in all material respects with Anti-Corruption Laws and applicable Sanctions, (b) notify the Administrative Agent and each Lender that previously received a Beneficial Ownership Certification of any change in the information provided in the Beneficial Ownership Certification that would result in a change to the list of beneficial owners identified therein and (c) promptly upon the reasonable request of the Administrative Agent or any Lender, provide the Administrative Agent or such Lender, as the case may be, any information or documentation requested by it for purposes of complying with the Beneficial Ownership Regulation.</w:t>
      </w:r>
    </w:p>
    <w:p>
      <w:pPr>
        <w:spacing w:after="0" w:line="182" w:lineRule="exact"/>
        <w:rPr>
          <w:sz w:val="20"/>
          <w:szCs w:val="20"/>
          <w:color w:val="auto"/>
        </w:rPr>
      </w:pPr>
    </w:p>
    <w:p>
      <w:pPr>
        <w:jc w:val="both"/>
        <w:ind w:left="680" w:right="40" w:firstLine="642"/>
        <w:spacing w:after="0" w:line="277" w:lineRule="auto"/>
        <w:rPr>
          <w:sz w:val="20"/>
          <w:szCs w:val="20"/>
          <w:color w:val="auto"/>
        </w:rPr>
      </w:pPr>
      <w:r>
        <w:rPr>
          <w:rFonts w:ascii="Times New Roman" w:cs="Times New Roman" w:eastAsia="Times New Roman" w:hAnsi="Times New Roman"/>
          <w:sz w:val="20"/>
          <w:szCs w:val="20"/>
          <w:color w:val="auto"/>
        </w:rPr>
        <w:t xml:space="preserve">SECTION 8.19 </w:t>
      </w:r>
      <w:r>
        <w:rPr>
          <w:rFonts w:ascii="Times New Roman" w:cs="Times New Roman" w:eastAsia="Times New Roman" w:hAnsi="Times New Roman"/>
          <w:sz w:val="20"/>
          <w:szCs w:val="20"/>
          <w:u w:val="single" w:color="auto"/>
          <w:color w:val="auto"/>
        </w:rPr>
        <w:t>Post-Closing Matters</w:t>
      </w:r>
      <w:r>
        <w:rPr>
          <w:rFonts w:ascii="Times New Roman" w:cs="Times New Roman" w:eastAsia="Times New Roman" w:hAnsi="Times New Roman"/>
          <w:sz w:val="20"/>
          <w:szCs w:val="20"/>
          <w:color w:val="auto"/>
        </w:rPr>
        <w:t xml:space="preserve">. Execute and deliver the documents and complete the tasks set forth on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8.19</w:t>
      </w:r>
      <w:r>
        <w:rPr>
          <w:rFonts w:ascii="Times New Roman" w:cs="Times New Roman" w:eastAsia="Times New Roman" w:hAnsi="Times New Roman"/>
          <w:sz w:val="20"/>
          <w:szCs w:val="20"/>
          <w:color w:val="auto"/>
        </w:rPr>
        <w:t>, in each case within the time limits specified on such schedule.</w:t>
      </w:r>
    </w:p>
    <w:p>
      <w:pPr>
        <w:spacing w:after="0" w:line="25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color w:val="auto"/>
        </w:rPr>
        <w:t>ARTICLE IX NEGATIVE COVENANTS</w:t>
      </w:r>
    </w:p>
    <w:p>
      <w:pPr>
        <w:spacing w:after="0" w:line="118" w:lineRule="exact"/>
        <w:rPr>
          <w:sz w:val="20"/>
          <w:szCs w:val="20"/>
          <w:color w:val="auto"/>
        </w:rPr>
      </w:pPr>
    </w:p>
    <w:p>
      <w:pPr>
        <w:jc w:val="both"/>
        <w:ind w:left="680" w:right="20" w:firstLine="642"/>
        <w:spacing w:after="0" w:line="257" w:lineRule="auto"/>
        <w:rPr>
          <w:sz w:val="20"/>
          <w:szCs w:val="20"/>
          <w:color w:val="auto"/>
        </w:rPr>
      </w:pPr>
      <w:r>
        <w:rPr>
          <w:rFonts w:ascii="Times New Roman" w:cs="Times New Roman" w:eastAsia="Times New Roman" w:hAnsi="Times New Roman"/>
          <w:sz w:val="20"/>
          <w:szCs w:val="20"/>
          <w:color w:val="auto"/>
        </w:rPr>
        <w:t>Until all of the Obligations (other than contingent, indemnification obligations not then due) have been paid and satisfied in full in cash, all Letters of Credit have been terminated or expired (or been Cash Collateralized) and the Commitments terminated, the Credit Parties will not, and will not permit any of their respective Subsidiaries to:</w:t>
      </w:r>
    </w:p>
    <w:p>
      <w:pPr>
        <w:spacing w:after="0" w:line="171" w:lineRule="exact"/>
        <w:rPr>
          <w:sz w:val="20"/>
          <w:szCs w:val="20"/>
          <w:color w:val="auto"/>
        </w:rPr>
      </w:pPr>
    </w:p>
    <w:p>
      <w:pPr>
        <w:ind w:left="1320"/>
        <w:spacing w:after="0"/>
        <w:tabs>
          <w:tab w:leader="none" w:pos="2620" w:val="left"/>
          <w:tab w:leader="none" w:pos="3900" w:val="left"/>
        </w:tabs>
        <w:rPr>
          <w:sz w:val="20"/>
          <w:szCs w:val="20"/>
          <w:color w:val="auto"/>
        </w:rPr>
      </w:pPr>
      <w:r>
        <w:rPr>
          <w:rFonts w:ascii="Times New Roman" w:cs="Times New Roman" w:eastAsia="Times New Roman" w:hAnsi="Times New Roman"/>
          <w:sz w:val="20"/>
          <w:szCs w:val="20"/>
          <w:color w:val="auto"/>
        </w:rPr>
        <w:t>SECTION 9.1</w:t>
      </w:r>
      <w:r>
        <w:rPr>
          <w:sz w:val="20"/>
          <w:szCs w:val="20"/>
          <w:color w:val="auto"/>
        </w:rPr>
        <w:tab/>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Create, incur, assume or suffer to exist any Indebtedness</w:t>
      </w:r>
    </w:p>
    <w:p>
      <w:pPr>
        <w:spacing w:after="0" w:line="1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except:</w:t>
      </w:r>
    </w:p>
    <w:p>
      <w:pPr>
        <w:spacing w:after="0" w:line="176" w:lineRule="exact"/>
        <w:rPr>
          <w:sz w:val="20"/>
          <w:szCs w:val="20"/>
          <w:color w:val="auto"/>
        </w:rPr>
      </w:pPr>
    </w:p>
    <w:p>
      <w:pPr>
        <w:ind w:left="1960" w:hanging="633"/>
        <w:spacing w:after="0"/>
        <w:tabs>
          <w:tab w:leader="none" w:pos="1960" w:val="left"/>
        </w:tabs>
        <w:numPr>
          <w:ilvl w:val="1"/>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Obligations;</w:t>
      </w:r>
    </w:p>
    <w:p>
      <w:pPr>
        <w:spacing w:after="0" w:line="224" w:lineRule="exact"/>
        <w:rPr>
          <w:rFonts w:ascii="Times New Roman" w:cs="Times New Roman" w:eastAsia="Times New Roman" w:hAnsi="Times New Roman"/>
          <w:sz w:val="20"/>
          <w:szCs w:val="20"/>
          <w:color w:val="auto"/>
        </w:rPr>
      </w:pPr>
    </w:p>
    <w:p>
      <w:pPr>
        <w:jc w:val="both"/>
        <w:ind w:left="680" w:right="20" w:firstLine="646"/>
        <w:spacing w:after="0" w:line="257" w:lineRule="auto"/>
        <w:tabs>
          <w:tab w:leader="none" w:pos="1925" w:val="left"/>
        </w:tabs>
        <w:numPr>
          <w:ilvl w:val="1"/>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and obligations owing (i) under Hedge Agreements entered into in order to manage existing or anticipated interest rate, exchange rate or commodity price risks and not for speculative purposes, or (ii) to Cash Management Banks pursuant to Cash Management Agreements entered into in the ordinary course of business;</w:t>
      </w:r>
    </w:p>
    <w:p>
      <w:pPr>
        <w:spacing w:after="0" w:line="170" w:lineRule="exact"/>
        <w:rPr>
          <w:rFonts w:ascii="Times New Roman" w:cs="Times New Roman" w:eastAsia="Times New Roman" w:hAnsi="Times New Roman"/>
          <w:sz w:val="20"/>
          <w:szCs w:val="20"/>
          <w:color w:val="auto"/>
        </w:rPr>
      </w:pPr>
    </w:p>
    <w:p>
      <w:pPr>
        <w:jc w:val="both"/>
        <w:ind w:left="680" w:firstLine="646"/>
        <w:spacing w:after="0" w:line="262" w:lineRule="auto"/>
        <w:tabs>
          <w:tab w:leader="none" w:pos="1927" w:val="left"/>
        </w:tabs>
        <w:numPr>
          <w:ilvl w:val="1"/>
          <w:numId w:val="2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Indebtedness existing on the Closing Date and listed on </w:t>
      </w:r>
      <w:r>
        <w:rPr>
          <w:rFonts w:ascii="Times New Roman" w:cs="Times New Roman" w:eastAsia="Times New Roman" w:hAnsi="Times New Roman"/>
          <w:sz w:val="19"/>
          <w:szCs w:val="19"/>
          <w:u w:val="single" w:color="auto"/>
          <w:color w:val="auto"/>
        </w:rPr>
        <w:t>Schedule 9.1</w:t>
      </w:r>
      <w:r>
        <w:rPr>
          <w:rFonts w:ascii="Times New Roman" w:cs="Times New Roman" w:eastAsia="Times New Roman" w:hAnsi="Times New Roman"/>
          <w:sz w:val="19"/>
          <w:szCs w:val="19"/>
          <w:color w:val="auto"/>
        </w:rPr>
        <w:t xml:space="preserve">, and any refinancings, refundings, renewals or extensions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the principal amount of such Indebtedness is not increased at the time of such refinancing, refunding, renewal or extension except by an amount equal to a reasonable premium or other reasonable amount paid, and fees and expenses reasonably incurred, in connection with such refinancing and by an amount equal to any existing commitments unutilized thereunder, (ii) the final maturity date and Weighted Average Life to Maturity of such refinancing, refunding, renewal or extension shall not be prior to or shorter than that applicable to the Indebtedness prior to such refinancing, refunding, renewal or extension and</w:t>
      </w:r>
    </w:p>
    <w:p>
      <w:pPr>
        <w:jc w:val="both"/>
        <w:ind w:left="680" w:firstLine="4"/>
        <w:spacing w:after="0" w:line="250" w:lineRule="auto"/>
        <w:tabs>
          <w:tab w:leader="none" w:pos="1030"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refinancing, refunding, renewal or extension of any Subordinated Indebtedness shall be (A) on subordination terms at least as favorable to the Lenders, (B) no more restrictive on the Consolidated Companies than the Subordinated Indebtedness being refinanced, refunded, renewed or extended and (C) in an amount not less than the amount outstanding at the time of such refinancing, refunding, renewal or extension;</w:t>
      </w:r>
    </w:p>
    <w:p>
      <w:pPr>
        <w:spacing w:after="0" w:line="177" w:lineRule="exact"/>
        <w:rPr>
          <w:rFonts w:ascii="Times New Roman" w:cs="Times New Roman" w:eastAsia="Times New Roman" w:hAnsi="Times New Roman"/>
          <w:sz w:val="20"/>
          <w:szCs w:val="20"/>
          <w:color w:val="auto"/>
        </w:rPr>
      </w:pPr>
    </w:p>
    <w:p>
      <w:pPr>
        <w:jc w:val="both"/>
        <w:ind w:left="680" w:firstLine="646"/>
        <w:spacing w:after="0" w:line="257" w:lineRule="auto"/>
        <w:tabs>
          <w:tab w:leader="none" w:pos="1925" w:val="left"/>
        </w:tabs>
        <w:numPr>
          <w:ilvl w:val="1"/>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 Lease Obligations and purchase money Indebtedness, in each case incurred in the ordinary course of business of the Consolidated Companies in an aggregate amount not to exceed at any time outstanding the greater of (i) $200,000,000 and (ii) 7.5% of Consolidated Total Assets;</w:t>
      </w:r>
    </w:p>
    <w:p>
      <w:pPr>
        <w:spacing w:after="0" w:line="170" w:lineRule="exact"/>
        <w:rPr>
          <w:rFonts w:ascii="Times New Roman" w:cs="Times New Roman" w:eastAsia="Times New Roman" w:hAnsi="Times New Roman"/>
          <w:sz w:val="20"/>
          <w:szCs w:val="20"/>
          <w:color w:val="auto"/>
        </w:rPr>
      </w:pPr>
    </w:p>
    <w:p>
      <w:pPr>
        <w:ind w:left="1940" w:hanging="614"/>
        <w:spacing w:after="0"/>
        <w:tabs>
          <w:tab w:leader="none" w:pos="1940" w:val="left"/>
        </w:tabs>
        <w:numPr>
          <w:ilvl w:val="1"/>
          <w:numId w:val="2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Guaranty Obligations with respect to Indebtedness permitted pursuant to subsections (a) through (d), (g), (j) and (k)</w:t>
      </w:r>
    </w:p>
    <w:p>
      <w:pPr>
        <w:spacing w:after="0" w:line="36" w:lineRule="exact"/>
        <w:rPr>
          <w:rFonts w:ascii="Times New Roman" w:cs="Times New Roman" w:eastAsia="Times New Roman" w:hAnsi="Times New Roman"/>
          <w:sz w:val="19"/>
          <w:szCs w:val="19"/>
          <w:color w:val="auto"/>
        </w:rPr>
      </w:pPr>
    </w:p>
    <w:p>
      <w:pPr>
        <w:ind w:left="6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of this Section;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531">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216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365" w:name="page366"/>
    <w:bookmarkEnd w:id="365"/>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532">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217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0139"/>
          </w:cols>
          <w:pgMar w:left="320" w:top="1440" w:right="1440" w:bottom="1440" w:gutter="0" w:footer="0" w:header="0"/>
        </w:sectPr>
      </w:pPr>
    </w:p>
    <w:bookmarkStart w:id="366" w:name="page367"/>
    <w:bookmarkEnd w:id="366"/>
    <w:p>
      <w:pPr>
        <w:spacing w:after="0" w:line="202" w:lineRule="exact"/>
        <w:rPr>
          <w:sz w:val="20"/>
          <w:szCs w:val="20"/>
          <w:color w:val="auto"/>
        </w:rPr>
      </w:pPr>
    </w:p>
    <w:p>
      <w:pPr>
        <w:ind w:left="680" w:right="60" w:firstLine="646"/>
        <w:spacing w:after="0" w:line="263" w:lineRule="auto"/>
        <w:tabs>
          <w:tab w:leader="none" w:pos="1919" w:val="left"/>
        </w:tabs>
        <w:numPr>
          <w:ilvl w:val="0"/>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arising from the honoring by a bank or other financial institution of a check, draft or other similar instrument drawn against insufficient funds in the ordinary course of business;</w:t>
      </w:r>
    </w:p>
    <w:p>
      <w:pPr>
        <w:spacing w:after="0" w:line="178" w:lineRule="exact"/>
        <w:rPr>
          <w:rFonts w:ascii="Times New Roman" w:cs="Times New Roman" w:eastAsia="Times New Roman" w:hAnsi="Times New Roman"/>
          <w:sz w:val="20"/>
          <w:szCs w:val="20"/>
          <w:color w:val="auto"/>
        </w:rPr>
      </w:pPr>
    </w:p>
    <w:p>
      <w:pPr>
        <w:jc w:val="both"/>
        <w:ind w:left="680" w:right="60" w:firstLine="646"/>
        <w:spacing w:after="0" w:line="257" w:lineRule="auto"/>
        <w:tabs>
          <w:tab w:leader="none" w:pos="1925" w:val="left"/>
        </w:tabs>
        <w:numPr>
          <w:ilvl w:val="0"/>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under performance bonds, surety bonds, release, appeal and similar bonds, statutory obligations or with respect to workers’ compensation claims, in each case incurred in the ordinary course of business, and reimbursement obligations in respect of any of the foregoing;</w:t>
      </w:r>
    </w:p>
    <w:p>
      <w:pPr>
        <w:spacing w:after="0" w:line="170" w:lineRule="exact"/>
        <w:rPr>
          <w:rFonts w:ascii="Times New Roman" w:cs="Times New Roman" w:eastAsia="Times New Roman" w:hAnsi="Times New Roman"/>
          <w:sz w:val="20"/>
          <w:szCs w:val="20"/>
          <w:color w:val="auto"/>
        </w:rPr>
      </w:pPr>
    </w:p>
    <w:p>
      <w:pPr>
        <w:jc w:val="both"/>
        <w:ind w:left="680" w:right="20" w:firstLine="646"/>
        <w:spacing w:after="0" w:line="248" w:lineRule="auto"/>
        <w:tabs>
          <w:tab w:leader="none" w:pos="1925" w:val="left"/>
        </w:tabs>
        <w:numPr>
          <w:ilvl w:val="0"/>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unsecured intercompany Indebtedness (i) owed by any US Credit Party to another US Credit Party, (ii) owed by any Canadian Credit Party to another Canadian Credit Party, (iii) owed by any US Credit Party to any Canadian Credit Party, (iv) owed by any Canadian Credit Party to any US Credit Party in an aggregate amount not to exceed at any time outstanding the greater of (x) $50,000,000 and (y) 2.0% of Consolidated Total Assets, and (v) owed by or to any Non-Credit Party Subsidiary by or to any Credit Party or another Non-Credit Party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amount of such Indebtedness owed by a Non-Credit Party Subsidiary to a Credit Party shall not exceed at any time outstanding the greater of (x) $50,000,000 and (y) 2.0% of Consolidated Total Assets,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any such Indebtedness owed by a Credit Party to a Non-Credit Party Subsidiary shall be subordinated to the Obligations on terms reasonably satisfactory to the Administrative Agent;</w:t>
      </w:r>
    </w:p>
    <w:p>
      <w:pPr>
        <w:spacing w:after="0" w:line="185" w:lineRule="exact"/>
        <w:rPr>
          <w:rFonts w:ascii="Times New Roman" w:cs="Times New Roman" w:eastAsia="Times New Roman" w:hAnsi="Times New Roman"/>
          <w:sz w:val="20"/>
          <w:szCs w:val="20"/>
          <w:color w:val="auto"/>
        </w:rPr>
      </w:pPr>
    </w:p>
    <w:p>
      <w:pPr>
        <w:jc w:val="both"/>
        <w:ind w:left="680" w:right="60" w:firstLine="646"/>
        <w:spacing w:after="0" w:line="264" w:lineRule="auto"/>
        <w:tabs>
          <w:tab w:leader="none" w:pos="1922" w:val="left"/>
        </w:tabs>
        <w:numPr>
          <w:ilvl w:val="0"/>
          <w:numId w:val="2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Indebtedness of a Person existing at the time such Person became a Subsidiary or assets were acquired from such Person in connection with an Investment permitted pursuant to </w:t>
      </w:r>
      <w:r>
        <w:rPr>
          <w:rFonts w:ascii="Times New Roman" w:cs="Times New Roman" w:eastAsia="Times New Roman" w:hAnsi="Times New Roman"/>
          <w:sz w:val="19"/>
          <w:szCs w:val="19"/>
          <w:u w:val="single" w:color="auto"/>
          <w:color w:val="auto"/>
        </w:rPr>
        <w:t>Section 9.3</w:t>
      </w:r>
      <w:r>
        <w:rPr>
          <w:rFonts w:ascii="Times New Roman" w:cs="Times New Roman" w:eastAsia="Times New Roman" w:hAnsi="Times New Roman"/>
          <w:sz w:val="19"/>
          <w:szCs w:val="19"/>
          <w:color w:val="auto"/>
        </w:rPr>
        <w:t>, to the extent that (i) such Indebtedness was not incurred in connection with, or in contemplation of, such Person becoming a Subsidiary or the acquisition of such assets, (ii) neither Centuri nor any Subsidiary thereof (other than such Person or any other Person that such Person merges with or that acquires the assets of</w:t>
      </w:r>
    </w:p>
    <w:p>
      <w:pPr>
        <w:spacing w:after="0" w:line="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such Person) shall have any liability or other obligation with respect to such Indebtedness and</w:t>
      </w:r>
    </w:p>
    <w:p>
      <w:pPr>
        <w:spacing w:after="0" w:line="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(iii) Centuri is in compliance on a pro forma basis with a Consolidated Net Leverage Ratio of (A) 5.00 to</w:t>
      </w:r>
    </w:p>
    <w:p>
      <w:pPr>
        <w:ind w:left="680" w:right="40"/>
        <w:spacing w:after="0"/>
        <w:rPr>
          <w:sz w:val="20"/>
          <w:szCs w:val="20"/>
          <w:color w:val="auto"/>
        </w:rPr>
      </w:pPr>
      <w:r>
        <w:rPr>
          <w:rFonts w:ascii="Times New Roman" w:cs="Times New Roman" w:eastAsia="Times New Roman" w:hAnsi="Times New Roman"/>
          <w:sz w:val="20"/>
          <w:szCs w:val="20"/>
          <w:color w:val="auto"/>
        </w:rPr>
        <w:t>1.00 for the period beginning on September 30, 2022 through and including December 30, 2022, (B) 4.25 to 1.00 for the period beginning on December 31, 2022 through and including December 30, 2022 and</w:t>
      </w:r>
    </w:p>
    <w:p>
      <w:pPr>
        <w:jc w:val="both"/>
        <w:ind w:left="680" w:right="20" w:firstLine="4"/>
        <w:spacing w:after="0" w:line="249" w:lineRule="auto"/>
        <w:tabs>
          <w:tab w:leader="none" w:pos="1017"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3.50 to 1.00 for the period beginning on December 31, 2023 and thereafter, determined as of the most recently ended four consecutive fiscal quarter period for which financial statements and the related Officer’s Compliance Certificate have been delivered pursuant to </w:t>
      </w:r>
      <w:r>
        <w:rPr>
          <w:rFonts w:ascii="Times New Roman" w:cs="Times New Roman" w:eastAsia="Times New Roman" w:hAnsi="Times New Roman"/>
          <w:sz w:val="20"/>
          <w:szCs w:val="20"/>
          <w:u w:val="single" w:color="auto"/>
          <w:color w:val="auto"/>
        </w:rPr>
        <w:t>Sections 8.1(a)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8.2(a)</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left="680" w:right="20" w:firstLine="646"/>
        <w:spacing w:after="0" w:line="250" w:lineRule="auto"/>
        <w:tabs>
          <w:tab w:leader="none" w:pos="1922" w:val="left"/>
        </w:tabs>
        <w:numPr>
          <w:ilvl w:val="1"/>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unsecured Indebtedness of Centuri and its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in the case of each incurrence of such Indebtedness, (i) no Default or Event of Default shall have occurred and be continuing or would be caused by the incurrence of such Indebtedness, (ii) the Administrative Agent shall have received satisfactory written evidence that, after giving effect to the incurrence of such Indebtedness and the receipt and application of the proceeds thereof, Centuri is in compliance on a pro forma basis with</w:t>
      </w:r>
    </w:p>
    <w:p>
      <w:pPr>
        <w:spacing w:after="0" w:line="1" w:lineRule="exact"/>
        <w:rPr>
          <w:rFonts w:ascii="Times New Roman" w:cs="Times New Roman" w:eastAsia="Times New Roman" w:hAnsi="Times New Roman"/>
          <w:sz w:val="20"/>
          <w:szCs w:val="20"/>
          <w:color w:val="auto"/>
        </w:rPr>
      </w:pPr>
    </w:p>
    <w:p>
      <w:pPr>
        <w:ind w:left="1000" w:hanging="316"/>
        <w:spacing w:after="0" w:line="237" w:lineRule="auto"/>
        <w:tabs>
          <w:tab w:leader="none" w:pos="1000" w:val="left"/>
        </w:tabs>
        <w:numPr>
          <w:ilvl w:val="0"/>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Consolidated Interest Coverage Ratio of 2.50 to 1.00 and (B) a Consolidated Net Leverage Ratio of</w:t>
      </w:r>
    </w:p>
    <w:p>
      <w:pPr>
        <w:ind w:left="680" w:right="2320"/>
        <w:spacing w:after="0" w:line="242"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(1) 5.50 to 1.00 for the period beginning on September 30, 2022 through and including December 30, 2022, (2) 4.75 to 1.00 for the period beginning on December 31, 2022 through and including December</w:t>
      </w:r>
    </w:p>
    <w:p>
      <w:pPr>
        <w:jc w:val="both"/>
        <w:ind w:left="680"/>
        <w:spacing w:after="0" w:line="24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30, 2023 and (3) 4.00 to 1.00 for the period beginning on December 31, 2023 and thereafter, in each case, determined as of the most recently ended four consecutive fiscal quarter period for which financial statements and the related Officer’s Compliance Certificate have been delivered pursuant to </w:t>
      </w:r>
      <w:r>
        <w:rPr>
          <w:rFonts w:ascii="Times New Roman" w:cs="Times New Roman" w:eastAsia="Times New Roman" w:hAnsi="Times New Roman"/>
          <w:sz w:val="20"/>
          <w:szCs w:val="20"/>
          <w:u w:val="single" w:color="auto"/>
          <w:color w:val="auto"/>
        </w:rPr>
        <w:t>Sections 8.1(a)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8.2(a)</w:t>
      </w:r>
      <w:r>
        <w:rPr>
          <w:rFonts w:ascii="Times New Roman" w:cs="Times New Roman" w:eastAsia="Times New Roman" w:hAnsi="Times New Roman"/>
          <w:sz w:val="20"/>
          <w:szCs w:val="20"/>
          <w:color w:val="auto"/>
        </w:rPr>
        <w:t>, (iii) such Indebtedness does not mature prior to the date that is 91 days after the then latest maturity of the Commitments and Loans, (iv) the Weighted Average Life to Maturity of such Indebtedness shall not be shorter than the remaining Weighted Average Life to Maturity of the Term Loans then outstanding and (v) the terms of such Indebtedness reflect market terms (taken as a whole) at the time of issuance and (other than pricing, fees, rate floors, premiums and optional prepayment or redemption provisions (and, if applicable, subordination terms)), taken as a whole, are not materially more restrictive (as determined by Centuri in good faith) on Centuri and its Subsidiaries than the terms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533">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218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20"/>
          </w:cols>
          <w:pgMar w:left="320" w:top="1440" w:right="459" w:bottom="1440" w:gutter="0" w:footer="0" w:header="0"/>
        </w:sectPr>
      </w:pPr>
    </w:p>
    <w:bookmarkStart w:id="367" w:name="page368"/>
    <w:bookmarkEnd w:id="367"/>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34">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219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0139"/>
          </w:cols>
          <w:pgMar w:left="320" w:top="1440" w:right="1440" w:bottom="1440" w:gutter="0" w:footer="0" w:header="0"/>
        </w:sectPr>
      </w:pPr>
    </w:p>
    <w:bookmarkStart w:id="368" w:name="page369"/>
    <w:bookmarkEnd w:id="368"/>
    <w:p>
      <w:pPr>
        <w:spacing w:after="0" w:line="201" w:lineRule="exact"/>
        <w:rPr>
          <w:sz w:val="20"/>
          <w:szCs w:val="20"/>
          <w:color w:val="auto"/>
        </w:rPr>
      </w:pPr>
    </w:p>
    <w:p>
      <w:pPr>
        <w:ind w:left="680" w:right="20"/>
        <w:spacing w:after="0" w:line="263" w:lineRule="auto"/>
        <w:rPr>
          <w:sz w:val="20"/>
          <w:szCs w:val="20"/>
          <w:color w:val="auto"/>
        </w:rPr>
      </w:pPr>
      <w:r>
        <w:rPr>
          <w:rFonts w:ascii="Times New Roman" w:cs="Times New Roman" w:eastAsia="Times New Roman" w:hAnsi="Times New Roman"/>
          <w:sz w:val="20"/>
          <w:szCs w:val="20"/>
          <w:color w:val="auto"/>
        </w:rPr>
        <w:t>and conditions of this Agreement, taken as a whole, other than covenants which do not have effect until after the then latest maturity date of the Commitments and Loans;</w:t>
      </w:r>
    </w:p>
    <w:p>
      <w:pPr>
        <w:spacing w:after="0" w:line="178" w:lineRule="exact"/>
        <w:rPr>
          <w:sz w:val="20"/>
          <w:szCs w:val="20"/>
          <w:color w:val="auto"/>
        </w:rPr>
      </w:pPr>
    </w:p>
    <w:p>
      <w:pPr>
        <w:ind w:left="680" w:right="20" w:firstLine="646"/>
        <w:spacing w:after="0" w:line="263" w:lineRule="auto"/>
        <w:tabs>
          <w:tab w:leader="none" w:pos="1925"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Attributable Indebtedness incurred pursuant to Permitted Receivables Transactions in an aggregate amount not to exceed at any time outstanding the greater of (i) $150,000,000 and (ii) 6.0% of Consolidated Total Assets;</w:t>
      </w:r>
    </w:p>
    <w:p>
      <w:pPr>
        <w:spacing w:after="0" w:line="178" w:lineRule="exact"/>
        <w:rPr>
          <w:rFonts w:ascii="Times New Roman" w:cs="Times New Roman" w:eastAsia="Times New Roman" w:hAnsi="Times New Roman"/>
          <w:sz w:val="20"/>
          <w:szCs w:val="20"/>
          <w:color w:val="auto"/>
        </w:rPr>
      </w:pPr>
    </w:p>
    <w:p>
      <w:pPr>
        <w:jc w:val="both"/>
        <w:ind w:left="680" w:right="20" w:firstLine="646"/>
        <w:spacing w:after="0" w:line="257" w:lineRule="auto"/>
        <w:tabs>
          <w:tab w:leader="none" w:pos="1922"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Indebtedness of any Credit Party or any Subsidiary thereof not otherwise permitted pursuant to this Section in an aggregate principal amount not to exceed at any time outstanding the greater of (i) $100,000,000 and (ii) 4.0% of Consolidated Total Assets; and</w:t>
      </w:r>
    </w:p>
    <w:p>
      <w:pPr>
        <w:spacing w:after="0" w:line="170" w:lineRule="exact"/>
        <w:rPr>
          <w:rFonts w:ascii="Times New Roman" w:cs="Times New Roman" w:eastAsia="Times New Roman" w:hAnsi="Times New Roman"/>
          <w:sz w:val="20"/>
          <w:szCs w:val="20"/>
          <w:color w:val="auto"/>
        </w:rPr>
      </w:pPr>
    </w:p>
    <w:p>
      <w:pPr>
        <w:jc w:val="both"/>
        <w:ind w:left="680" w:right="20" w:firstLine="646"/>
        <w:spacing w:after="0" w:line="254" w:lineRule="auto"/>
        <w:tabs>
          <w:tab w:leader="none" w:pos="1926"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the Credit Parties in respect of one or more series of senior secured first lien notes that are issued in a public offering, Rule 144A or other private placement under the Securities Act, or a bridge financing in lieu of the foregoing that otherwise converts into permanent Incremental Equivalent Indebtedness (as defined below), that are secured by the Collateral on a </w:t>
      </w:r>
      <w:r>
        <w:rPr>
          <w:rFonts w:ascii="Times New Roman" w:cs="Times New Roman" w:eastAsia="Times New Roman" w:hAnsi="Times New Roman"/>
          <w:sz w:val="20"/>
          <w:szCs w:val="20"/>
          <w:i w:val="1"/>
          <w:iCs w:val="1"/>
          <w:color w:val="auto"/>
        </w:rPr>
        <w:t xml:space="preserve">pari passu </w:t>
      </w:r>
      <w:r>
        <w:rPr>
          <w:rFonts w:ascii="Times New Roman" w:cs="Times New Roman" w:eastAsia="Times New Roman" w:hAnsi="Times New Roman"/>
          <w:sz w:val="20"/>
          <w:szCs w:val="20"/>
          <w:color w:val="auto"/>
        </w:rPr>
        <w:t>basis and issued by the Credit Parties in lieu of Incremental Term Loans (“</w:t>
      </w:r>
      <w:r>
        <w:rPr>
          <w:rFonts w:ascii="Times New Roman" w:cs="Times New Roman" w:eastAsia="Times New Roman" w:hAnsi="Times New Roman"/>
          <w:sz w:val="20"/>
          <w:szCs w:val="20"/>
          <w:u w:val="single" w:color="auto"/>
          <w:color w:val="auto"/>
        </w:rPr>
        <w:t>Incremental Equivalent Indebtedness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73" w:lineRule="exact"/>
        <w:rPr>
          <w:rFonts w:ascii="Times New Roman" w:cs="Times New Roman" w:eastAsia="Times New Roman" w:hAnsi="Times New Roman"/>
          <w:sz w:val="20"/>
          <w:szCs w:val="20"/>
          <w:color w:val="auto"/>
        </w:rPr>
      </w:pPr>
    </w:p>
    <w:p>
      <w:pPr>
        <w:ind w:left="2600" w:hanging="631"/>
        <w:spacing w:after="0"/>
        <w:tabs>
          <w:tab w:leader="none" w:pos="2600" w:val="left"/>
        </w:tabs>
        <w:numPr>
          <w:ilvl w:val="2"/>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principal amount of such Indebtedness incurred under this clause</w:t>
      </w:r>
    </w:p>
    <w:p>
      <w:pPr>
        <w:spacing w:after="0" w:line="19" w:lineRule="exact"/>
        <w:rPr>
          <w:rFonts w:ascii="Times New Roman" w:cs="Times New Roman" w:eastAsia="Times New Roman" w:hAnsi="Times New Roman"/>
          <w:sz w:val="20"/>
          <w:szCs w:val="20"/>
          <w:color w:val="auto"/>
        </w:rPr>
      </w:pPr>
    </w:p>
    <w:p>
      <w:pPr>
        <w:ind w:left="1480" w:right="20" w:firstLine="7"/>
        <w:spacing w:after="0"/>
        <w:tabs>
          <w:tab w:leader="none" w:pos="1814" w:val="left"/>
        </w:tabs>
        <w:numPr>
          <w:ilvl w:val="1"/>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shall not, together with the aggregate principal amount of all Incremental Increases incurred pursuant to </w:t>
      </w:r>
      <w:r>
        <w:rPr>
          <w:rFonts w:ascii="Times New Roman" w:cs="Times New Roman" w:eastAsia="Times New Roman" w:hAnsi="Times New Roman"/>
          <w:sz w:val="20"/>
          <w:szCs w:val="20"/>
          <w:u w:val="single" w:color="auto"/>
          <w:color w:val="auto"/>
        </w:rPr>
        <w:t>Section 5.13</w:t>
      </w:r>
      <w:r>
        <w:rPr>
          <w:rFonts w:ascii="Times New Roman" w:cs="Times New Roman" w:eastAsia="Times New Roman" w:hAnsi="Times New Roman"/>
          <w:sz w:val="20"/>
          <w:szCs w:val="20"/>
          <w:color w:val="auto"/>
        </w:rPr>
        <w:t xml:space="preserve">, exceed the amount set forth in </w:t>
      </w:r>
      <w:r>
        <w:rPr>
          <w:rFonts w:ascii="Times New Roman" w:cs="Times New Roman" w:eastAsia="Times New Roman" w:hAnsi="Times New Roman"/>
          <w:sz w:val="20"/>
          <w:szCs w:val="20"/>
          <w:u w:val="single" w:color="auto"/>
          <w:color w:val="auto"/>
        </w:rPr>
        <w:t>Section 5.13(a)</w:t>
      </w:r>
      <w:r>
        <w:rPr>
          <w:rFonts w:ascii="Times New Roman" w:cs="Times New Roman" w:eastAsia="Times New Roman" w:hAnsi="Times New Roman"/>
          <w:sz w:val="20"/>
          <w:szCs w:val="20"/>
          <w:color w:val="auto"/>
        </w:rPr>
        <w:t>;</w:t>
      </w:r>
    </w:p>
    <w:p>
      <w:pPr>
        <w:spacing w:after="0" w:line="200" w:lineRule="exact"/>
        <w:rPr>
          <w:rFonts w:ascii="Times New Roman" w:cs="Times New Roman" w:eastAsia="Times New Roman" w:hAnsi="Times New Roman"/>
          <w:sz w:val="20"/>
          <w:szCs w:val="20"/>
          <w:color w:val="auto"/>
        </w:rPr>
      </w:pPr>
    </w:p>
    <w:p>
      <w:pPr>
        <w:jc w:val="both"/>
        <w:ind w:left="1480" w:right="20" w:firstLine="488"/>
        <w:spacing w:after="0" w:line="250" w:lineRule="auto"/>
        <w:tabs>
          <w:tab w:leader="none" w:pos="2562" w:val="left"/>
        </w:tabs>
        <w:numPr>
          <w:ilvl w:val="2"/>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 xml:space="preserve"> in the case of any Incremental Equivalent Indebtedness incurred to finance a substantially concurrent Limited Condition Acquisition, immediately after giving effect to the incurrence of such Indebtedness and the use of proceeds thereof, no Default or Event of Default shall have occurred and be continuing or would result therefrom;</w:t>
      </w:r>
    </w:p>
    <w:p>
      <w:pPr>
        <w:spacing w:after="0" w:line="191" w:lineRule="exact"/>
        <w:rPr>
          <w:rFonts w:ascii="Times New Roman" w:cs="Times New Roman" w:eastAsia="Times New Roman" w:hAnsi="Times New Roman"/>
          <w:sz w:val="20"/>
          <w:szCs w:val="20"/>
          <w:color w:val="auto"/>
        </w:rPr>
      </w:pPr>
    </w:p>
    <w:p>
      <w:pPr>
        <w:jc w:val="both"/>
        <w:ind w:left="1480" w:firstLine="488"/>
        <w:spacing w:after="0" w:line="258" w:lineRule="auto"/>
        <w:tabs>
          <w:tab w:leader="none" w:pos="2563" w:val="left"/>
        </w:tabs>
        <w:numPr>
          <w:ilvl w:val="2"/>
          <w:numId w:val="2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stated maturity date of such Indebtedness shall be no earlier than, and the terms of such Indebtedness shall not provide for any scheduled payment, mandatory repayment or redemption or sinking fund or similar obligations at any time prior to the latest maturity date of the Loans and Commitments in effect at the time of such incurrence;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Indebtedness may have scheduled payments, mandatory repayments or redemptions or similar obligations prior to its stated maturity so long as (x) such Indebtedness does not have a shorter Weighted Average Life to Maturity than the remaining Weighted Average Life to Maturity of any Class of Term Loans then outstanding at the time of incurrence, (y) any mandatory prepayment (other than scheduled amortization payments which shall be determined by the applicable Borrower and the lenders of such Indebtedness) of such Indebtedness shall be made on a </w:t>
      </w:r>
      <w:r>
        <w:rPr>
          <w:rFonts w:ascii="Times New Roman" w:cs="Times New Roman" w:eastAsia="Times New Roman" w:hAnsi="Times New Roman"/>
          <w:sz w:val="19"/>
          <w:szCs w:val="19"/>
          <w:u w:val="single" w:color="auto"/>
          <w:color w:val="auto"/>
        </w:rPr>
        <w:t>pro rata</w:t>
      </w:r>
      <w:r>
        <w:rPr>
          <w:rFonts w:ascii="Times New Roman" w:cs="Times New Roman" w:eastAsia="Times New Roman" w:hAnsi="Times New Roman"/>
          <w:sz w:val="19"/>
          <w:szCs w:val="19"/>
          <w:color w:val="auto"/>
        </w:rPr>
        <w:t xml:space="preserve"> basis with all then existing Term Loans, except that the applicable Borrower and the lenders of such Indebtedness may, in their sole discretion, elect to prepay or receive, as applicable, any prepayments on a less than pro rata basis (but not on a greater than pro rata basis) and (z) such mandatory repayments or redemptions or similar obligations are no more restrictive on the applicable Borrower or its Subsidiaries than the provisions of </w:t>
      </w:r>
      <w:r>
        <w:rPr>
          <w:rFonts w:ascii="Times New Roman" w:cs="Times New Roman" w:eastAsia="Times New Roman" w:hAnsi="Times New Roman"/>
          <w:sz w:val="19"/>
          <w:szCs w:val="19"/>
          <w:u w:val="single" w:color="auto"/>
          <w:color w:val="auto"/>
        </w:rPr>
        <w:t>Section 4.4(b)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restrictions of this clause (iii) shall not apply to the extent such Indebtedness constitutes a customary bridge or similar facility that is to be automatically converted or exchanged into notes or other permitted Indebtedness that otherwise would satisfy this clause</w:t>
      </w:r>
    </w:p>
    <w:p>
      <w:pPr>
        <w:spacing w:after="0" w:line="10" w:lineRule="exact"/>
        <w:rPr>
          <w:rFonts w:ascii="Times New Roman" w:cs="Times New Roman" w:eastAsia="Times New Roman" w:hAnsi="Times New Roman"/>
          <w:sz w:val="19"/>
          <w:szCs w:val="19"/>
          <w:color w:val="auto"/>
        </w:rPr>
      </w:pPr>
    </w:p>
    <w:p>
      <w:pPr>
        <w:ind w:left="1820" w:hanging="333"/>
        <w:spacing w:after="0" w:line="237" w:lineRule="auto"/>
        <w:tabs>
          <w:tab w:leader="none" w:pos="1820" w:val="left"/>
        </w:tabs>
        <w:numPr>
          <w:ilvl w:val="1"/>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such conversion or exchange is subject only to conditions customary for similar</w:t>
      </w:r>
    </w:p>
    <w:p>
      <w:pPr>
        <w:ind w:left="1480" w:right="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conversions and exchanges and the applicable Credit Party irrevocably agrees at the time of incurrence thereof to take all actions necessary to convert or exchange such Indebtedness);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35">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220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080"/>
          </w:cols>
          <w:pgMar w:left="320" w:top="1440" w:right="499" w:bottom="1440" w:gutter="0" w:footer="0" w:header="0"/>
        </w:sectPr>
      </w:pPr>
    </w:p>
    <w:bookmarkStart w:id="369" w:name="page370"/>
    <w:bookmarkEnd w:id="369"/>
    <w:p>
      <w:pPr>
        <w:spacing w:after="0" w:line="94" w:lineRule="exact"/>
        <w:rPr>
          <w:sz w:val="20"/>
          <w:szCs w:val="20"/>
          <w:color w:val="auto"/>
        </w:rPr>
      </w:pPr>
    </w:p>
    <w:p>
      <w:pPr>
        <w:ind w:left="1480" w:firstLine="488"/>
        <w:spacing w:after="0" w:line="277" w:lineRule="auto"/>
        <w:tabs>
          <w:tab w:leader="none" w:pos="2565"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Indebtedness shall have pricing (including interest rates, fees and premiums), amortization (subject to clause (iii) above), optional prepayment and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36">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221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060"/>
          </w:cols>
          <w:pgMar w:left="320" w:top="1440" w:right="519" w:bottom="1440" w:gutter="0" w:footer="0" w:header="0"/>
        </w:sectPr>
      </w:pPr>
    </w:p>
    <w:bookmarkStart w:id="370" w:name="page371"/>
    <w:bookmarkEnd w:id="370"/>
    <w:p>
      <w:pPr>
        <w:spacing w:after="0" w:line="20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terms as may be agreed to by the applicable Borrower and the lenders or holders of such Indebtedness;</w:t>
      </w:r>
    </w:p>
    <w:p>
      <w:pPr>
        <w:spacing w:after="0" w:line="211" w:lineRule="exact"/>
        <w:rPr>
          <w:sz w:val="20"/>
          <w:szCs w:val="20"/>
          <w:color w:val="auto"/>
        </w:rPr>
      </w:pPr>
    </w:p>
    <w:p>
      <w:pPr>
        <w:ind w:left="2580" w:hanging="612"/>
        <w:spacing w:after="0"/>
        <w:tabs>
          <w:tab w:leader="none" w:pos="2580"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Indebtedness is not recourse to or guaranteed by any Subsidiary that is not a Credit Party;</w:t>
      </w:r>
    </w:p>
    <w:p>
      <w:pPr>
        <w:spacing w:after="0" w:line="224" w:lineRule="exact"/>
        <w:rPr>
          <w:rFonts w:ascii="Times New Roman" w:cs="Times New Roman" w:eastAsia="Times New Roman" w:hAnsi="Times New Roman"/>
          <w:sz w:val="20"/>
          <w:szCs w:val="20"/>
          <w:color w:val="auto"/>
        </w:rPr>
      </w:pPr>
    </w:p>
    <w:p>
      <w:pPr>
        <w:jc w:val="both"/>
        <w:ind w:left="1480" w:right="40" w:firstLine="488"/>
        <w:spacing w:after="0" w:line="250" w:lineRule="auto"/>
        <w:tabs>
          <w:tab w:leader="none" w:pos="2565"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 the obligations in respect thereof shall not be secured by any Lien on any asset of any Borrower or any Subsidiary other than any asset constituting Collateral, (y) the security agreements relating to such Indebtedness shall be substantially the same as the Security Documents (with such differences as are reasonably satisfactory to the Administrative Agent) and (z) such Indebtedness shall be subject to an Acceptable Intercreditor Agreement;</w:t>
      </w:r>
    </w:p>
    <w:p>
      <w:pPr>
        <w:spacing w:after="0" w:line="191" w:lineRule="exact"/>
        <w:rPr>
          <w:rFonts w:ascii="Times New Roman" w:cs="Times New Roman" w:eastAsia="Times New Roman" w:hAnsi="Times New Roman"/>
          <w:sz w:val="20"/>
          <w:szCs w:val="20"/>
          <w:color w:val="auto"/>
        </w:rPr>
      </w:pPr>
    </w:p>
    <w:p>
      <w:pPr>
        <w:jc w:val="both"/>
        <w:ind w:left="1480" w:firstLine="488"/>
        <w:spacing w:after="0" w:line="246" w:lineRule="auto"/>
        <w:tabs>
          <w:tab w:leader="none" w:pos="2566"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otherwise set forth in this clause (m), the terms, covenants and conditions with respect to such Indebtedness, when taken as a whole, shall not be materially more restrictive on the applicable Borrower and its Subsidiaries than the terms and conditions of this Agreement, taken as a whole (except for (x) terms, covenants and conditions with respect to such Indebtedness that are applicable only to the periods after the latest maturity date of the Loans and Commitments in effect at the time of incurrence or assumption of such Indebtedness and (y) any materially more restrictive terms added for the benefit of any such Indebtedness, if such materially more restrictive terms are also added for the benefit of the Lenders hereunder with respect to any Term Loans or Term Loan Commitments remaining outstanding after giving effect to the incurrence or assumption of such Indebtedness and the application of the proceeds thereof) and such Indebtedness shall not include any financial maintenance covenants;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certificate of a Responsible Officer of the applicable Borrower delivered to the Administrative Agent prior to the incurrence or assumption of such Indebtedness, together with a reasonably detailed description of the material terms and conditions of such Indebtedness or substantially final drafts of the documentation related thereto, stating that the applicable Borrower has determined in good faith that such terms and conditions satisfy the foregoing requirement shall be conclusive evidence that such terms and conditions satisfy the foregoing requirement;</w:t>
      </w:r>
    </w:p>
    <w:p>
      <w:pPr>
        <w:spacing w:after="0" w:line="190" w:lineRule="exact"/>
        <w:rPr>
          <w:rFonts w:ascii="Times New Roman" w:cs="Times New Roman" w:eastAsia="Times New Roman" w:hAnsi="Times New Roman"/>
          <w:sz w:val="20"/>
          <w:szCs w:val="20"/>
          <w:color w:val="auto"/>
        </w:rPr>
      </w:pPr>
    </w:p>
    <w:p>
      <w:pPr>
        <w:jc w:val="both"/>
        <w:ind w:left="1480" w:right="20" w:firstLine="488"/>
        <w:spacing w:after="0" w:line="248" w:lineRule="auto"/>
        <w:tabs>
          <w:tab w:leader="none" w:pos="2567"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 xml:space="preserve"> in the case of any such Indebtedness incurred to finance a substantially concurrent Limited Condition Acquisition, the Administrative Agent shall have received from Centuri, an Officer’s Compliance Certificate demonstrating that the Consolidated Companies are in pro forma compliance with (A) a Consolidated Interest Coverage Ratio of 2.50 to 1.00 and (B) a Consolidated Net Leverage Ratio of (1) 5.50 to 1.00 for the period beginning on September 30, 2022 through and including December 30, 2022, (2)</w:t>
      </w:r>
    </w:p>
    <w:p>
      <w:pPr>
        <w:spacing w:after="0" w:line="2" w:lineRule="exact"/>
        <w:rPr>
          <w:rFonts w:ascii="Times New Roman" w:cs="Times New Roman" w:eastAsia="Times New Roman" w:hAnsi="Times New Roman"/>
          <w:sz w:val="20"/>
          <w:szCs w:val="20"/>
          <w:color w:val="auto"/>
        </w:rPr>
      </w:pPr>
    </w:p>
    <w:p>
      <w:pPr>
        <w:ind w:left="14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4.75 to 1.00 for the period beginning on December 31, 2022 through and including December 30, 2023 and (3) 4.00 to</w:t>
      </w:r>
    </w:p>
    <w:p>
      <w:pPr>
        <w:spacing w:after="0" w:line="5" w:lineRule="exact"/>
        <w:rPr>
          <w:rFonts w:ascii="Times New Roman" w:cs="Times New Roman" w:eastAsia="Times New Roman" w:hAnsi="Times New Roman"/>
          <w:sz w:val="20"/>
          <w:szCs w:val="20"/>
          <w:color w:val="auto"/>
        </w:rPr>
      </w:pPr>
    </w:p>
    <w:p>
      <w:pPr>
        <w:jc w:val="both"/>
        <w:ind w:left="1480" w:right="60"/>
        <w:spacing w:after="0" w:line="24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1.00 for the period beginning on December 31, 2023 and thereafter (based on the financial statements most recently delivered pursuant to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after giving effect to such Indebtedness (assuming that the entire amount is fully funded on the effective date thereof) and the use of proceeds thereof; and</w:t>
      </w:r>
    </w:p>
    <w:p>
      <w:pPr>
        <w:spacing w:after="0" w:line="183" w:lineRule="exact"/>
        <w:rPr>
          <w:sz w:val="20"/>
          <w:szCs w:val="20"/>
          <w:color w:val="auto"/>
        </w:rPr>
      </w:pPr>
    </w:p>
    <w:p>
      <w:pPr>
        <w:jc w:val="both"/>
        <w:ind w:left="1320" w:right="60" w:firstLine="648"/>
        <w:spacing w:after="0" w:line="264" w:lineRule="auto"/>
        <w:tabs>
          <w:tab w:leader="none" w:pos="2561"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the incurrence of such Indebtedness, the applicable Borrower shall have delivered to the Administrative Agent a certificate from a Responsible Officer of such Borrower certifying as to compliance with the requirements of the preceding clauses (i) through (viii) above.</w:t>
      </w:r>
    </w:p>
    <w:p>
      <w:pPr>
        <w:spacing w:after="0" w:line="164" w:lineRule="exact"/>
        <w:rPr>
          <w:sz w:val="20"/>
          <w:szCs w:val="20"/>
          <w:color w:val="auto"/>
        </w:rPr>
      </w:pPr>
    </w:p>
    <w:p>
      <w:pPr>
        <w:ind w:left="680" w:right="260" w:firstLine="642"/>
        <w:spacing w:after="0" w:line="263" w:lineRule="auto"/>
        <w:rPr>
          <w:sz w:val="20"/>
          <w:szCs w:val="20"/>
          <w:color w:val="auto"/>
        </w:rPr>
      </w:pPr>
      <w:r>
        <w:rPr>
          <w:rFonts w:ascii="Times New Roman" w:cs="Times New Roman" w:eastAsia="Times New Roman" w:hAnsi="Times New Roman"/>
          <w:sz w:val="20"/>
          <w:szCs w:val="20"/>
          <w:color w:val="auto"/>
        </w:rPr>
        <w:t xml:space="preserve">SECTION 9.2 </w:t>
      </w:r>
      <w:r>
        <w:rPr>
          <w:rFonts w:ascii="Times New Roman" w:cs="Times New Roman" w:eastAsia="Times New Roman" w:hAnsi="Times New Roman"/>
          <w:sz w:val="20"/>
          <w:szCs w:val="20"/>
          <w:u w:val="single" w:color="auto"/>
          <w:color w:val="auto"/>
        </w:rPr>
        <w:t>Liens</w:t>
      </w:r>
      <w:r>
        <w:rPr>
          <w:rFonts w:ascii="Times New Roman" w:cs="Times New Roman" w:eastAsia="Times New Roman" w:hAnsi="Times New Roman"/>
          <w:sz w:val="20"/>
          <w:szCs w:val="20"/>
          <w:color w:val="auto"/>
        </w:rPr>
        <w:t>. Create, incur, assume or suffer to exist, any Lien on or with respect to any of its Property, whether now owned or hereafter acquired, except: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37">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222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20"/>
          </w:cols>
          <w:pgMar w:left="320" w:top="1440" w:right="459" w:bottom="1440" w:gutter="0" w:footer="0" w:header="0"/>
        </w:sectPr>
      </w:pPr>
    </w:p>
    <w:bookmarkStart w:id="371" w:name="page372"/>
    <w:bookmarkEnd w:id="371"/>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38">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223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0139"/>
          </w:cols>
          <w:pgMar w:left="320" w:top="1440" w:right="1440" w:bottom="1440" w:gutter="0" w:footer="0" w:header="0"/>
        </w:sectPr>
      </w:pPr>
    </w:p>
    <w:bookmarkStart w:id="372" w:name="page373"/>
    <w:bookmarkEnd w:id="372"/>
    <w:p>
      <w:pPr>
        <w:spacing w:after="0" w:line="201" w:lineRule="exact"/>
        <w:rPr>
          <w:sz w:val="20"/>
          <w:szCs w:val="20"/>
          <w:color w:val="auto"/>
        </w:rPr>
      </w:pPr>
    </w:p>
    <w:p>
      <w:pPr>
        <w:ind w:left="680" w:right="60" w:firstLine="646"/>
        <w:spacing w:after="0" w:line="263" w:lineRule="auto"/>
        <w:tabs>
          <w:tab w:leader="none" w:pos="1927"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created pursuant to the Loan Documents (including, without limitation, Liens in favor of the Swingline Lenders and/or the Issuing Lenders, as applicable, on Cash Collateral granted pursuant to the Loan Documents);</w:t>
      </w:r>
    </w:p>
    <w:p>
      <w:pPr>
        <w:spacing w:after="0" w:line="178" w:lineRule="exact"/>
        <w:rPr>
          <w:rFonts w:ascii="Times New Roman" w:cs="Times New Roman" w:eastAsia="Times New Roman" w:hAnsi="Times New Roman"/>
          <w:sz w:val="20"/>
          <w:szCs w:val="20"/>
          <w:color w:val="auto"/>
        </w:rPr>
      </w:pPr>
    </w:p>
    <w:p>
      <w:pPr>
        <w:jc w:val="both"/>
        <w:ind w:left="680" w:right="60" w:firstLine="646"/>
        <w:spacing w:after="0" w:line="250" w:lineRule="auto"/>
        <w:tabs>
          <w:tab w:leader="none" w:pos="1925"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in existence on the Closing Date and described on </w:t>
      </w:r>
      <w:r>
        <w:rPr>
          <w:rFonts w:ascii="Times New Roman" w:cs="Times New Roman" w:eastAsia="Times New Roman" w:hAnsi="Times New Roman"/>
          <w:sz w:val="20"/>
          <w:szCs w:val="20"/>
          <w:u w:val="single" w:color="auto"/>
          <w:color w:val="auto"/>
        </w:rPr>
        <w:t>Schedule 9.2</w:t>
      </w:r>
      <w:r>
        <w:rPr>
          <w:rFonts w:ascii="Times New Roman" w:cs="Times New Roman" w:eastAsia="Times New Roman" w:hAnsi="Times New Roman"/>
          <w:sz w:val="20"/>
          <w:szCs w:val="20"/>
          <w:color w:val="auto"/>
        </w:rPr>
        <w:t xml:space="preserve">, and the replacement, renewal or extension thereof (including Liens incurred in connection with any refinancing, refunding, renewal or extension of Indebtedness pursuant to </w:t>
      </w:r>
      <w:r>
        <w:rPr>
          <w:rFonts w:ascii="Times New Roman" w:cs="Times New Roman" w:eastAsia="Times New Roman" w:hAnsi="Times New Roman"/>
          <w:sz w:val="20"/>
          <w:szCs w:val="20"/>
          <w:u w:val="single" w:color="auto"/>
          <w:color w:val="auto"/>
        </w:rPr>
        <w:t>Section 9.1(c)</w:t>
      </w:r>
      <w:r>
        <w:rPr>
          <w:rFonts w:ascii="Times New Roman" w:cs="Times New Roman" w:eastAsia="Times New Roman" w:hAnsi="Times New Roman"/>
          <w:sz w:val="20"/>
          <w:szCs w:val="20"/>
          <w:color w:val="auto"/>
        </w:rPr>
        <w:t xml:space="preserve"> (solely to the extent that such Liens were in existence on the Closing Date and described on </w:t>
      </w:r>
      <w:r>
        <w:rPr>
          <w:rFonts w:ascii="Times New Roman" w:cs="Times New Roman" w:eastAsia="Times New Roman" w:hAnsi="Times New Roman"/>
          <w:sz w:val="20"/>
          <w:szCs w:val="20"/>
          <w:u w:val="single" w:color="auto"/>
          <w:color w:val="auto"/>
        </w:rPr>
        <w:t>Schedule 9.2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scope of any such Lien shall not be increased, or otherwise expanded, to cover any additional property or type of asset, as applicable, beyond that in existence on the Closing Date, except for products and proceeds of the foregoing;</w:t>
      </w:r>
    </w:p>
    <w:p>
      <w:pPr>
        <w:spacing w:after="0" w:line="179" w:lineRule="exact"/>
        <w:rPr>
          <w:rFonts w:ascii="Times New Roman" w:cs="Times New Roman" w:eastAsia="Times New Roman" w:hAnsi="Times New Roman"/>
          <w:sz w:val="20"/>
          <w:szCs w:val="20"/>
          <w:color w:val="auto"/>
        </w:rPr>
      </w:pPr>
    </w:p>
    <w:p>
      <w:pPr>
        <w:jc w:val="both"/>
        <w:ind w:left="680" w:right="60" w:firstLine="646"/>
        <w:spacing w:after="0" w:line="255" w:lineRule="auto"/>
        <w:tabs>
          <w:tab w:leader="none" w:pos="1927"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for taxes, assessments and other governmental charges or levies (excluding any Lien imposed pursuant to any of the provisions of ERISA, any Canadian Pension Laws or Environmental Laws) (i) not past due or as to which the period of grace (not to exceed thirty (30) days), if any, related thereto has not expired or (ii) which are being contested in good faith and by appropriate proceedings if adequate reserves are maintained to the extent required by GAAP;</w:t>
      </w:r>
    </w:p>
    <w:p>
      <w:pPr>
        <w:spacing w:after="0" w:line="172" w:lineRule="exact"/>
        <w:rPr>
          <w:rFonts w:ascii="Times New Roman" w:cs="Times New Roman" w:eastAsia="Times New Roman" w:hAnsi="Times New Roman"/>
          <w:sz w:val="20"/>
          <w:szCs w:val="20"/>
          <w:color w:val="auto"/>
        </w:rPr>
      </w:pPr>
    </w:p>
    <w:p>
      <w:pPr>
        <w:jc w:val="both"/>
        <w:ind w:left="680" w:right="60" w:firstLine="646"/>
        <w:spacing w:after="0" w:line="270" w:lineRule="auto"/>
        <w:tabs>
          <w:tab w:leader="none" w:pos="1925" w:val="left"/>
        </w:tabs>
        <w:numPr>
          <w:ilvl w:val="0"/>
          <w:numId w:val="2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claims of materialmen, mechanics, carriers, warehousemen, processors or landlords for labor, materials, supplies or rentals incurred in the ordinary course of business, which (i) are not overdue for a period of more than thirty (30) days, or if more than thirty (30) days overdue, no action has been taken to enforce such Liens and such Liens are being contested in good faith and by appropriate proceedings if adequate reserves are maintained to the extent required by GAAP and (ii) do not, individually or in the aggregate, materially impair the use thereof in the operation of the business of the Consolidated Companies taken as a whole;</w:t>
      </w:r>
    </w:p>
    <w:p>
      <w:pPr>
        <w:spacing w:after="0" w:line="161" w:lineRule="exact"/>
        <w:rPr>
          <w:rFonts w:ascii="Times New Roman" w:cs="Times New Roman" w:eastAsia="Times New Roman" w:hAnsi="Times New Roman"/>
          <w:sz w:val="19"/>
          <w:szCs w:val="19"/>
          <w:color w:val="auto"/>
        </w:rPr>
      </w:pPr>
    </w:p>
    <w:p>
      <w:pPr>
        <w:jc w:val="both"/>
        <w:ind w:left="680" w:right="60" w:firstLine="646"/>
        <w:spacing w:after="0" w:line="248" w:lineRule="auto"/>
        <w:tabs>
          <w:tab w:leader="none" w:pos="1927"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deposits or pledges made in the ordinary course of business in connection with, or to secure payment of, obligations under workers’ compensation, unemployment or employment insurance and other types of social security or similar legislation (other than Liens imposed pursuant to any of the provisions of ERISA or any Canadian Pension Laws), or to secure the performance of bids, trade contracts and leases (other than Indebtedness) or subleases, statutory obligations, surety bonds (other than bonds related to judgments or litigation), performance bonds and other obligations of a like nature incurred in the ordinary course of business, in each case, so long as no foreclosure sale or similar proceeding has been commenced with respect to any portion of the Collateral on account thereof;</w:t>
      </w:r>
    </w:p>
    <w:p>
      <w:pPr>
        <w:spacing w:after="0" w:line="182" w:lineRule="exact"/>
        <w:rPr>
          <w:rFonts w:ascii="Times New Roman" w:cs="Times New Roman" w:eastAsia="Times New Roman" w:hAnsi="Times New Roman"/>
          <w:sz w:val="20"/>
          <w:szCs w:val="20"/>
          <w:color w:val="auto"/>
        </w:rPr>
      </w:pPr>
    </w:p>
    <w:p>
      <w:pPr>
        <w:jc w:val="both"/>
        <w:ind w:left="680" w:right="40" w:firstLine="646"/>
        <w:spacing w:after="0" w:line="257" w:lineRule="auto"/>
        <w:tabs>
          <w:tab w:leader="none" w:pos="1919"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encumbrances in the nature of zoning restrictions, easements and rights or restrictions of record on the use of real property, which in the aggregate are not substantial in amount and which do not, in any case, detract from the value of such property or impair the use thereof in the ordinary conduct of business;</w:t>
      </w:r>
    </w:p>
    <w:p>
      <w:pPr>
        <w:spacing w:after="0" w:line="183" w:lineRule="exact"/>
        <w:rPr>
          <w:rFonts w:ascii="Times New Roman" w:cs="Times New Roman" w:eastAsia="Times New Roman" w:hAnsi="Times New Roman"/>
          <w:sz w:val="20"/>
          <w:szCs w:val="20"/>
          <w:color w:val="auto"/>
        </w:rPr>
      </w:pPr>
    </w:p>
    <w:p>
      <w:pPr>
        <w:ind w:left="680" w:right="60" w:firstLine="646"/>
        <w:spacing w:after="0" w:line="263" w:lineRule="auto"/>
        <w:tabs>
          <w:tab w:leader="none" w:pos="1925"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from the filing of precautionary UCC financing statements relating solely to personal property leased pursuant to operating leases entered into in the ordinary course of business of the Consolidated Companies;</w:t>
      </w:r>
    </w:p>
    <w:p>
      <w:pPr>
        <w:spacing w:after="0" w:line="178" w:lineRule="exact"/>
        <w:rPr>
          <w:rFonts w:ascii="Times New Roman" w:cs="Times New Roman" w:eastAsia="Times New Roman" w:hAnsi="Times New Roman"/>
          <w:sz w:val="20"/>
          <w:szCs w:val="20"/>
          <w:color w:val="auto"/>
        </w:rPr>
      </w:pPr>
    </w:p>
    <w:p>
      <w:pPr>
        <w:jc w:val="both"/>
        <w:ind w:left="680" w:firstLine="646"/>
        <w:spacing w:after="0" w:line="250" w:lineRule="auto"/>
        <w:tabs>
          <w:tab w:leader="none" w:pos="1925"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Indebtedness permitted under </w:t>
      </w:r>
      <w:r>
        <w:rPr>
          <w:rFonts w:ascii="Times New Roman" w:cs="Times New Roman" w:eastAsia="Times New Roman" w:hAnsi="Times New Roman"/>
          <w:sz w:val="20"/>
          <w:szCs w:val="20"/>
          <w:u w:val="single" w:color="auto"/>
          <w:color w:val="auto"/>
        </w:rPr>
        <w:t>Section 9.1(d)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Liens shall be created concurrently with or within twenty four (24) months of the acquisition, repair, improvement or lease, as applicable, of the related Property, (ii) such Liens do not at any time encumber any property other than the Property financed by such Indebtedness and the proceeds thereof, (iii) the amount of Indebtedness secured thereby is not increased and (iv) the principal amount of Indebtedness secured by any such Lien shall at no time exceed one hundred percent (100%) of the original price for the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39">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224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20"/>
          </w:cols>
          <w:pgMar w:left="320" w:top="1440" w:right="459" w:bottom="1440" w:gutter="0" w:footer="0" w:header="0"/>
        </w:sectPr>
      </w:pPr>
    </w:p>
    <w:bookmarkStart w:id="373" w:name="page374"/>
    <w:bookmarkEnd w:id="373"/>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40">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225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0139"/>
          </w:cols>
          <w:pgMar w:left="320" w:top="1440" w:right="1440" w:bottom="1440" w:gutter="0" w:footer="0" w:header="0"/>
        </w:sectPr>
      </w:pPr>
    </w:p>
    <w:bookmarkStart w:id="374" w:name="page375"/>
    <w:bookmarkEnd w:id="374"/>
    <w:p>
      <w:pPr>
        <w:spacing w:after="0" w:line="202" w:lineRule="exact"/>
        <w:rPr>
          <w:sz w:val="20"/>
          <w:szCs w:val="20"/>
          <w:color w:val="auto"/>
        </w:rPr>
      </w:pPr>
    </w:p>
    <w:p>
      <w:pPr>
        <w:ind w:left="680" w:right="80"/>
        <w:spacing w:after="0" w:line="263" w:lineRule="auto"/>
        <w:rPr>
          <w:sz w:val="20"/>
          <w:szCs w:val="20"/>
          <w:color w:val="auto"/>
        </w:rPr>
      </w:pPr>
      <w:r>
        <w:rPr>
          <w:rFonts w:ascii="Times New Roman" w:cs="Times New Roman" w:eastAsia="Times New Roman" w:hAnsi="Times New Roman"/>
          <w:sz w:val="20"/>
          <w:szCs w:val="20"/>
          <w:color w:val="auto"/>
        </w:rPr>
        <w:t>purchase, repair improvement or lease amount (as applicable) of such Property at the time of purchase, repair, improvement or lease (as applicable);</w:t>
      </w:r>
    </w:p>
    <w:p>
      <w:pPr>
        <w:spacing w:after="0" w:line="178" w:lineRule="exact"/>
        <w:rPr>
          <w:sz w:val="20"/>
          <w:szCs w:val="20"/>
          <w:color w:val="auto"/>
        </w:rPr>
      </w:pPr>
    </w:p>
    <w:p>
      <w:pPr>
        <w:ind w:left="680" w:right="60" w:firstLine="646"/>
        <w:spacing w:after="0" w:line="263" w:lineRule="auto"/>
        <w:tabs>
          <w:tab w:leader="none" w:pos="1922" w:val="left"/>
        </w:tabs>
        <w:numPr>
          <w:ilvl w:val="1"/>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judgments for the payment of money not constituting an Event of Default under </w:t>
      </w:r>
      <w:r>
        <w:rPr>
          <w:rFonts w:ascii="Times New Roman" w:cs="Times New Roman" w:eastAsia="Times New Roman" w:hAnsi="Times New Roman"/>
          <w:sz w:val="20"/>
          <w:szCs w:val="20"/>
          <w:u w:val="single" w:color="auto"/>
          <w:color w:val="auto"/>
        </w:rPr>
        <w:t>Section 10.1(m)</w:t>
      </w:r>
      <w:r>
        <w:rPr>
          <w:rFonts w:ascii="Times New Roman" w:cs="Times New Roman" w:eastAsia="Times New Roman" w:hAnsi="Times New Roman"/>
          <w:sz w:val="20"/>
          <w:szCs w:val="20"/>
          <w:color w:val="auto"/>
        </w:rPr>
        <w:t xml:space="preserve"> or securing appeal or other surety bonds relating to such judgments;</w:t>
      </w:r>
    </w:p>
    <w:p>
      <w:pPr>
        <w:spacing w:after="0" w:line="178" w:lineRule="exact"/>
        <w:rPr>
          <w:rFonts w:ascii="Times New Roman" w:cs="Times New Roman" w:eastAsia="Times New Roman" w:hAnsi="Times New Roman"/>
          <w:sz w:val="20"/>
          <w:szCs w:val="20"/>
          <w:color w:val="auto"/>
        </w:rPr>
      </w:pPr>
    </w:p>
    <w:p>
      <w:pPr>
        <w:ind w:left="680" w:right="60" w:firstLine="646"/>
        <w:spacing w:after="0" w:line="251" w:lineRule="auto"/>
        <w:tabs>
          <w:tab w:leader="none" w:pos="1922" w:val="left"/>
        </w:tabs>
        <w:numPr>
          <w:ilvl w:val="1"/>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Liens of a collecting bank arising in the ordinary course of business under Section 4-210 of the UCC and/or the PPSA, as applicable, in effect in the relevant jurisdiction and</w:t>
      </w:r>
    </w:p>
    <w:p>
      <w:pPr>
        <w:spacing w:after="0" w:line="1" w:lineRule="exact"/>
        <w:rPr>
          <w:rFonts w:ascii="Times New Roman" w:cs="Times New Roman" w:eastAsia="Times New Roman" w:hAnsi="Times New Roman"/>
          <w:sz w:val="20"/>
          <w:szCs w:val="20"/>
          <w:color w:val="auto"/>
        </w:rPr>
      </w:pPr>
    </w:p>
    <w:p>
      <w:pPr>
        <w:ind w:left="680" w:right="60" w:firstLine="4"/>
        <w:spacing w:after="0" w:line="262" w:lineRule="auto"/>
        <w:tabs>
          <w:tab w:leader="none" w:pos="1280"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of any depositary bank in connection with statutory, common law and contractual rights of set-off and recoupment with respect to any deposit account of any Borrower or any Subsidiary thereof;</w:t>
      </w:r>
    </w:p>
    <w:p>
      <w:pPr>
        <w:spacing w:after="0" w:line="165" w:lineRule="exact"/>
        <w:rPr>
          <w:rFonts w:ascii="Times New Roman" w:cs="Times New Roman" w:eastAsia="Times New Roman" w:hAnsi="Times New Roman"/>
          <w:sz w:val="20"/>
          <w:szCs w:val="20"/>
          <w:color w:val="auto"/>
        </w:rPr>
      </w:pPr>
    </w:p>
    <w:p>
      <w:pPr>
        <w:jc w:val="both"/>
        <w:ind w:left="680" w:right="60" w:firstLine="646"/>
        <w:spacing w:after="0" w:line="257" w:lineRule="auto"/>
        <w:tabs>
          <w:tab w:leader="none" w:pos="1925" w:val="left"/>
        </w:tabs>
        <w:numPr>
          <w:ilvl w:val="1"/>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contractual or statutory Liens of landlords to the extent relating to the property and assets relating to any lease agreements with such landlord, and (ii) contractual Liens of suppliers (including sellers of goods) or customers granted in the ordinary course of business to the extent limited to the property or assets relating to such contract;</w:t>
      </w:r>
    </w:p>
    <w:p>
      <w:pPr>
        <w:spacing w:after="0" w:line="170" w:lineRule="exact"/>
        <w:rPr>
          <w:rFonts w:ascii="Times New Roman" w:cs="Times New Roman" w:eastAsia="Times New Roman" w:hAnsi="Times New Roman"/>
          <w:sz w:val="20"/>
          <w:szCs w:val="20"/>
          <w:color w:val="auto"/>
        </w:rPr>
      </w:pPr>
    </w:p>
    <w:p>
      <w:pPr>
        <w:jc w:val="both"/>
        <w:ind w:left="680" w:firstLine="646"/>
        <w:spacing w:after="0" w:line="248" w:lineRule="auto"/>
        <w:tabs>
          <w:tab w:leader="none" w:pos="1922" w:val="left"/>
        </w:tabs>
        <w:numPr>
          <w:ilvl w:val="1"/>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Property (i) of any Subsidiary which are in existence at the time that such Subsidiary is acquired pursuant to a Permitted Acquisition and (ii) of Centuri or any of its Subsidiaries existing at the time such tangible property or tangible assets are purchased or otherwise acquired by Centuri or such Subsidiary thereof pursuant to a transaction permitted pursuant to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each of the foregoing clauses (i) and (ii), (A) such Liens are not incurred in connection with, or in anticipation of, such Permitted Acquisition, purchase or other acquisition, (B) such Liens are applicable only to specific Property, (C) such Liens are not “blanket” or all asset Liens,</w:t>
      </w:r>
    </w:p>
    <w:p>
      <w:pPr>
        <w:spacing w:after="0" w:line="5" w:lineRule="exact"/>
        <w:rPr>
          <w:rFonts w:ascii="Times New Roman" w:cs="Times New Roman" w:eastAsia="Times New Roman" w:hAnsi="Times New Roman"/>
          <w:sz w:val="20"/>
          <w:szCs w:val="20"/>
          <w:color w:val="auto"/>
        </w:rPr>
      </w:pPr>
    </w:p>
    <w:p>
      <w:pPr>
        <w:ind w:left="680" w:right="60"/>
        <w:spacing w:after="0" w:line="24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 such Liens do not attach to any other Property of Centuri or any of its Subsidiaries and (E) the Indebtedness secured by such Liens is permitted under </w:t>
      </w:r>
      <w:r>
        <w:rPr>
          <w:rFonts w:ascii="Times New Roman" w:cs="Times New Roman" w:eastAsia="Times New Roman" w:hAnsi="Times New Roman"/>
          <w:sz w:val="20"/>
          <w:szCs w:val="20"/>
          <w:u w:val="single" w:color="auto"/>
          <w:color w:val="auto"/>
        </w:rPr>
        <w:t>Section 9.1(i)</w:t>
      </w:r>
      <w:r>
        <w:rPr>
          <w:rFonts w:ascii="Times New Roman" w:cs="Times New Roman" w:eastAsia="Times New Roman" w:hAnsi="Times New Roman"/>
          <w:sz w:val="20"/>
          <w:szCs w:val="20"/>
          <w:color w:val="auto"/>
        </w:rPr>
        <w:t xml:space="preserve"> of this Agreement);</w:t>
      </w:r>
    </w:p>
    <w:p>
      <w:pPr>
        <w:spacing w:after="0" w:line="179" w:lineRule="exact"/>
        <w:rPr>
          <w:rFonts w:ascii="Times New Roman" w:cs="Times New Roman" w:eastAsia="Times New Roman" w:hAnsi="Times New Roman"/>
          <w:sz w:val="20"/>
          <w:szCs w:val="20"/>
          <w:color w:val="auto"/>
        </w:rPr>
      </w:pPr>
    </w:p>
    <w:p>
      <w:pPr>
        <w:ind w:left="680" w:right="60" w:firstLine="646"/>
        <w:spacing w:after="0" w:line="258" w:lineRule="auto"/>
        <w:tabs>
          <w:tab w:leader="none" w:pos="1926" w:val="left"/>
        </w:tabs>
        <w:numPr>
          <w:ilvl w:val="1"/>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or title of a licensor, sublicensor, lessor or sublessor with respect to any assets under any license or lease agreement entered into in the ordinary course of business which do not</w:t>
      </w:r>
    </w:p>
    <w:p>
      <w:pPr>
        <w:ind w:left="680" w:right="60" w:firstLine="4"/>
        <w:spacing w:after="0" w:line="248" w:lineRule="auto"/>
        <w:tabs>
          <w:tab w:leader="none" w:pos="915"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interfere in any material respect with the business of the Consolidated Companies taken as a whole or materially detract from the value of the relevant assets of the Consolidated Companies taken as a whole or (ii) secure any Indebtedness;</w:t>
      </w:r>
    </w:p>
    <w:p>
      <w:pPr>
        <w:spacing w:after="0" w:line="179" w:lineRule="exact"/>
        <w:rPr>
          <w:rFonts w:ascii="Times New Roman" w:cs="Times New Roman" w:eastAsia="Times New Roman" w:hAnsi="Times New Roman"/>
          <w:sz w:val="20"/>
          <w:szCs w:val="20"/>
          <w:color w:val="auto"/>
        </w:rPr>
      </w:pPr>
    </w:p>
    <w:p>
      <w:pPr>
        <w:jc w:val="both"/>
        <w:ind w:left="680" w:right="60" w:firstLine="646"/>
        <w:spacing w:after="0" w:line="264" w:lineRule="auto"/>
        <w:tabs>
          <w:tab w:leader="none" w:pos="1925" w:val="left"/>
        </w:tabs>
        <w:numPr>
          <w:ilvl w:val="1"/>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Receivables Assets that have been transferred to a Person other than Centuri and its Subsidiaries (other than a Receivables Subsidiary) in connection with such Permitted Receivables Transaction securing Permitted Receivables Transactions;</w:t>
      </w:r>
    </w:p>
    <w:p>
      <w:pPr>
        <w:spacing w:after="0" w:line="163" w:lineRule="exact"/>
        <w:rPr>
          <w:rFonts w:ascii="Times New Roman" w:cs="Times New Roman" w:eastAsia="Times New Roman" w:hAnsi="Times New Roman"/>
          <w:sz w:val="20"/>
          <w:szCs w:val="20"/>
          <w:color w:val="auto"/>
        </w:rPr>
      </w:pPr>
    </w:p>
    <w:p>
      <w:pPr>
        <w:ind w:left="680" w:right="60" w:firstLine="646"/>
        <w:spacing w:after="0" w:line="255" w:lineRule="auto"/>
        <w:tabs>
          <w:tab w:leader="none" w:pos="1925" w:val="left"/>
        </w:tabs>
        <w:numPr>
          <w:ilvl w:val="1"/>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not otherwise permitted hereunder securing Indebtedness or other obligations in the aggregate principal amount not to exceed at any time outstanding the greater of (i) $100,000,000 and</w:t>
      </w:r>
    </w:p>
    <w:p>
      <w:pPr>
        <w:spacing w:after="0" w:line="1" w:lineRule="exact"/>
        <w:rPr>
          <w:rFonts w:ascii="Times New Roman" w:cs="Times New Roman" w:eastAsia="Times New Roman" w:hAnsi="Times New Roman"/>
          <w:sz w:val="20"/>
          <w:szCs w:val="20"/>
          <w:color w:val="auto"/>
        </w:rPr>
      </w:pPr>
    </w:p>
    <w:p>
      <w:pPr>
        <w:ind w:left="980" w:hanging="296"/>
        <w:spacing w:after="0"/>
        <w:tabs>
          <w:tab w:leader="none" w:pos="980"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4.0% of Consolidated Total Assets; and</w:t>
      </w:r>
    </w:p>
    <w:p>
      <w:pPr>
        <w:spacing w:after="0" w:line="189" w:lineRule="exact"/>
        <w:rPr>
          <w:rFonts w:ascii="Times New Roman" w:cs="Times New Roman" w:eastAsia="Times New Roman" w:hAnsi="Times New Roman"/>
          <w:sz w:val="20"/>
          <w:szCs w:val="20"/>
          <w:color w:val="auto"/>
        </w:rPr>
      </w:pPr>
    </w:p>
    <w:p>
      <w:pPr>
        <w:ind w:left="1960" w:hanging="633"/>
        <w:spacing w:after="0"/>
        <w:tabs>
          <w:tab w:leader="none" w:pos="1960" w:val="left"/>
        </w:tabs>
        <w:numPr>
          <w:ilvl w:val="1"/>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Collateral securing Incremental Equivalent Indebtedness.</w:t>
      </w:r>
    </w:p>
    <w:p>
      <w:pPr>
        <w:spacing w:after="0" w:line="211" w:lineRule="exact"/>
        <w:rPr>
          <w:sz w:val="20"/>
          <w:szCs w:val="20"/>
          <w:color w:val="auto"/>
        </w:rPr>
      </w:pPr>
    </w:p>
    <w:p>
      <w:pPr>
        <w:ind w:left="680" w:right="20" w:firstLine="642"/>
        <w:spacing w:after="0" w:line="277" w:lineRule="auto"/>
        <w:rPr>
          <w:sz w:val="20"/>
          <w:szCs w:val="20"/>
          <w:color w:val="auto"/>
        </w:rPr>
      </w:pPr>
      <w:r>
        <w:rPr>
          <w:rFonts w:ascii="Times New Roman" w:cs="Times New Roman" w:eastAsia="Times New Roman" w:hAnsi="Times New Roman"/>
          <w:sz w:val="20"/>
          <w:szCs w:val="20"/>
          <w:color w:val="auto"/>
        </w:rPr>
        <w:t>Notwithstanding the foregoing, in no event shall this Section permit any consensual Liens on real property except pursuant to clauses (a), (b), (c), (d), (f), (h), (k), (l) and (p) above.</w:t>
      </w:r>
    </w:p>
    <w:p>
      <w:pPr>
        <w:spacing w:after="0" w:line="165" w:lineRule="exact"/>
        <w:rPr>
          <w:sz w:val="20"/>
          <w:szCs w:val="20"/>
          <w:color w:val="auto"/>
        </w:rPr>
      </w:pPr>
    </w:p>
    <w:p>
      <w:pPr>
        <w:jc w:val="both"/>
        <w:ind w:left="680" w:right="40" w:firstLine="642"/>
        <w:spacing w:after="0" w:line="255" w:lineRule="auto"/>
        <w:rPr>
          <w:sz w:val="20"/>
          <w:szCs w:val="20"/>
          <w:color w:val="auto"/>
        </w:rPr>
      </w:pPr>
      <w:r>
        <w:rPr>
          <w:rFonts w:ascii="Times New Roman" w:cs="Times New Roman" w:eastAsia="Times New Roman" w:hAnsi="Times New Roman"/>
          <w:sz w:val="20"/>
          <w:szCs w:val="20"/>
          <w:color w:val="auto"/>
        </w:rPr>
        <w:t xml:space="preserve">SECTION 9.3 </w:t>
      </w:r>
      <w:r>
        <w:rPr>
          <w:rFonts w:ascii="Times New Roman" w:cs="Times New Roman" w:eastAsia="Times New Roman" w:hAnsi="Times New Roman"/>
          <w:sz w:val="20"/>
          <w:szCs w:val="20"/>
          <w:u w:val="single" w:color="auto"/>
          <w:color w:val="auto"/>
        </w:rPr>
        <w:t>Investments</w:t>
      </w:r>
      <w:r>
        <w:rPr>
          <w:rFonts w:ascii="Times New Roman" w:cs="Times New Roman" w:eastAsia="Times New Roman" w:hAnsi="Times New Roman"/>
          <w:sz w:val="20"/>
          <w:szCs w:val="20"/>
          <w:color w:val="auto"/>
        </w:rPr>
        <w:t>. Purchase, invest in or otherwise acquire (in one transaction or a series of transactions), directly or indirectly, any Equity Interests, interests in any partnership or joint venture (including, without limitation, the creation or capitalization of any Subsidiary), evidence of Indebtedness or other obligation or security, substantially all or a portion of the business or assets of any other Person or any other investment or interest whatsoever in any other Person, or make, directly or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41">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226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20"/>
          </w:cols>
          <w:pgMar w:left="320" w:top="1440" w:right="459" w:bottom="1440" w:gutter="0" w:footer="0" w:header="0"/>
        </w:sectPr>
      </w:pPr>
    </w:p>
    <w:bookmarkStart w:id="375" w:name="page376"/>
    <w:bookmarkEnd w:id="375"/>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42">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227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0139"/>
          </w:cols>
          <w:pgMar w:left="320" w:top="1440" w:right="1440" w:bottom="1440" w:gutter="0" w:footer="0" w:header="0"/>
        </w:sectPr>
      </w:pPr>
    </w:p>
    <w:bookmarkStart w:id="376" w:name="page377"/>
    <w:bookmarkEnd w:id="376"/>
    <w:p>
      <w:pPr>
        <w:spacing w:after="0" w:line="202" w:lineRule="exact"/>
        <w:rPr>
          <w:sz w:val="20"/>
          <w:szCs w:val="20"/>
          <w:color w:val="auto"/>
        </w:rPr>
      </w:pPr>
    </w:p>
    <w:p>
      <w:pPr>
        <w:ind w:left="680" w:right="80"/>
        <w:spacing w:after="0" w:line="263" w:lineRule="auto"/>
        <w:rPr>
          <w:sz w:val="20"/>
          <w:szCs w:val="20"/>
          <w:color w:val="auto"/>
        </w:rPr>
      </w:pPr>
      <w:r>
        <w:rPr>
          <w:rFonts w:ascii="Times New Roman" w:cs="Times New Roman" w:eastAsia="Times New Roman" w:hAnsi="Times New Roman"/>
          <w:sz w:val="20"/>
          <w:szCs w:val="20"/>
          <w:color w:val="auto"/>
        </w:rPr>
        <w:t>indirectly, any loans, advances or extensions of credit to, or any investment in cash or by delivery of Property in, any Person (all the foregoing, “</w:t>
      </w:r>
      <w:r>
        <w:rPr>
          <w:rFonts w:ascii="Times New Roman" w:cs="Times New Roman" w:eastAsia="Times New Roman" w:hAnsi="Times New Roman"/>
          <w:sz w:val="20"/>
          <w:szCs w:val="20"/>
          <w:u w:val="single" w:color="auto"/>
          <w:color w:val="auto"/>
        </w:rPr>
        <w:t>Investments</w:t>
      </w:r>
      <w:r>
        <w:rPr>
          <w:rFonts w:ascii="Times New Roman" w:cs="Times New Roman" w:eastAsia="Times New Roman" w:hAnsi="Times New Roman"/>
          <w:sz w:val="20"/>
          <w:szCs w:val="20"/>
          <w:color w:val="auto"/>
        </w:rPr>
        <w:t>”) except:</w:t>
      </w:r>
    </w:p>
    <w:p>
      <w:pPr>
        <w:spacing w:after="0" w:line="178" w:lineRule="exact"/>
        <w:rPr>
          <w:sz w:val="20"/>
          <w:szCs w:val="20"/>
          <w:color w:val="auto"/>
        </w:rPr>
      </w:pPr>
    </w:p>
    <w:p>
      <w:pPr>
        <w:ind w:left="1960" w:hanging="633"/>
        <w:spacing w:after="0"/>
        <w:tabs>
          <w:tab w:leader="none" w:pos="1960"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Investments existing on the Closing Date and described on </w:t>
      </w:r>
      <w:r>
        <w:rPr>
          <w:rFonts w:ascii="Times New Roman" w:cs="Times New Roman" w:eastAsia="Times New Roman" w:hAnsi="Times New Roman"/>
          <w:sz w:val="20"/>
          <w:szCs w:val="20"/>
          <w:u w:val="single" w:color="auto"/>
          <w:color w:val="auto"/>
        </w:rPr>
        <w:t>Schedule 9.3</w:t>
      </w:r>
      <w:r>
        <w:rPr>
          <w:rFonts w:ascii="Times New Roman" w:cs="Times New Roman" w:eastAsia="Times New Roman" w:hAnsi="Times New Roman"/>
          <w:sz w:val="20"/>
          <w:szCs w:val="20"/>
          <w:color w:val="auto"/>
        </w:rPr>
        <w:t>;</w:t>
      </w:r>
    </w:p>
    <w:p>
      <w:pPr>
        <w:spacing w:after="0" w:line="211" w:lineRule="exact"/>
        <w:rPr>
          <w:rFonts w:ascii="Times New Roman" w:cs="Times New Roman" w:eastAsia="Times New Roman" w:hAnsi="Times New Roman"/>
          <w:sz w:val="20"/>
          <w:szCs w:val="20"/>
          <w:color w:val="auto"/>
        </w:rPr>
      </w:pPr>
    </w:p>
    <w:p>
      <w:pPr>
        <w:ind w:left="2560" w:hanging="592"/>
        <w:spacing w:after="0"/>
        <w:tabs>
          <w:tab w:leader="none" w:pos="2560" w:val="left"/>
        </w:tabs>
        <w:numPr>
          <w:ilvl w:val="1"/>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made after the Closing Date by any US Credit Party in any other US Credit Party;</w:t>
      </w:r>
    </w:p>
    <w:p>
      <w:pPr>
        <w:spacing w:after="0" w:line="224" w:lineRule="exact"/>
        <w:rPr>
          <w:rFonts w:ascii="Times New Roman" w:cs="Times New Roman" w:eastAsia="Times New Roman" w:hAnsi="Times New Roman"/>
          <w:sz w:val="20"/>
          <w:szCs w:val="20"/>
          <w:color w:val="auto"/>
        </w:rPr>
      </w:pPr>
    </w:p>
    <w:p>
      <w:pPr>
        <w:ind w:left="2560" w:hanging="592"/>
        <w:spacing w:after="0"/>
        <w:tabs>
          <w:tab w:leader="none" w:pos="2560" w:val="left"/>
        </w:tabs>
        <w:numPr>
          <w:ilvl w:val="1"/>
          <w:numId w:val="2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made after the Closing Date by any Canadian Credit Party in any other Canadian Credit Party;</w:t>
      </w:r>
    </w:p>
    <w:p>
      <w:pPr>
        <w:spacing w:after="0" w:line="222" w:lineRule="exact"/>
        <w:rPr>
          <w:rFonts w:ascii="Times New Roman" w:cs="Times New Roman" w:eastAsia="Times New Roman" w:hAnsi="Times New Roman"/>
          <w:sz w:val="19"/>
          <w:szCs w:val="19"/>
          <w:color w:val="auto"/>
        </w:rPr>
      </w:pPr>
    </w:p>
    <w:p>
      <w:pPr>
        <w:ind w:left="1320" w:right="60" w:firstLine="648"/>
        <w:spacing w:after="0" w:line="277" w:lineRule="auto"/>
        <w:tabs>
          <w:tab w:leader="none" w:pos="2566" w:val="left"/>
        </w:tabs>
        <w:numPr>
          <w:ilvl w:val="1"/>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made after the Closing Date by any Non-Credit Party Subsidiary in any Credit Party or any other Non-Credit Party Subsidiary;</w:t>
      </w:r>
    </w:p>
    <w:p>
      <w:pPr>
        <w:spacing w:after="0" w:line="151" w:lineRule="exact"/>
        <w:rPr>
          <w:rFonts w:ascii="Times New Roman" w:cs="Times New Roman" w:eastAsia="Times New Roman" w:hAnsi="Times New Roman"/>
          <w:sz w:val="20"/>
          <w:szCs w:val="20"/>
          <w:color w:val="auto"/>
        </w:rPr>
      </w:pPr>
    </w:p>
    <w:p>
      <w:pPr>
        <w:ind w:left="2580" w:hanging="612"/>
        <w:spacing w:after="0"/>
        <w:tabs>
          <w:tab w:leader="none" w:pos="2580" w:val="left"/>
        </w:tabs>
        <w:numPr>
          <w:ilvl w:val="1"/>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made after the Closing Date by any Canadian Credit Party in any US Credit Party;</w:t>
      </w:r>
    </w:p>
    <w:p>
      <w:pPr>
        <w:spacing w:after="0" w:line="224" w:lineRule="exact"/>
        <w:rPr>
          <w:rFonts w:ascii="Times New Roman" w:cs="Times New Roman" w:eastAsia="Times New Roman" w:hAnsi="Times New Roman"/>
          <w:sz w:val="20"/>
          <w:szCs w:val="20"/>
          <w:color w:val="auto"/>
        </w:rPr>
      </w:pPr>
    </w:p>
    <w:p>
      <w:pPr>
        <w:ind w:left="1320" w:firstLine="648"/>
        <w:spacing w:after="0" w:line="251" w:lineRule="auto"/>
        <w:tabs>
          <w:tab w:leader="none" w:pos="2566" w:val="left"/>
        </w:tabs>
        <w:numPr>
          <w:ilvl w:val="1"/>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made after the Closing Date by any US Credit Party in any Canadian Credit Party in an aggregate amount not to exceed at any time outstanding the greater of (x)</w:t>
      </w:r>
    </w:p>
    <w:p>
      <w:pPr>
        <w:spacing w:after="0" w:line="1" w:lineRule="exact"/>
        <w:rPr>
          <w:rFonts w:ascii="Times New Roman" w:cs="Times New Roman" w:eastAsia="Times New Roman" w:hAnsi="Times New Roman"/>
          <w:sz w:val="20"/>
          <w:szCs w:val="20"/>
          <w:color w:val="auto"/>
        </w:rPr>
      </w:pPr>
    </w:p>
    <w:p>
      <w:pPr>
        <w:ind w:left="13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$50,000,000 and (y) 2.0% of Consolidated Total Assets; and</w:t>
      </w:r>
    </w:p>
    <w:p>
      <w:pPr>
        <w:spacing w:after="0" w:line="184" w:lineRule="exact"/>
        <w:rPr>
          <w:rFonts w:ascii="Times New Roman" w:cs="Times New Roman" w:eastAsia="Times New Roman" w:hAnsi="Times New Roman"/>
          <w:sz w:val="20"/>
          <w:szCs w:val="20"/>
          <w:color w:val="auto"/>
        </w:rPr>
      </w:pPr>
    </w:p>
    <w:p>
      <w:pPr>
        <w:ind w:left="1320" w:right="60" w:firstLine="648"/>
        <w:spacing w:after="0" w:line="258" w:lineRule="auto"/>
        <w:tabs>
          <w:tab w:leader="none" w:pos="2567" w:val="left"/>
        </w:tabs>
        <w:numPr>
          <w:ilvl w:val="1"/>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made after the Closing Date by any Credit Party in any Non-Credit Party Subsidiary in an aggregate amount at any time outstanding not to exceed the greater of (x)</w:t>
      </w:r>
    </w:p>
    <w:p>
      <w:pPr>
        <w:ind w:left="13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$50,000,000 and (y) 2.0% of Consolidated Total Assets.</w:t>
      </w:r>
    </w:p>
    <w:p>
      <w:pPr>
        <w:spacing w:after="0" w:line="184" w:lineRule="exact"/>
        <w:rPr>
          <w:rFonts w:ascii="Times New Roman" w:cs="Times New Roman" w:eastAsia="Times New Roman" w:hAnsi="Times New Roman"/>
          <w:sz w:val="20"/>
          <w:szCs w:val="20"/>
          <w:color w:val="auto"/>
        </w:rPr>
      </w:pPr>
    </w:p>
    <w:p>
      <w:pPr>
        <w:ind w:left="1960" w:hanging="633"/>
        <w:spacing w:after="0"/>
        <w:tabs>
          <w:tab w:leader="none" w:pos="1960"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cash and Cash Equivalents;</w:t>
      </w:r>
    </w:p>
    <w:p>
      <w:pPr>
        <w:spacing w:after="0" w:line="224" w:lineRule="exact"/>
        <w:rPr>
          <w:rFonts w:ascii="Times New Roman" w:cs="Times New Roman" w:eastAsia="Times New Roman" w:hAnsi="Times New Roman"/>
          <w:sz w:val="20"/>
          <w:szCs w:val="20"/>
          <w:color w:val="auto"/>
        </w:rPr>
      </w:pPr>
    </w:p>
    <w:p>
      <w:pPr>
        <w:ind w:left="680" w:right="60" w:firstLine="646"/>
        <w:spacing w:after="0" w:line="263" w:lineRule="auto"/>
        <w:tabs>
          <w:tab w:leader="none" w:pos="1927"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deposits made in the ordinary course of business to secure the performance of leases or other obligations as permitted by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w:t>
      </w:r>
    </w:p>
    <w:p>
      <w:pPr>
        <w:spacing w:after="0" w:line="178" w:lineRule="exact"/>
        <w:rPr>
          <w:rFonts w:ascii="Times New Roman" w:cs="Times New Roman" w:eastAsia="Times New Roman" w:hAnsi="Times New Roman"/>
          <w:sz w:val="20"/>
          <w:szCs w:val="20"/>
          <w:color w:val="auto"/>
        </w:rPr>
      </w:pPr>
    </w:p>
    <w:p>
      <w:pPr>
        <w:ind w:left="1960" w:hanging="633"/>
        <w:spacing w:after="0"/>
        <w:tabs>
          <w:tab w:leader="none" w:pos="1960"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Hedge Agreements permitted pursuant to </w:t>
      </w:r>
      <w:r>
        <w:rPr>
          <w:rFonts w:ascii="Times New Roman" w:cs="Times New Roman" w:eastAsia="Times New Roman" w:hAnsi="Times New Roman"/>
          <w:sz w:val="20"/>
          <w:szCs w:val="20"/>
          <w:u w:val="single" w:color="auto"/>
          <w:color w:val="auto"/>
        </w:rPr>
        <w:t>Section 9.1(b)</w:t>
      </w:r>
      <w:r>
        <w:rPr>
          <w:rFonts w:ascii="Times New Roman" w:cs="Times New Roman" w:eastAsia="Times New Roman" w:hAnsi="Times New Roman"/>
          <w:sz w:val="20"/>
          <w:szCs w:val="20"/>
          <w:color w:val="auto"/>
        </w:rPr>
        <w:t>;</w:t>
      </w:r>
    </w:p>
    <w:p>
      <w:pPr>
        <w:spacing w:after="0" w:line="211" w:lineRule="exact"/>
        <w:rPr>
          <w:rFonts w:ascii="Times New Roman" w:cs="Times New Roman" w:eastAsia="Times New Roman" w:hAnsi="Times New Roman"/>
          <w:sz w:val="20"/>
          <w:szCs w:val="20"/>
          <w:color w:val="auto"/>
        </w:rPr>
      </w:pPr>
    </w:p>
    <w:p>
      <w:pPr>
        <w:jc w:val="both"/>
        <w:ind w:left="680" w:right="40" w:firstLine="646"/>
        <w:spacing w:after="0" w:line="255" w:lineRule="auto"/>
        <w:tabs>
          <w:tab w:leader="none" w:pos="1927"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purchases of assets in the ordinary course of business and (ii) 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172" w:lineRule="exact"/>
        <w:rPr>
          <w:rFonts w:ascii="Times New Roman" w:cs="Times New Roman" w:eastAsia="Times New Roman" w:hAnsi="Times New Roman"/>
          <w:sz w:val="20"/>
          <w:szCs w:val="20"/>
          <w:color w:val="auto"/>
        </w:rPr>
      </w:pPr>
    </w:p>
    <w:p>
      <w:pPr>
        <w:jc w:val="both"/>
        <w:ind w:left="680" w:right="60" w:firstLine="646"/>
        <w:spacing w:after="0" w:line="264" w:lineRule="auto"/>
        <w:tabs>
          <w:tab w:leader="none" w:pos="1919"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by any Credit Party in the form of Permitted Acquisitions to the extent that any Person or Property acquired in such Acquisition becomes a part of such Credit Party or becomes (whether or not such Person is a Wholly-Owned Subsidiary) a Subsidiary Guarantor in the manner and at the time contemplated by </w:t>
      </w:r>
      <w:r>
        <w:rPr>
          <w:rFonts w:ascii="Times New Roman" w:cs="Times New Roman" w:eastAsia="Times New Roman" w:hAnsi="Times New Roman"/>
          <w:sz w:val="20"/>
          <w:szCs w:val="20"/>
          <w:u w:val="single" w:color="auto"/>
          <w:color w:val="auto"/>
        </w:rPr>
        <w:t>Section 8.14</w:t>
      </w:r>
      <w:r>
        <w:rPr>
          <w:rFonts w:ascii="Times New Roman" w:cs="Times New Roman" w:eastAsia="Times New Roman" w:hAnsi="Times New Roman"/>
          <w:sz w:val="20"/>
          <w:szCs w:val="20"/>
          <w:color w:val="auto"/>
        </w:rPr>
        <w:t>;</w:t>
      </w:r>
    </w:p>
    <w:p>
      <w:pPr>
        <w:spacing w:after="0" w:line="163" w:lineRule="exact"/>
        <w:rPr>
          <w:rFonts w:ascii="Times New Roman" w:cs="Times New Roman" w:eastAsia="Times New Roman" w:hAnsi="Times New Roman"/>
          <w:sz w:val="20"/>
          <w:szCs w:val="20"/>
          <w:color w:val="auto"/>
        </w:rPr>
      </w:pPr>
    </w:p>
    <w:p>
      <w:pPr>
        <w:jc w:val="both"/>
        <w:ind w:left="680" w:right="40" w:firstLine="646"/>
        <w:spacing w:after="0" w:line="250" w:lineRule="auto"/>
        <w:tabs>
          <w:tab w:leader="none" w:pos="1925"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 in the form of loans and advances to officers, directors and employees in the ordinary course of business (including, without limitation, loans and advances for the relocation of such Person’s residence) in an aggregate amount not to exceed at any time outstanding $10,000,000 (determined without regard to any write-downs or write-offs of such loans or advances) and (ii) in the form of loans and advances to officers, directors and employees in connection with the purchase of the Permitted Drum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43">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228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20"/>
          </w:cols>
          <w:pgMar w:left="320" w:top="1440" w:right="459" w:bottom="1440" w:gutter="0" w:footer="0" w:header="0"/>
        </w:sectPr>
      </w:pPr>
    </w:p>
    <w:bookmarkStart w:id="377" w:name="page378"/>
    <w:bookmarkEnd w:id="377"/>
    <w:p>
      <w:pPr>
        <w:spacing w:after="0" w:line="201" w:lineRule="exact"/>
        <w:rPr>
          <w:sz w:val="20"/>
          <w:szCs w:val="20"/>
          <w:color w:val="auto"/>
        </w:rPr>
      </w:pPr>
    </w:p>
    <w:p>
      <w:pPr>
        <w:ind w:left="1960" w:hanging="633"/>
        <w:spacing w:after="0"/>
        <w:tabs>
          <w:tab w:leader="none" w:pos="1960"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in the form of intercompany Indebtedness permitted pursuant to </w:t>
      </w:r>
      <w:r>
        <w:rPr>
          <w:rFonts w:ascii="Times New Roman" w:cs="Times New Roman" w:eastAsia="Times New Roman" w:hAnsi="Times New Roman"/>
          <w:sz w:val="20"/>
          <w:szCs w:val="20"/>
          <w:u w:val="single" w:color="auto"/>
          <w:color w:val="auto"/>
        </w:rPr>
        <w:t>Section</w:t>
      </w:r>
    </w:p>
    <w:p>
      <w:pPr>
        <w:spacing w:after="0" w:line="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u w:val="single" w:color="auto"/>
          <w:color w:val="auto"/>
        </w:rPr>
        <w:t>9.1(h)</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80" w:right="20" w:firstLine="646"/>
        <w:spacing w:after="0" w:line="277" w:lineRule="auto"/>
        <w:tabs>
          <w:tab w:leader="none" w:pos="1922" w:val="left"/>
        </w:tabs>
        <w:numPr>
          <w:ilvl w:val="0"/>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acquisition by a US Subsidiary Guarantor of the remaining Equity Interests of Linetec pursuant to the LLC Agreement (as defined in the Linetec Purchase Agreement);</w:t>
      </w:r>
    </w:p>
    <w:p>
      <w:pPr>
        <w:spacing w:after="0" w:line="151" w:lineRule="exact"/>
        <w:rPr>
          <w:rFonts w:ascii="Times New Roman" w:cs="Times New Roman" w:eastAsia="Times New Roman" w:hAnsi="Times New Roman"/>
          <w:sz w:val="20"/>
          <w:szCs w:val="20"/>
          <w:color w:val="auto"/>
        </w:rPr>
      </w:pPr>
    </w:p>
    <w:p>
      <w:pPr>
        <w:jc w:val="both"/>
        <w:ind w:left="680" w:firstLine="646"/>
        <w:spacing w:after="0" w:line="248" w:lineRule="auto"/>
        <w:tabs>
          <w:tab w:leader="none" w:pos="1921" w:val="left"/>
        </w:tabs>
        <w:numPr>
          <w:ilvl w:val="0"/>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in an amount not to exceed the Available Amount at the time such Investment is made;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Investment, or LCA Test Date, as applicable, (i) no Default or Event of Default has occurred and is continuing or would result therefrom and (ii) after giving </w:t>
      </w:r>
      <w:r>
        <w:rPr>
          <w:rFonts w:ascii="Times New Roman" w:cs="Times New Roman" w:eastAsia="Times New Roman" w:hAnsi="Times New Roman"/>
          <w:sz w:val="20"/>
          <w:szCs w:val="20"/>
          <w:u w:val="single" w:color="auto"/>
          <w:color w:val="auto"/>
        </w:rPr>
        <w:t>pro forma</w:t>
      </w:r>
      <w:r>
        <w:rPr>
          <w:rFonts w:ascii="Times New Roman" w:cs="Times New Roman" w:eastAsia="Times New Roman" w:hAnsi="Times New Roman"/>
          <w:sz w:val="20"/>
          <w:szCs w:val="20"/>
          <w:color w:val="auto"/>
        </w:rPr>
        <w:t xml:space="preserve"> effect to such Investment and any Indebtedness incurred in connection therewith, Centuri is in compliance with (A) a Consolidated Interest Coverage Ratio of 2.50 to 1.00 and (B) a Consolidated Net Leverage Ratio of (1) 5.50 to 1.00 for the period beginning on September 30, 2022 through and including December 30, 2022, (2) 4.75 to 1.00 for the period beginning on December 31, 2022 through and</w:t>
      </w:r>
    </w:p>
    <w:p>
      <w:pPr>
        <w:spacing w:after="0" w:line="5" w:lineRule="exact"/>
        <w:rPr>
          <w:rFonts w:ascii="Times New Roman" w:cs="Times New Roman" w:eastAsia="Times New Roman" w:hAnsi="Times New Roman"/>
          <w:sz w:val="20"/>
          <w:szCs w:val="20"/>
          <w:color w:val="auto"/>
        </w:rPr>
      </w:pPr>
    </w:p>
    <w:p>
      <w:pPr>
        <w:jc w:val="both"/>
        <w:ind w:left="680" w:right="20"/>
        <w:spacing w:after="0" w:line="24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including December 30, 2023 and (3) 4.00 to 1.00 for the period beginning on December 31, 2023 and thereafter, in each case, determined as of the most recently ended four consecutive fiscal quarter period for which financial statements and the related Officer’s Compliance Certificate have been delivered pursuant to </w:t>
      </w:r>
      <w:r>
        <w:rPr>
          <w:rFonts w:ascii="Times New Roman" w:cs="Times New Roman" w:eastAsia="Times New Roman" w:hAnsi="Times New Roman"/>
          <w:sz w:val="20"/>
          <w:szCs w:val="20"/>
          <w:u w:val="single" w:color="auto"/>
          <w:color w:val="auto"/>
        </w:rPr>
        <w:t>Sections 8.1(a)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8.2(a)</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ind w:left="1960" w:hanging="633"/>
        <w:spacing w:after="0"/>
        <w:tabs>
          <w:tab w:leader="none" w:pos="1960" w:val="left"/>
        </w:tabs>
        <w:numPr>
          <w:ilvl w:val="0"/>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Guaranty Obligations permitted pursuant to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w:t>
      </w:r>
    </w:p>
    <w:p>
      <w:pPr>
        <w:spacing w:after="0" w:line="211" w:lineRule="exact"/>
        <w:rPr>
          <w:rFonts w:ascii="Times New Roman" w:cs="Times New Roman" w:eastAsia="Times New Roman" w:hAnsi="Times New Roman"/>
          <w:sz w:val="20"/>
          <w:szCs w:val="20"/>
          <w:color w:val="auto"/>
        </w:rPr>
      </w:pPr>
    </w:p>
    <w:p>
      <w:pPr>
        <w:ind w:left="1960" w:hanging="633"/>
        <w:spacing w:after="0"/>
        <w:tabs>
          <w:tab w:leader="none" w:pos="1960" w:val="left"/>
        </w:tabs>
        <w:numPr>
          <w:ilvl w:val="0"/>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Drum Acquisition;</w:t>
      </w:r>
    </w:p>
    <w:p>
      <w:pPr>
        <w:spacing w:after="0" w:line="224" w:lineRule="exact"/>
        <w:rPr>
          <w:rFonts w:ascii="Times New Roman" w:cs="Times New Roman" w:eastAsia="Times New Roman" w:hAnsi="Times New Roman"/>
          <w:sz w:val="20"/>
          <w:szCs w:val="20"/>
          <w:color w:val="auto"/>
        </w:rPr>
      </w:pPr>
    </w:p>
    <w:p>
      <w:pPr>
        <w:jc w:val="both"/>
        <w:ind w:left="680" w:right="20" w:firstLine="646"/>
        <w:spacing w:after="0" w:line="257" w:lineRule="auto"/>
        <w:tabs>
          <w:tab w:leader="none" w:pos="1926" w:val="left"/>
        </w:tabs>
        <w:numPr>
          <w:ilvl w:val="0"/>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Investments in any Receivables Subsidiary that, in the good faith determination of Centuri, are prudent and reasonably necessary to effect or maintain any Permitted Receivables Transaction or any repurchase obligation in connection therewith and (ii) contributions or sales of Receivables Assets in connection with any Permitted Receivables Transaction;</w:t>
      </w:r>
    </w:p>
    <w:p>
      <w:pPr>
        <w:spacing w:after="0" w:line="170" w:lineRule="exact"/>
        <w:rPr>
          <w:rFonts w:ascii="Times New Roman" w:cs="Times New Roman" w:eastAsia="Times New Roman" w:hAnsi="Times New Roman"/>
          <w:sz w:val="20"/>
          <w:szCs w:val="20"/>
          <w:color w:val="auto"/>
        </w:rPr>
      </w:pPr>
    </w:p>
    <w:p>
      <w:pPr>
        <w:jc w:val="both"/>
        <w:ind w:left="680" w:right="20" w:firstLine="646"/>
        <w:spacing w:after="0" w:line="255" w:lineRule="auto"/>
        <w:tabs>
          <w:tab w:leader="none" w:pos="1925" w:val="left"/>
        </w:tabs>
        <w:numPr>
          <w:ilvl w:val="0"/>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not otherwise permitted pursuant to this </w:t>
      </w:r>
      <w:r>
        <w:rPr>
          <w:rFonts w:ascii="Times New Roman" w:cs="Times New Roman" w:eastAsia="Times New Roman" w:hAnsi="Times New Roman"/>
          <w:sz w:val="20"/>
          <w:szCs w:val="20"/>
          <w:u w:val="single" w:color="auto"/>
          <w:color w:val="auto"/>
        </w:rPr>
        <w:t>Section 9.3</w:t>
      </w:r>
      <w:r>
        <w:rPr>
          <w:rFonts w:ascii="Times New Roman" w:cs="Times New Roman" w:eastAsia="Times New Roman" w:hAnsi="Times New Roman"/>
          <w:sz w:val="20"/>
          <w:szCs w:val="20"/>
          <w:color w:val="auto"/>
        </w:rPr>
        <w:t xml:space="preserve"> in an aggregate amount not to exceed at any time outstanding the greater of (i) $50,000,000 and (ii) 2.0% of Consolidated Total Assets;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immediately before and immediately after giving pro forma effect to any such Investments, no Default or Event of Default shall have occurred and be continuing; and</w:t>
      </w:r>
    </w:p>
    <w:p>
      <w:pPr>
        <w:spacing w:after="0" w:line="172" w:lineRule="exact"/>
        <w:rPr>
          <w:rFonts w:ascii="Times New Roman" w:cs="Times New Roman" w:eastAsia="Times New Roman" w:hAnsi="Times New Roman"/>
          <w:sz w:val="20"/>
          <w:szCs w:val="20"/>
          <w:color w:val="auto"/>
        </w:rPr>
      </w:pPr>
    </w:p>
    <w:p>
      <w:pPr>
        <w:jc w:val="both"/>
        <w:ind w:left="680" w:firstLine="646"/>
        <w:spacing w:after="0" w:line="250" w:lineRule="auto"/>
        <w:tabs>
          <w:tab w:leader="none" w:pos="1925" w:val="left"/>
        </w:tabs>
        <w:numPr>
          <w:ilvl w:val="0"/>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not otherwise permitted pursuant to this </w:t>
      </w:r>
      <w:r>
        <w:rPr>
          <w:rFonts w:ascii="Times New Roman" w:cs="Times New Roman" w:eastAsia="Times New Roman" w:hAnsi="Times New Roman"/>
          <w:sz w:val="20"/>
          <w:szCs w:val="20"/>
          <w:u w:val="single" w:color="auto"/>
          <w:color w:val="auto"/>
        </w:rPr>
        <w:t>Section 9.3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immediately after giving pro forma effect to the making of any such Investment and any Indebtedness incurred in connection therewith, subject to </w:t>
      </w: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 xml:space="preserve"> in connection with a Limited Condition Acquisition, (i) no Default or Event of Default shall have occurred and be continuing and (ii) the Consolidated Net Leverage Ratio is less than or equal to 3.50 to 1.00 as of the most recently ended four consecutive fiscal quarter period for which financial statements and the related Officer’s Compliance Certificate have been delivered pursuant to </w:t>
      </w:r>
      <w:r>
        <w:rPr>
          <w:rFonts w:ascii="Times New Roman" w:cs="Times New Roman" w:eastAsia="Times New Roman" w:hAnsi="Times New Roman"/>
          <w:sz w:val="20"/>
          <w:szCs w:val="20"/>
          <w:u w:val="single" w:color="auto"/>
          <w:color w:val="auto"/>
        </w:rPr>
        <w:t>Sections 8.1(a)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8.2(a)</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jc w:val="both"/>
        <w:ind w:left="680" w:right="20"/>
        <w:spacing w:after="0" w:line="250" w:lineRule="auto"/>
        <w:rPr>
          <w:sz w:val="20"/>
          <w:szCs w:val="20"/>
          <w:color w:val="auto"/>
        </w:rPr>
      </w:pPr>
      <w:r>
        <w:rPr>
          <w:rFonts w:ascii="Times New Roman" w:cs="Times New Roman" w:eastAsia="Times New Roman" w:hAnsi="Times New Roman"/>
          <w:sz w:val="20"/>
          <w:szCs w:val="20"/>
          <w:color w:val="auto"/>
        </w:rPr>
        <w:t xml:space="preserve">For purposes of determining the amount of any Investment outstanding for purposes of this </w:t>
      </w:r>
      <w:r>
        <w:rPr>
          <w:rFonts w:ascii="Times New Roman" w:cs="Times New Roman" w:eastAsia="Times New Roman" w:hAnsi="Times New Roman"/>
          <w:sz w:val="20"/>
          <w:szCs w:val="20"/>
          <w:u w:val="single" w:color="auto"/>
          <w:color w:val="auto"/>
        </w:rPr>
        <w:t>Section 9.3</w:t>
      </w:r>
      <w:r>
        <w:rPr>
          <w:rFonts w:ascii="Times New Roman" w:cs="Times New Roman" w:eastAsia="Times New Roman" w:hAnsi="Times New Roman"/>
          <w:sz w:val="20"/>
          <w:szCs w:val="20"/>
          <w:color w:val="auto"/>
        </w:rPr>
        <w:t xml:space="preserve">, such amount shall be deemed to be the amount of such Investment when made, purchased or acquired (without adjustment for subsequent increases or decreases in the value of such Investment) </w:t>
      </w:r>
      <w:r>
        <w:rPr>
          <w:rFonts w:ascii="Times New Roman" w:cs="Times New Roman" w:eastAsia="Times New Roman" w:hAnsi="Times New Roman"/>
          <w:sz w:val="20"/>
          <w:szCs w:val="20"/>
          <w:u w:val="single" w:color="auto"/>
          <w:color w:val="auto"/>
        </w:rPr>
        <w:t>less</w:t>
      </w:r>
      <w:r>
        <w:rPr>
          <w:rFonts w:ascii="Times New Roman" w:cs="Times New Roman" w:eastAsia="Times New Roman" w:hAnsi="Times New Roman"/>
          <w:sz w:val="20"/>
          <w:szCs w:val="20"/>
          <w:color w:val="auto"/>
        </w:rPr>
        <w:t xml:space="preserve"> any amount realized in respect of such Investment upon the sale, collection or return of capital (not to exceed the original amount invested).</w:t>
      </w:r>
    </w:p>
    <w:p>
      <w:pPr>
        <w:spacing w:after="0" w:line="192" w:lineRule="exact"/>
        <w:rPr>
          <w:sz w:val="20"/>
          <w:szCs w:val="20"/>
          <w:color w:val="auto"/>
        </w:rPr>
      </w:pPr>
    </w:p>
    <w:p>
      <w:pPr>
        <w:jc w:val="both"/>
        <w:ind w:left="680" w:right="20" w:firstLine="642"/>
        <w:spacing w:after="0" w:line="257" w:lineRule="auto"/>
        <w:rPr>
          <w:sz w:val="20"/>
          <w:szCs w:val="20"/>
          <w:color w:val="auto"/>
        </w:rPr>
      </w:pPr>
      <w:r>
        <w:rPr>
          <w:rFonts w:ascii="Times New Roman" w:cs="Times New Roman" w:eastAsia="Times New Roman" w:hAnsi="Times New Roman"/>
          <w:sz w:val="20"/>
          <w:szCs w:val="20"/>
          <w:color w:val="auto"/>
        </w:rPr>
        <w:t xml:space="preserve">SECTION 9.4 </w:t>
      </w:r>
      <w:r>
        <w:rPr>
          <w:rFonts w:ascii="Times New Roman" w:cs="Times New Roman" w:eastAsia="Times New Roman" w:hAnsi="Times New Roman"/>
          <w:sz w:val="20"/>
          <w:szCs w:val="20"/>
          <w:u w:val="single" w:color="auto"/>
          <w:color w:val="auto"/>
        </w:rPr>
        <w:t>Fundamental Changes</w:t>
      </w:r>
      <w:r>
        <w:rPr>
          <w:rFonts w:ascii="Times New Roman" w:cs="Times New Roman" w:eastAsia="Times New Roman" w:hAnsi="Times New Roman"/>
          <w:sz w:val="20"/>
          <w:szCs w:val="20"/>
          <w:color w:val="auto"/>
        </w:rPr>
        <w:t>. Merge, amalgamate, consolidate or enter into any similar combination with, or enter into any Asset Disposition of all or substantially all of its assets (whether in a single transaction or a series of transactions) with, any other Person or liquidate, wind-up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44">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229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080"/>
          </w:cols>
          <w:pgMar w:left="320" w:top="1440" w:right="499" w:bottom="1440" w:gutter="0" w:footer="0" w:header="0"/>
        </w:sectPr>
      </w:pPr>
    </w:p>
    <w:bookmarkStart w:id="378" w:name="page379"/>
    <w:bookmarkEnd w:id="378"/>
    <w:p>
      <w:pPr>
        <w:spacing w:after="0" w:line="20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or dissolve itself (or suffer any liquidation or dissolution) (including, in each case, pursuant to statutory division), except:</w:t>
      </w:r>
    </w:p>
    <w:p>
      <w:pPr>
        <w:spacing w:after="0" w:line="211" w:lineRule="exact"/>
        <w:rPr>
          <w:sz w:val="20"/>
          <w:szCs w:val="20"/>
          <w:color w:val="auto"/>
        </w:rPr>
      </w:pPr>
    </w:p>
    <w:p>
      <w:pPr>
        <w:ind w:left="680" w:right="120" w:firstLine="646"/>
        <w:spacing w:after="0" w:line="277" w:lineRule="auto"/>
        <w:tabs>
          <w:tab w:leader="none" w:pos="1927" w:val="left"/>
        </w:tabs>
        <w:numPr>
          <w:ilvl w:val="1"/>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Subsidiary of the US Borrower may merge into the US Borrower in a transaction in which the US Borrower is the surviving Person;</w:t>
      </w:r>
    </w:p>
    <w:p>
      <w:pPr>
        <w:spacing w:after="0" w:line="151" w:lineRule="exact"/>
        <w:rPr>
          <w:rFonts w:ascii="Times New Roman" w:cs="Times New Roman" w:eastAsia="Times New Roman" w:hAnsi="Times New Roman"/>
          <w:sz w:val="20"/>
          <w:szCs w:val="20"/>
          <w:color w:val="auto"/>
        </w:rPr>
      </w:pPr>
    </w:p>
    <w:p>
      <w:pPr>
        <w:ind w:left="680" w:right="140" w:firstLine="646"/>
        <w:spacing w:after="0" w:line="277" w:lineRule="auto"/>
        <w:tabs>
          <w:tab w:leader="none" w:pos="1925" w:val="left"/>
        </w:tabs>
        <w:numPr>
          <w:ilvl w:val="1"/>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Subsidiary (other than a Borrower) may merge into any other Subsidiary in a transaction in which the surviving entity is a US Credit Party and (ii) any US Borrower may merge into another US Borrower;</w:t>
      </w:r>
    </w:p>
    <w:p>
      <w:pPr>
        <w:spacing w:after="0" w:line="151" w:lineRule="exact"/>
        <w:rPr>
          <w:rFonts w:ascii="Times New Roman" w:cs="Times New Roman" w:eastAsia="Times New Roman" w:hAnsi="Times New Roman"/>
          <w:sz w:val="20"/>
          <w:szCs w:val="20"/>
          <w:color w:val="auto"/>
        </w:rPr>
      </w:pPr>
    </w:p>
    <w:p>
      <w:pPr>
        <w:ind w:left="680" w:right="140" w:firstLine="646"/>
        <w:spacing w:after="0" w:line="277" w:lineRule="auto"/>
        <w:tabs>
          <w:tab w:leader="none" w:pos="1927" w:val="left"/>
        </w:tabs>
        <w:numPr>
          <w:ilvl w:val="1"/>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Canadian Subsidiary (other than the Canadian Borrowers) may be merged, amalgamated or consolidated with or into any other Subsidiary in a transaction in which the surviving or resulting entity is a Canadian Credit Party;</w:t>
      </w:r>
    </w:p>
    <w:p>
      <w:pPr>
        <w:spacing w:after="0" w:line="151" w:lineRule="exact"/>
        <w:rPr>
          <w:rFonts w:ascii="Times New Roman" w:cs="Times New Roman" w:eastAsia="Times New Roman" w:hAnsi="Times New Roman"/>
          <w:sz w:val="20"/>
          <w:szCs w:val="20"/>
          <w:color w:val="auto"/>
        </w:rPr>
      </w:pPr>
    </w:p>
    <w:p>
      <w:pPr>
        <w:jc w:val="both"/>
        <w:ind w:left="680" w:right="120" w:firstLine="646"/>
        <w:spacing w:after="0" w:line="255" w:lineRule="auto"/>
        <w:tabs>
          <w:tab w:leader="none" w:pos="1925" w:val="left"/>
        </w:tabs>
        <w:numPr>
          <w:ilvl w:val="1"/>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Subsidiary of the US Borrower may liquidate or dissolve if the US Borrower determines in good faith that such liquidation or dissolution is in the best interests of the US Borrower and is not materially disadvantageous to the Lenders, provided that, to the extent such Subsidiary is a (A) US Credit Party, its assets are transferred to a US Credit Party, and (B) Canadian Credit Party, its assets are transferred to a Canadian Credit Party;</w:t>
      </w:r>
    </w:p>
    <w:p>
      <w:pPr>
        <w:spacing w:after="0" w:line="172" w:lineRule="exact"/>
        <w:rPr>
          <w:rFonts w:ascii="Times New Roman" w:cs="Times New Roman" w:eastAsia="Times New Roman" w:hAnsi="Times New Roman"/>
          <w:sz w:val="20"/>
          <w:szCs w:val="20"/>
          <w:color w:val="auto"/>
        </w:rPr>
      </w:pPr>
    </w:p>
    <w:p>
      <w:pPr>
        <w:jc w:val="both"/>
        <w:ind w:left="680" w:right="140" w:firstLine="646"/>
        <w:spacing w:after="0" w:line="250" w:lineRule="auto"/>
        <w:tabs>
          <w:tab w:leader="none" w:pos="1927" w:val="left"/>
        </w:tabs>
        <w:numPr>
          <w:ilvl w:val="1"/>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Consolidated Company may give effect to a merger, amalgamation or consolidation the purpose of which is to effect an Investment or Asset Disposition permitted under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so long as, in the case of any such merger, amalgamation or consolidation to which a Credit Party is a party, (i) such Credit Party is the surviving Person, or (ii) if such Credit Party is not the surviving Person, the surviving Person becomes a Credit Party by executing, upon consummation of such merger, amalgamation or consolidation, such documents (including guaranties and security agreements) as are satisfactory to the Agent to render such surviving Person a Credit Party provided that if a Borrower is party to such merger, amalgamation or consolidation such Borrower shall be the surviving Person;</w:t>
      </w:r>
    </w:p>
    <w:p>
      <w:pPr>
        <w:spacing w:after="0" w:line="182" w:lineRule="exact"/>
        <w:rPr>
          <w:rFonts w:ascii="Times New Roman" w:cs="Times New Roman" w:eastAsia="Times New Roman" w:hAnsi="Times New Roman"/>
          <w:sz w:val="20"/>
          <w:szCs w:val="20"/>
          <w:color w:val="auto"/>
        </w:rPr>
      </w:pPr>
    </w:p>
    <w:p>
      <w:pPr>
        <w:ind w:left="680" w:right="140" w:firstLine="646"/>
        <w:spacing w:after="0" w:line="263" w:lineRule="auto"/>
        <w:tabs>
          <w:tab w:leader="none" w:pos="1919" w:val="left"/>
        </w:tabs>
        <w:numPr>
          <w:ilvl w:val="1"/>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Subsidiary may dispose of all or substantially all of its assets (upon voluntary liquidation, dissolution, winding up or otherwise) to any Borrower;</w:t>
      </w:r>
    </w:p>
    <w:p>
      <w:pPr>
        <w:spacing w:after="0" w:line="178" w:lineRule="exact"/>
        <w:rPr>
          <w:rFonts w:ascii="Times New Roman" w:cs="Times New Roman" w:eastAsia="Times New Roman" w:hAnsi="Times New Roman"/>
          <w:sz w:val="20"/>
          <w:szCs w:val="20"/>
          <w:color w:val="auto"/>
        </w:rPr>
      </w:pPr>
    </w:p>
    <w:p>
      <w:pPr>
        <w:ind w:left="680" w:right="140" w:firstLine="646"/>
        <w:spacing w:after="0" w:line="251" w:lineRule="auto"/>
        <w:tabs>
          <w:tab w:leader="none" w:pos="1925" w:val="left"/>
        </w:tabs>
        <w:numPr>
          <w:ilvl w:val="1"/>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Subsidiary may dispose of all or substantially all of its assets (upon voluntary liquidation, dissolution, winding up or otherwise) to any other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disposal by</w:t>
      </w:r>
    </w:p>
    <w:p>
      <w:pPr>
        <w:spacing w:after="0" w:line="1" w:lineRule="exact"/>
        <w:rPr>
          <w:rFonts w:ascii="Times New Roman" w:cs="Times New Roman" w:eastAsia="Times New Roman" w:hAnsi="Times New Roman"/>
          <w:sz w:val="20"/>
          <w:szCs w:val="20"/>
          <w:color w:val="auto"/>
        </w:rPr>
      </w:pPr>
    </w:p>
    <w:p>
      <w:pPr>
        <w:ind w:left="680" w:firstLine="4"/>
        <w:spacing w:after="0" w:line="262" w:lineRule="auto"/>
        <w:tabs>
          <w:tab w:leader="none" w:pos="914" w:val="left"/>
        </w:tabs>
        <w:numPr>
          <w:ilvl w:val="0"/>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US Credit Party shall be permitted to be made only to another US Credit Party and (ii) a Canadian Credit Party shall be permitted to be made only to another Canadian Credit Party; and</w:t>
      </w:r>
    </w:p>
    <w:p>
      <w:pPr>
        <w:spacing w:after="0" w:line="165" w:lineRule="exact"/>
        <w:rPr>
          <w:rFonts w:ascii="Times New Roman" w:cs="Times New Roman" w:eastAsia="Times New Roman" w:hAnsi="Times New Roman"/>
          <w:sz w:val="20"/>
          <w:szCs w:val="20"/>
          <w:color w:val="auto"/>
        </w:rPr>
      </w:pPr>
    </w:p>
    <w:p>
      <w:pPr>
        <w:ind w:left="1960" w:hanging="633"/>
        <w:spacing w:after="0"/>
        <w:tabs>
          <w:tab w:leader="none" w:pos="1960" w:val="left"/>
        </w:tabs>
        <w:numPr>
          <w:ilvl w:val="1"/>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Asset Dispositions permitted by </w:t>
      </w:r>
      <w:r>
        <w:rPr>
          <w:rFonts w:ascii="Times New Roman" w:cs="Times New Roman" w:eastAsia="Times New Roman" w:hAnsi="Times New Roman"/>
          <w:sz w:val="20"/>
          <w:szCs w:val="20"/>
          <w:u w:val="single" w:color="auto"/>
          <w:color w:val="auto"/>
        </w:rPr>
        <w:t>Section 9.5</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jc w:val="center"/>
        <w:ind w:right="-39"/>
        <w:spacing w:after="0"/>
        <w:tabs>
          <w:tab w:leader="none" w:pos="160" w:val="left"/>
        </w:tabs>
        <w:rPr>
          <w:sz w:val="20"/>
          <w:szCs w:val="20"/>
          <w:color w:val="auto"/>
        </w:rPr>
      </w:pPr>
      <w:r>
        <w:rPr>
          <w:rFonts w:ascii="Times New Roman" w:cs="Times New Roman" w:eastAsia="Times New Roman" w:hAnsi="Times New Roman"/>
          <w:sz w:val="20"/>
          <w:szCs w:val="20"/>
          <w:color w:val="auto"/>
        </w:rPr>
        <w:t>SECTION 9.5</w:t>
      </w:r>
      <w:r>
        <w:rPr>
          <w:sz w:val="20"/>
          <w:szCs w:val="20"/>
          <w:color w:val="auto"/>
        </w:rPr>
        <w:tab/>
      </w:r>
      <w:r>
        <w:rPr>
          <w:rFonts w:ascii="Times New Roman" w:cs="Times New Roman" w:eastAsia="Times New Roman" w:hAnsi="Times New Roman"/>
          <w:sz w:val="19"/>
          <w:szCs w:val="19"/>
          <w:u w:val="single" w:color="auto"/>
          <w:color w:val="auto"/>
        </w:rPr>
        <w:t>Asset Dispositions</w:t>
      </w:r>
      <w:r>
        <w:rPr>
          <w:rFonts w:ascii="Times New Roman" w:cs="Times New Roman" w:eastAsia="Times New Roman" w:hAnsi="Times New Roman"/>
          <w:sz w:val="19"/>
          <w:szCs w:val="19"/>
          <w:color w:val="auto"/>
        </w:rPr>
        <w:t>. Make any Asset Disposition except:</w:t>
      </w:r>
    </w:p>
    <w:p>
      <w:pPr>
        <w:spacing w:after="0" w:line="225" w:lineRule="exact"/>
        <w:rPr>
          <w:sz w:val="20"/>
          <w:szCs w:val="20"/>
          <w:color w:val="auto"/>
        </w:rPr>
      </w:pPr>
    </w:p>
    <w:p>
      <w:pPr>
        <w:ind w:left="1960" w:hanging="633"/>
        <w:spacing w:after="0"/>
        <w:tabs>
          <w:tab w:leader="none" w:pos="1960"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of inventory or assets in the ordinary course of business;</w:t>
      </w:r>
    </w:p>
    <w:p>
      <w:pPr>
        <w:spacing w:after="0" w:line="211" w:lineRule="exact"/>
        <w:rPr>
          <w:rFonts w:ascii="Times New Roman" w:cs="Times New Roman" w:eastAsia="Times New Roman" w:hAnsi="Times New Roman"/>
          <w:sz w:val="20"/>
          <w:szCs w:val="20"/>
          <w:color w:val="auto"/>
        </w:rPr>
      </w:pPr>
    </w:p>
    <w:p>
      <w:pPr>
        <w:ind w:left="680" w:right="140" w:firstLine="646"/>
        <w:spacing w:after="0" w:line="277" w:lineRule="auto"/>
        <w:tabs>
          <w:tab w:leader="none" w:pos="1925"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transfer of assets to a Borrower or any Subsidiary Guarantor pursuant to any other transaction permitted pursuant to </w:t>
      </w:r>
      <w:r>
        <w:rPr>
          <w:rFonts w:ascii="Times New Roman" w:cs="Times New Roman" w:eastAsia="Times New Roman" w:hAnsi="Times New Roman"/>
          <w:sz w:val="20"/>
          <w:szCs w:val="20"/>
          <w:u w:val="single" w:color="auto"/>
          <w:color w:val="auto"/>
        </w:rPr>
        <w:t>Section 9.4</w:t>
      </w:r>
      <w:r>
        <w:rPr>
          <w:rFonts w:ascii="Times New Roman" w:cs="Times New Roman" w:eastAsia="Times New Roman" w:hAnsi="Times New Roman"/>
          <w:sz w:val="20"/>
          <w:szCs w:val="20"/>
          <w:color w:val="auto"/>
        </w:rPr>
        <w:t>;</w:t>
      </w:r>
    </w:p>
    <w:p>
      <w:pPr>
        <w:spacing w:after="0" w:line="151" w:lineRule="exact"/>
        <w:rPr>
          <w:rFonts w:ascii="Times New Roman" w:cs="Times New Roman" w:eastAsia="Times New Roman" w:hAnsi="Times New Roman"/>
          <w:sz w:val="20"/>
          <w:szCs w:val="20"/>
          <w:color w:val="auto"/>
        </w:rPr>
      </w:pPr>
    </w:p>
    <w:p>
      <w:pPr>
        <w:ind w:left="680" w:right="140" w:firstLine="646"/>
        <w:spacing w:after="0" w:line="277" w:lineRule="auto"/>
        <w:tabs>
          <w:tab w:leader="none" w:pos="1927"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write-off, discount, sale or other disposition of defaulted or past-due receivables and similar obligations in the ordinary course of business and not undertaken as part of an accounts receivable financing transaction;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45">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230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200"/>
          </w:cols>
          <w:pgMar w:left="320" w:top="1440" w:right="379" w:bottom="1440" w:gutter="0" w:footer="0" w:header="0"/>
        </w:sectPr>
      </w:pPr>
    </w:p>
    <w:bookmarkStart w:id="379" w:name="page380"/>
    <w:bookmarkEnd w:id="379"/>
    <w:p>
      <w:pPr>
        <w:spacing w:after="0" w:line="94" w:lineRule="exact"/>
        <w:rPr>
          <w:sz w:val="20"/>
          <w:szCs w:val="20"/>
          <w:color w:val="auto"/>
        </w:rPr>
      </w:pPr>
    </w:p>
    <w:p>
      <w:pPr>
        <w:ind w:left="1960" w:hanging="633"/>
        <w:spacing w:after="0"/>
        <w:tabs>
          <w:tab w:leader="none" w:pos="1960" w:val="left"/>
        </w:tabs>
        <w:numPr>
          <w:ilvl w:val="0"/>
          <w:numId w:val="2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disposition of any Hedge Agreement or close out of any position thereunder;</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331"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
          <w:szCs w:val="1"/>
          <w:color w:val="auto"/>
        </w:rPr>
        <w:drawing>
          <wp:inline distT="0" distB="0" distL="0" distR="0">
            <wp:extent cx="8255" cy="101600"/>
            <wp:effectExtent l="0" t="0" r="0" b="0"/>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46">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231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0139"/>
          </w:cols>
          <w:pgMar w:left="320" w:top="1440" w:right="1440" w:bottom="1440" w:gutter="0" w:footer="0" w:header="0"/>
        </w:sectPr>
      </w:pPr>
    </w:p>
    <w:bookmarkStart w:id="380" w:name="page381"/>
    <w:bookmarkEnd w:id="380"/>
    <w:p>
      <w:pPr>
        <w:spacing w:after="0" w:line="201" w:lineRule="exact"/>
        <w:rPr>
          <w:sz w:val="20"/>
          <w:szCs w:val="20"/>
          <w:color w:val="auto"/>
        </w:rPr>
      </w:pPr>
    </w:p>
    <w:p>
      <w:pPr>
        <w:ind w:left="1960" w:hanging="633"/>
        <w:spacing w:after="0"/>
        <w:tabs>
          <w:tab w:leader="none" w:pos="1960"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Investments in cash and Cash Equivalents;</w:t>
      </w:r>
    </w:p>
    <w:p>
      <w:pPr>
        <w:spacing w:after="0" w:line="211" w:lineRule="exact"/>
        <w:rPr>
          <w:rFonts w:ascii="Times New Roman" w:cs="Times New Roman" w:eastAsia="Times New Roman" w:hAnsi="Times New Roman"/>
          <w:sz w:val="20"/>
          <w:szCs w:val="20"/>
          <w:color w:val="auto"/>
        </w:rPr>
      </w:pPr>
    </w:p>
    <w:p>
      <w:pPr>
        <w:ind w:left="1960" w:hanging="633"/>
        <w:spacing w:after="0"/>
        <w:tabs>
          <w:tab w:leader="none" w:pos="1960"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transfer by any Credit Party of its assets to any other Credit Party;</w:t>
      </w:r>
    </w:p>
    <w:p>
      <w:pPr>
        <w:spacing w:after="0" w:line="224" w:lineRule="exact"/>
        <w:rPr>
          <w:rFonts w:ascii="Times New Roman" w:cs="Times New Roman" w:eastAsia="Times New Roman" w:hAnsi="Times New Roman"/>
          <w:sz w:val="20"/>
          <w:szCs w:val="20"/>
          <w:color w:val="auto"/>
        </w:rPr>
      </w:pPr>
    </w:p>
    <w:p>
      <w:pPr>
        <w:jc w:val="both"/>
        <w:ind w:left="680" w:right="40" w:firstLine="646"/>
        <w:spacing w:after="0" w:line="257" w:lineRule="auto"/>
        <w:tabs>
          <w:tab w:leader="none" w:pos="1925"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transfer by any Non-Credit Party Subsidiary of its assets to any Credit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connection with any new transfer, such Credit Party shall not pay more than an amount equal to the fair market value of such assets as determined in good faith at the time of such transfer);</w:t>
      </w:r>
    </w:p>
    <w:p>
      <w:pPr>
        <w:spacing w:after="0" w:line="170" w:lineRule="exact"/>
        <w:rPr>
          <w:rFonts w:ascii="Times New Roman" w:cs="Times New Roman" w:eastAsia="Times New Roman" w:hAnsi="Times New Roman"/>
          <w:sz w:val="20"/>
          <w:szCs w:val="20"/>
          <w:color w:val="auto"/>
        </w:rPr>
      </w:pPr>
    </w:p>
    <w:p>
      <w:pPr>
        <w:ind w:left="1920" w:hanging="594"/>
        <w:spacing w:after="0"/>
        <w:tabs>
          <w:tab w:leader="none" w:pos="1920"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transfer by any Non-Credit Party Subsidiary of its assets to any other Non-Credit Party Subsidiary;</w:t>
      </w:r>
    </w:p>
    <w:p>
      <w:pPr>
        <w:spacing w:after="0" w:line="224" w:lineRule="exact"/>
        <w:rPr>
          <w:rFonts w:ascii="Times New Roman" w:cs="Times New Roman" w:eastAsia="Times New Roman" w:hAnsi="Times New Roman"/>
          <w:sz w:val="20"/>
          <w:szCs w:val="20"/>
          <w:color w:val="auto"/>
        </w:rPr>
      </w:pPr>
    </w:p>
    <w:p>
      <w:pPr>
        <w:ind w:left="680" w:right="40" w:firstLine="646"/>
        <w:spacing w:after="0" w:line="263" w:lineRule="auto"/>
        <w:tabs>
          <w:tab w:leader="none" w:pos="1922"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abandonment or other disposition of obsolete, worn-out or surplus assets no longer needed or necessary in the business of the Consolidated Company effecting such Asset Disposition or any of its Subsidiaries;</w:t>
      </w:r>
    </w:p>
    <w:p>
      <w:pPr>
        <w:spacing w:after="0" w:line="178" w:lineRule="exact"/>
        <w:rPr>
          <w:rFonts w:ascii="Times New Roman" w:cs="Times New Roman" w:eastAsia="Times New Roman" w:hAnsi="Times New Roman"/>
          <w:sz w:val="20"/>
          <w:szCs w:val="20"/>
          <w:color w:val="auto"/>
        </w:rPr>
      </w:pPr>
    </w:p>
    <w:p>
      <w:pPr>
        <w:jc w:val="both"/>
        <w:ind w:left="680" w:right="40" w:firstLine="646"/>
        <w:spacing w:after="0" w:line="257" w:lineRule="auto"/>
        <w:tabs>
          <w:tab w:leader="none" w:pos="1922"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non-exclusive licenses and sublicenses of intellectual property rights in the ordinary course of business not interfering, individually or in the aggregate, in any material respect with the conduct of the business of the Consolidated Companies;</w:t>
      </w:r>
    </w:p>
    <w:p>
      <w:pPr>
        <w:spacing w:after="0" w:line="170" w:lineRule="exact"/>
        <w:rPr>
          <w:rFonts w:ascii="Times New Roman" w:cs="Times New Roman" w:eastAsia="Times New Roman" w:hAnsi="Times New Roman"/>
          <w:sz w:val="20"/>
          <w:szCs w:val="20"/>
          <w:color w:val="auto"/>
        </w:rPr>
      </w:pPr>
    </w:p>
    <w:p>
      <w:pPr>
        <w:ind w:left="680" w:right="40" w:firstLine="646"/>
        <w:spacing w:after="0" w:line="304" w:lineRule="auto"/>
        <w:tabs>
          <w:tab w:leader="none" w:pos="1925" w:val="left"/>
        </w:tabs>
        <w:numPr>
          <w:ilvl w:val="0"/>
          <w:numId w:val="2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leases, subleases, licenses or sublicenses of real or personal property granted by Centuri or any of its Subsidiaries to others in the ordinary course of business not interfering in any material respect with the business of the Consolidated Companies;</w:t>
      </w:r>
    </w:p>
    <w:p>
      <w:pPr>
        <w:spacing w:after="0" w:line="128" w:lineRule="exact"/>
        <w:rPr>
          <w:rFonts w:ascii="Times New Roman" w:cs="Times New Roman" w:eastAsia="Times New Roman" w:hAnsi="Times New Roman"/>
          <w:sz w:val="19"/>
          <w:szCs w:val="19"/>
          <w:color w:val="auto"/>
        </w:rPr>
      </w:pPr>
    </w:p>
    <w:p>
      <w:pPr>
        <w:ind w:left="680" w:right="40" w:firstLine="646"/>
        <w:spacing w:after="0" w:line="277" w:lineRule="auto"/>
        <w:tabs>
          <w:tab w:leader="none" w:pos="1922"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Asset Dispositions in connection with Insurance and Condemnation Events;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requirements of </w:t>
      </w:r>
      <w:r>
        <w:rPr>
          <w:rFonts w:ascii="Times New Roman" w:cs="Times New Roman" w:eastAsia="Times New Roman" w:hAnsi="Times New Roman"/>
          <w:sz w:val="20"/>
          <w:szCs w:val="20"/>
          <w:u w:val="single" w:color="auto"/>
          <w:color w:val="auto"/>
        </w:rPr>
        <w:t>Section 4.4(b)</w:t>
      </w:r>
      <w:r>
        <w:rPr>
          <w:rFonts w:ascii="Times New Roman" w:cs="Times New Roman" w:eastAsia="Times New Roman" w:hAnsi="Times New Roman"/>
          <w:sz w:val="20"/>
          <w:szCs w:val="20"/>
          <w:color w:val="auto"/>
        </w:rPr>
        <w:t xml:space="preserve"> are complied with in connection therewith;</w:t>
      </w:r>
    </w:p>
    <w:p>
      <w:pPr>
        <w:spacing w:after="0" w:line="151" w:lineRule="exact"/>
        <w:rPr>
          <w:rFonts w:ascii="Times New Roman" w:cs="Times New Roman" w:eastAsia="Times New Roman" w:hAnsi="Times New Roman"/>
          <w:sz w:val="20"/>
          <w:szCs w:val="20"/>
          <w:color w:val="auto"/>
        </w:rPr>
      </w:pPr>
    </w:p>
    <w:p>
      <w:pPr>
        <w:ind w:left="1940" w:hanging="614"/>
        <w:spacing w:after="0"/>
        <w:tabs>
          <w:tab w:leader="none" w:pos="1940"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Asset Dispositions in connection with transactions permitted by </w:t>
      </w:r>
      <w:r>
        <w:rPr>
          <w:rFonts w:ascii="Times New Roman" w:cs="Times New Roman" w:eastAsia="Times New Roman" w:hAnsi="Times New Roman"/>
          <w:sz w:val="20"/>
          <w:szCs w:val="20"/>
          <w:u w:val="single" w:color="auto"/>
          <w:color w:val="auto"/>
        </w:rPr>
        <w:t>Section 9.4</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9.4(h)</w:t>
      </w:r>
      <w:r>
        <w:rPr>
          <w:rFonts w:ascii="Times New Roman" w:cs="Times New Roman" w:eastAsia="Times New Roman" w:hAnsi="Times New Roman"/>
          <w:sz w:val="20"/>
          <w:szCs w:val="20"/>
          <w:color w:val="auto"/>
        </w:rPr>
        <w:t>);</w:t>
      </w:r>
    </w:p>
    <w:p>
      <w:pPr>
        <w:spacing w:after="0" w:line="224" w:lineRule="exact"/>
        <w:rPr>
          <w:rFonts w:ascii="Times New Roman" w:cs="Times New Roman" w:eastAsia="Times New Roman" w:hAnsi="Times New Roman"/>
          <w:sz w:val="20"/>
          <w:szCs w:val="20"/>
          <w:color w:val="auto"/>
        </w:rPr>
      </w:pPr>
    </w:p>
    <w:p>
      <w:pPr>
        <w:ind w:left="1960" w:hanging="634"/>
        <w:spacing w:after="0"/>
        <w:tabs>
          <w:tab w:leader="none" w:pos="1960"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of the Permitted Drum Equity to officers, directors or employees;</w:t>
      </w:r>
    </w:p>
    <w:p>
      <w:pPr>
        <w:spacing w:after="0" w:line="211" w:lineRule="exact"/>
        <w:rPr>
          <w:rFonts w:ascii="Times New Roman" w:cs="Times New Roman" w:eastAsia="Times New Roman" w:hAnsi="Times New Roman"/>
          <w:sz w:val="20"/>
          <w:szCs w:val="20"/>
          <w:color w:val="auto"/>
        </w:rPr>
      </w:pPr>
    </w:p>
    <w:p>
      <w:pPr>
        <w:jc w:val="both"/>
        <w:ind w:left="680" w:firstLine="646"/>
        <w:spacing w:after="0" w:line="251" w:lineRule="auto"/>
        <w:tabs>
          <w:tab w:leader="none" w:pos="1925"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Asset Dispositions not otherwise pursuant to this Section;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at the time of such transaction, no Default or Event of Default shall exist or would result from such Asset Disposition and (ii) the aggregate book value of all property disposed of in reliance on this clause (o) shall not exceed</w:t>
      </w:r>
    </w:p>
    <w:p>
      <w:pPr>
        <w:spacing w:after="0" w:line="1" w:lineRule="exact"/>
        <w:rPr>
          <w:rFonts w:ascii="Times New Roman" w:cs="Times New Roman" w:eastAsia="Times New Roman" w:hAnsi="Times New Roman"/>
          <w:sz w:val="20"/>
          <w:szCs w:val="20"/>
          <w:color w:val="auto"/>
        </w:rPr>
      </w:pPr>
    </w:p>
    <w:p>
      <w:pPr>
        <w:ind w:left="6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$50,000,000 during the term of this Agreement;</w:t>
      </w:r>
    </w:p>
    <w:p>
      <w:pPr>
        <w:spacing w:after="0" w:line="197" w:lineRule="exact"/>
        <w:rPr>
          <w:rFonts w:ascii="Times New Roman" w:cs="Times New Roman" w:eastAsia="Times New Roman" w:hAnsi="Times New Roman"/>
          <w:sz w:val="20"/>
          <w:szCs w:val="20"/>
          <w:color w:val="auto"/>
        </w:rPr>
      </w:pPr>
    </w:p>
    <w:p>
      <w:pPr>
        <w:ind w:left="1920" w:hanging="594"/>
        <w:spacing w:after="0"/>
        <w:tabs>
          <w:tab w:leader="none" w:pos="1920"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discount or other transfer of Receivables Assets pursuant to a Permitted Receivables Transaction; and</w:t>
      </w:r>
    </w:p>
    <w:p>
      <w:pPr>
        <w:spacing w:after="0" w:line="211" w:lineRule="exact"/>
        <w:rPr>
          <w:rFonts w:ascii="Times New Roman" w:cs="Times New Roman" w:eastAsia="Times New Roman" w:hAnsi="Times New Roman"/>
          <w:sz w:val="20"/>
          <w:szCs w:val="20"/>
          <w:color w:val="auto"/>
        </w:rPr>
      </w:pPr>
    </w:p>
    <w:p>
      <w:pPr>
        <w:jc w:val="both"/>
        <w:ind w:left="680" w:right="40" w:firstLine="646"/>
        <w:spacing w:after="0" w:line="257" w:lineRule="auto"/>
        <w:tabs>
          <w:tab w:leader="none" w:pos="1925"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Asset Dispositions not otherwise permitted pursuant to this Section;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at the time of such Asset Disposition, no Default or Event of Default shall exist or would result from such Asset Disposition and (ii) such Asset Disposition is made for fair market value and the consideration received shall be no less than seventy-five percent (75%) in cash.</w:t>
      </w:r>
    </w:p>
    <w:p>
      <w:pPr>
        <w:spacing w:after="0" w:line="184" w:lineRule="exact"/>
        <w:rPr>
          <w:sz w:val="20"/>
          <w:szCs w:val="20"/>
          <w:color w:val="auto"/>
        </w:rPr>
      </w:pPr>
    </w:p>
    <w:p>
      <w:pPr>
        <w:jc w:val="both"/>
        <w:ind w:left="680" w:right="20" w:firstLine="642"/>
        <w:spacing w:after="0" w:line="250" w:lineRule="auto"/>
        <w:rPr>
          <w:sz w:val="20"/>
          <w:szCs w:val="20"/>
          <w:color w:val="auto"/>
        </w:rPr>
      </w:pPr>
      <w:r>
        <w:rPr>
          <w:rFonts w:ascii="Times New Roman" w:cs="Times New Roman" w:eastAsia="Times New Roman" w:hAnsi="Times New Roman"/>
          <w:sz w:val="20"/>
          <w:szCs w:val="20"/>
          <w:color w:val="auto"/>
        </w:rPr>
        <w:t xml:space="preserve">SECTION 9.6 </w:t>
      </w:r>
      <w:r>
        <w:rPr>
          <w:rFonts w:ascii="Times New Roman" w:cs="Times New Roman" w:eastAsia="Times New Roman" w:hAnsi="Times New Roman"/>
          <w:sz w:val="20"/>
          <w:szCs w:val="20"/>
          <w:u w:val="single" w:color="auto"/>
          <w:color w:val="auto"/>
        </w:rPr>
        <w:t>Restricted Payments</w:t>
      </w:r>
      <w:r>
        <w:rPr>
          <w:rFonts w:ascii="Times New Roman" w:cs="Times New Roman" w:eastAsia="Times New Roman" w:hAnsi="Times New Roman"/>
          <w:sz w:val="20"/>
          <w:szCs w:val="20"/>
          <w:color w:val="auto"/>
        </w:rPr>
        <w:t>. Declare or pay any dividend on, or make any payment or other distribution on account of, or purchase, redeem, retire or otherwise acquire (directly or indirectly), or set apart assets for a sinking or other analogous fund for the purchase, redemption, retirement or other acquisition of, any class of Equity Interests of any Credit Party or any Subsidiary thereof, or make any distribution of cash, property or assets to the holders of shares of any Equity Interests of any Credit Party or any Subsidiary thereof (all of the foregoing, the “</w:t>
      </w:r>
      <w:r>
        <w:rPr>
          <w:rFonts w:ascii="Times New Roman" w:cs="Times New Roman" w:eastAsia="Times New Roman" w:hAnsi="Times New Roman"/>
          <w:sz w:val="20"/>
          <w:szCs w:val="20"/>
          <w:u w:val="single" w:color="auto"/>
          <w:color w:val="auto"/>
        </w:rPr>
        <w:t>Restricted Payments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47">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232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381" w:name="page382"/>
    <w:bookmarkEnd w:id="381"/>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48">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233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0139"/>
          </w:cols>
          <w:pgMar w:left="320" w:top="1440" w:right="1440" w:bottom="1440" w:gutter="0" w:footer="0" w:header="0"/>
        </w:sectPr>
      </w:pPr>
    </w:p>
    <w:bookmarkStart w:id="382" w:name="page383"/>
    <w:bookmarkEnd w:id="382"/>
    <w:p>
      <w:pPr>
        <w:spacing w:after="0" w:line="202" w:lineRule="exact"/>
        <w:rPr>
          <w:sz w:val="20"/>
          <w:szCs w:val="20"/>
          <w:color w:val="auto"/>
        </w:rPr>
      </w:pPr>
    </w:p>
    <w:p>
      <w:pPr>
        <w:jc w:val="right"/>
        <w:ind w:left="4020" w:right="20" w:hanging="1653"/>
        <w:spacing w:after="0" w:line="289" w:lineRule="auto"/>
        <w:tabs>
          <w:tab w:leader="none" w:pos="2981" w:val="left"/>
        </w:tabs>
        <w:numPr>
          <w:ilvl w:val="1"/>
          <w:numId w:val="2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so long as no Default or Event of Default has occurred and is continuing or would result therefrom, any Consolidated Company may pay dividends in shares of its own Qualified Equity Interests;</w:t>
      </w:r>
    </w:p>
    <w:p>
      <w:pPr>
        <w:spacing w:after="0" w:line="155" w:lineRule="exact"/>
        <w:rPr>
          <w:rFonts w:ascii="Times New Roman" w:cs="Times New Roman" w:eastAsia="Times New Roman" w:hAnsi="Times New Roman"/>
          <w:sz w:val="19"/>
          <w:szCs w:val="19"/>
          <w:color w:val="auto"/>
        </w:rPr>
      </w:pPr>
    </w:p>
    <w:p>
      <w:pPr>
        <w:ind w:left="4080" w:hanging="628"/>
        <w:spacing w:after="0"/>
        <w:tabs>
          <w:tab w:leader="none" w:pos="4080" w:val="left"/>
        </w:tabs>
        <w:numPr>
          <w:ilvl w:val="2"/>
          <w:numId w:val="2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Subsidiary of a Consolidated Company may pay cash dividends to any Credit Party;</w:t>
      </w:r>
    </w:p>
    <w:p>
      <w:pPr>
        <w:spacing w:after="0" w:line="222" w:lineRule="exact"/>
        <w:rPr>
          <w:rFonts w:ascii="Times New Roman" w:cs="Times New Roman" w:eastAsia="Times New Roman" w:hAnsi="Times New Roman"/>
          <w:sz w:val="19"/>
          <w:szCs w:val="19"/>
          <w:color w:val="auto"/>
        </w:rPr>
      </w:pPr>
    </w:p>
    <w:p>
      <w:pPr>
        <w:ind w:left="680" w:right="20" w:firstLine="646"/>
        <w:spacing w:after="0" w:line="277" w:lineRule="auto"/>
        <w:tabs>
          <w:tab w:leader="none" w:pos="1927"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Non-Credit Party Subsidiary may make Restricted Payments to any other Non-Credit Party Subsidiary (and, if applicable, to other holders of its outstanding Equity Interests on a ratable basis);</w:t>
      </w:r>
    </w:p>
    <w:p>
      <w:pPr>
        <w:spacing w:after="0" w:line="151" w:lineRule="exact"/>
        <w:rPr>
          <w:rFonts w:ascii="Times New Roman" w:cs="Times New Roman" w:eastAsia="Times New Roman" w:hAnsi="Times New Roman"/>
          <w:sz w:val="20"/>
          <w:szCs w:val="20"/>
          <w:color w:val="auto"/>
        </w:rPr>
      </w:pPr>
    </w:p>
    <w:p>
      <w:pPr>
        <w:jc w:val="both"/>
        <w:ind w:left="680" w:right="20" w:firstLine="646"/>
        <w:spacing w:after="0" w:line="250" w:lineRule="auto"/>
        <w:tabs>
          <w:tab w:leader="none" w:pos="1925"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Consolidated Company may declare and make Restricted Payments in an amount not to exceed the Available Amount;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no Default or Event of Default has occurred and is continuing or would result therefrom and (ii) after giving </w:t>
      </w:r>
      <w:r>
        <w:rPr>
          <w:rFonts w:ascii="Times New Roman" w:cs="Times New Roman" w:eastAsia="Times New Roman" w:hAnsi="Times New Roman"/>
          <w:sz w:val="20"/>
          <w:szCs w:val="20"/>
          <w:u w:val="single" w:color="auto"/>
          <w:color w:val="auto"/>
        </w:rPr>
        <w:t>pro forma</w:t>
      </w:r>
      <w:r>
        <w:rPr>
          <w:rFonts w:ascii="Times New Roman" w:cs="Times New Roman" w:eastAsia="Times New Roman" w:hAnsi="Times New Roman"/>
          <w:sz w:val="20"/>
          <w:szCs w:val="20"/>
          <w:color w:val="auto"/>
        </w:rPr>
        <w:t xml:space="preserve"> effect to such usage and any Indebtedness incurred in connection therewith, Centuri is in compliance with (A) a Consolidated Interest Coverage Ratio of 2.50 to 1.00 and (B) a Consolidated Net Leverage Ratio of (1) 5.50 to 1.00 for the period beginning on September 30, 2022 through and including December 30, 2022, (2) 4.75 to 1.00 for</w:t>
      </w:r>
    </w:p>
    <w:p>
      <w:pPr>
        <w:spacing w:after="0" w:line="1" w:lineRule="exact"/>
        <w:rPr>
          <w:rFonts w:ascii="Times New Roman" w:cs="Times New Roman" w:eastAsia="Times New Roman" w:hAnsi="Times New Roman"/>
          <w:sz w:val="20"/>
          <w:szCs w:val="20"/>
          <w:color w:val="auto"/>
        </w:rPr>
      </w:pPr>
    </w:p>
    <w:p>
      <w:pPr>
        <w:ind w:left="680"/>
        <w:spacing w:after="0" w:line="23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period beginning on December 31, 2022 through and including December 30, 2023 and (3) 4.00 to</w:t>
      </w:r>
    </w:p>
    <w:p>
      <w:pPr>
        <w:jc w:val="both"/>
        <w:ind w:left="680" w:right="40"/>
        <w:spacing w:after="0" w:line="24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1.00 for the period beginning on December 31, 2023 and thereafter, in each case, determined as of the most recently ended four consecutive fiscal quarter period for which financial statements and the related Officer’s Compliance Certificate have been delivered pursuant to </w:t>
      </w:r>
      <w:r>
        <w:rPr>
          <w:rFonts w:ascii="Times New Roman" w:cs="Times New Roman" w:eastAsia="Times New Roman" w:hAnsi="Times New Roman"/>
          <w:sz w:val="20"/>
          <w:szCs w:val="20"/>
          <w:u w:val="single" w:color="auto"/>
          <w:color w:val="auto"/>
        </w:rPr>
        <w:t>Sections 8.1(a)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8.2(a)</w:t>
      </w:r>
      <w:r>
        <w:rPr>
          <w:rFonts w:ascii="Times New Roman" w:cs="Times New Roman" w:eastAsia="Times New Roman" w:hAnsi="Times New Roman"/>
          <w:sz w:val="20"/>
          <w:szCs w:val="20"/>
          <w:color w:val="auto"/>
        </w:rPr>
        <w:t>;</w:t>
      </w:r>
    </w:p>
    <w:p>
      <w:pPr>
        <w:spacing w:after="0" w:line="183" w:lineRule="exact"/>
        <w:rPr>
          <w:rFonts w:ascii="Times New Roman" w:cs="Times New Roman" w:eastAsia="Times New Roman" w:hAnsi="Times New Roman"/>
          <w:sz w:val="20"/>
          <w:szCs w:val="20"/>
          <w:color w:val="auto"/>
        </w:rPr>
      </w:pPr>
    </w:p>
    <w:p>
      <w:pPr>
        <w:jc w:val="both"/>
        <w:ind w:left="680" w:right="20" w:firstLine="646"/>
        <w:spacing w:after="0" w:line="250" w:lineRule="auto"/>
        <w:tabs>
          <w:tab w:leader="none" w:pos="1927"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Consolidated Company may declare and make Restricted Payments in an amount not to exceed $25,000,000 per Fiscal Year;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immediately after giving pro forma effect to the making of any such Restricted Payment and any Indebtedness incurred in connection therewith, (i) no Default or Event of Default has occurred and is continuing or would result therefrom and (ii) the Consolidated Net Leverage Ratio is greater than 3.50 to 1.00 as of the most recently ended four consecutive fiscal quarter period for which financial statements and the related Officer’s Compliance Certificate have been delivered pursuant to </w:t>
      </w:r>
      <w:r>
        <w:rPr>
          <w:rFonts w:ascii="Times New Roman" w:cs="Times New Roman" w:eastAsia="Times New Roman" w:hAnsi="Times New Roman"/>
          <w:sz w:val="20"/>
          <w:szCs w:val="20"/>
          <w:u w:val="single" w:color="auto"/>
          <w:color w:val="auto"/>
        </w:rPr>
        <w:t>Sections 8.1(a)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8.2(a)</w:t>
      </w:r>
      <w:r>
        <w:rPr>
          <w:rFonts w:ascii="Times New Roman" w:cs="Times New Roman" w:eastAsia="Times New Roman" w:hAnsi="Times New Roman"/>
          <w:sz w:val="20"/>
          <w:szCs w:val="20"/>
          <w:color w:val="auto"/>
        </w:rPr>
        <w:t>;</w:t>
      </w:r>
    </w:p>
    <w:p>
      <w:pPr>
        <w:spacing w:after="0" w:line="180" w:lineRule="exact"/>
        <w:rPr>
          <w:rFonts w:ascii="Times New Roman" w:cs="Times New Roman" w:eastAsia="Times New Roman" w:hAnsi="Times New Roman"/>
          <w:sz w:val="20"/>
          <w:szCs w:val="20"/>
          <w:color w:val="auto"/>
        </w:rPr>
      </w:pPr>
    </w:p>
    <w:p>
      <w:pPr>
        <w:ind w:left="680" w:right="40" w:firstLine="646"/>
        <w:spacing w:after="0" w:line="277" w:lineRule="auto"/>
        <w:tabs>
          <w:tab w:leader="none" w:pos="1919"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Consolidated Company may declare and make Restricted Payments in an aggregate amount not to exceed during the term of this Agreement the greater of (i) $50,000,000 and (ii) 2.0% of Consolidated Total Assets; and</w:t>
      </w:r>
    </w:p>
    <w:p>
      <w:pPr>
        <w:spacing w:after="0" w:line="151" w:lineRule="exact"/>
        <w:rPr>
          <w:rFonts w:ascii="Times New Roman" w:cs="Times New Roman" w:eastAsia="Times New Roman" w:hAnsi="Times New Roman"/>
          <w:sz w:val="20"/>
          <w:szCs w:val="20"/>
          <w:color w:val="auto"/>
        </w:rPr>
      </w:pPr>
    </w:p>
    <w:p>
      <w:pPr>
        <w:jc w:val="both"/>
        <w:ind w:left="680" w:firstLine="646"/>
        <w:spacing w:after="0" w:line="250" w:lineRule="auto"/>
        <w:tabs>
          <w:tab w:leader="none" w:pos="1925"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Consolidated Company may declare and make Restricted Payments not otherwise permitted pursuant to this </w:t>
      </w:r>
      <w:r>
        <w:rPr>
          <w:rFonts w:ascii="Times New Roman" w:cs="Times New Roman" w:eastAsia="Times New Roman" w:hAnsi="Times New Roman"/>
          <w:sz w:val="20"/>
          <w:szCs w:val="20"/>
          <w:u w:val="single" w:color="auto"/>
          <w:color w:val="auto"/>
        </w:rPr>
        <w:t>Section 9.6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immediately after giving pro forma effect to the making of any such Restricted Payment and any Indebtedness incurred in connection therewith, (i) no Default or Event of Default shall have occurred and be continuing and (ii) the Consolidated Net Leverage Ratio is less than or equal to 3.50 to 1.00 as of the most recently ended four consecutive fiscal quarter period for which financial statements and the related Officer’s Compliance Certificate have been delivered pursuant to </w:t>
      </w:r>
      <w:r>
        <w:rPr>
          <w:rFonts w:ascii="Times New Roman" w:cs="Times New Roman" w:eastAsia="Times New Roman" w:hAnsi="Times New Roman"/>
          <w:sz w:val="20"/>
          <w:szCs w:val="20"/>
          <w:u w:val="single" w:color="auto"/>
          <w:color w:val="auto"/>
        </w:rPr>
        <w:t>Sections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8.2(a)</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both"/>
        <w:ind w:left="680" w:right="40" w:firstLine="642"/>
        <w:spacing w:after="0" w:line="267" w:lineRule="auto"/>
        <w:rPr>
          <w:sz w:val="20"/>
          <w:szCs w:val="20"/>
          <w:color w:val="auto"/>
        </w:rPr>
      </w:pPr>
      <w:r>
        <w:rPr>
          <w:rFonts w:ascii="Times New Roman" w:cs="Times New Roman" w:eastAsia="Times New Roman" w:hAnsi="Times New Roman"/>
          <w:sz w:val="19"/>
          <w:szCs w:val="19"/>
          <w:color w:val="auto"/>
        </w:rPr>
        <w:t xml:space="preserve">SECTION 9.7 </w:t>
      </w:r>
      <w:r>
        <w:rPr>
          <w:rFonts w:ascii="Times New Roman" w:cs="Times New Roman" w:eastAsia="Times New Roman" w:hAnsi="Times New Roman"/>
          <w:sz w:val="19"/>
          <w:szCs w:val="19"/>
          <w:u w:val="single" w:color="auto"/>
          <w:color w:val="auto"/>
        </w:rPr>
        <w:t>Transactions with Affiliates</w:t>
      </w:r>
      <w:r>
        <w:rPr>
          <w:rFonts w:ascii="Times New Roman" w:cs="Times New Roman" w:eastAsia="Times New Roman" w:hAnsi="Times New Roman"/>
          <w:sz w:val="19"/>
          <w:szCs w:val="19"/>
          <w:color w:val="auto"/>
        </w:rPr>
        <w:t>. Directly or indirectly enter into any transaction, including, without limitation, any purchase, sale, lease or exchange of Property, the rendering of any service or the payment of any management, advisory or similar fees, with (a) any officer, director, holder of any Equity Interests in, or other Affiliate of Centuri or any of its Subsidiaries or</w:t>
      </w:r>
    </w:p>
    <w:p>
      <w:pPr>
        <w:spacing w:after="0" w:line="2" w:lineRule="exact"/>
        <w:rPr>
          <w:sz w:val="20"/>
          <w:szCs w:val="20"/>
          <w:color w:val="auto"/>
        </w:rPr>
      </w:pPr>
    </w:p>
    <w:p>
      <w:pPr>
        <w:ind w:left="960" w:hanging="276"/>
        <w:spacing w:after="0"/>
        <w:tabs>
          <w:tab w:leader="none" w:pos="960"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Affiliate of any such officer, director or holder, other than:</w:t>
      </w:r>
    </w:p>
    <w:p>
      <w:pPr>
        <w:spacing w:after="0" w:line="189" w:lineRule="exact"/>
        <w:rPr>
          <w:rFonts w:ascii="Times New Roman" w:cs="Times New Roman" w:eastAsia="Times New Roman" w:hAnsi="Times New Roman"/>
          <w:sz w:val="20"/>
          <w:szCs w:val="20"/>
          <w:color w:val="auto"/>
        </w:rPr>
      </w:pPr>
    </w:p>
    <w:p>
      <w:pPr>
        <w:ind w:left="2600" w:hanging="631"/>
        <w:spacing w:after="0"/>
        <w:tabs>
          <w:tab w:leader="none" w:pos="2600" w:val="left"/>
        </w:tabs>
        <w:numPr>
          <w:ilvl w:val="1"/>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transactions permitted by </w:t>
      </w:r>
      <w:r>
        <w:rPr>
          <w:rFonts w:ascii="Times New Roman" w:cs="Times New Roman" w:eastAsia="Times New Roman" w:hAnsi="Times New Roman"/>
          <w:sz w:val="20"/>
          <w:szCs w:val="20"/>
          <w:u w:val="single" w:color="auto"/>
          <w:color w:val="auto"/>
        </w:rPr>
        <w:t>Sections 9.1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9.9</w:t>
      </w:r>
      <w:r>
        <w:rPr>
          <w:rFonts w:ascii="Times New Roman" w:cs="Times New Roman" w:eastAsia="Times New Roman" w:hAnsi="Times New Roman"/>
          <w:sz w:val="20"/>
          <w:szCs w:val="20"/>
          <w:color w:val="auto"/>
        </w:rPr>
        <w:t>;</w:t>
      </w:r>
    </w:p>
    <w:p>
      <w:pPr>
        <w:spacing w:after="0" w:line="224" w:lineRule="exact"/>
        <w:rPr>
          <w:rFonts w:ascii="Times New Roman" w:cs="Times New Roman" w:eastAsia="Times New Roman" w:hAnsi="Times New Roman"/>
          <w:sz w:val="20"/>
          <w:szCs w:val="20"/>
          <w:color w:val="auto"/>
        </w:rPr>
      </w:pPr>
    </w:p>
    <w:p>
      <w:pPr>
        <w:ind w:left="2600" w:hanging="631"/>
        <w:spacing w:after="0"/>
        <w:tabs>
          <w:tab w:leader="none" w:pos="2600" w:val="left"/>
        </w:tabs>
        <w:numPr>
          <w:ilvl w:val="1"/>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transactions existing on the Closing Date and described on </w:t>
      </w:r>
      <w:r>
        <w:rPr>
          <w:rFonts w:ascii="Times New Roman" w:cs="Times New Roman" w:eastAsia="Times New Roman" w:hAnsi="Times New Roman"/>
          <w:sz w:val="20"/>
          <w:szCs w:val="20"/>
          <w:u w:val="single" w:color="auto"/>
          <w:color w:val="auto"/>
        </w:rPr>
        <w:t>Schedule 9.7</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49">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234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383" w:name="page384"/>
    <w:bookmarkEnd w:id="383"/>
    <w:p>
      <w:pPr>
        <w:spacing w:after="0" w:line="202" w:lineRule="exact"/>
        <w:rPr>
          <w:sz w:val="20"/>
          <w:szCs w:val="20"/>
          <w:color w:val="auto"/>
        </w:rPr>
      </w:pPr>
    </w:p>
    <w:p>
      <w:pPr>
        <w:ind w:left="1320" w:right="20" w:firstLine="648"/>
        <w:spacing w:after="0" w:line="263" w:lineRule="auto"/>
        <w:tabs>
          <w:tab w:leader="none" w:pos="2563"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(i) between or among US Credit Parties not involving any other Affiliate and (ii) between or among Canadian Credit Parties not involving any other Affiliate;</w:t>
      </w:r>
    </w:p>
    <w:p>
      <w:pPr>
        <w:spacing w:after="0" w:line="178" w:lineRule="exact"/>
        <w:rPr>
          <w:rFonts w:ascii="Times New Roman" w:cs="Times New Roman" w:eastAsia="Times New Roman" w:hAnsi="Times New Roman"/>
          <w:sz w:val="20"/>
          <w:szCs w:val="20"/>
          <w:color w:val="auto"/>
        </w:rPr>
      </w:pPr>
    </w:p>
    <w:p>
      <w:pPr>
        <w:jc w:val="both"/>
        <w:ind w:left="1320" w:firstLine="648"/>
        <w:spacing w:after="0" w:line="257" w:lineRule="auto"/>
        <w:tabs>
          <w:tab w:leader="none" w:pos="2566"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transactions in the ordinary course of business on terms as favorable as would be obtained by it on a comparable arm’s-length transaction with an independent, unrelated third party as determined in good faith by the board of directors (or equivalent governing body) of Centuri;</w:t>
      </w:r>
    </w:p>
    <w:p>
      <w:pPr>
        <w:spacing w:after="0" w:line="170" w:lineRule="exact"/>
        <w:rPr>
          <w:rFonts w:ascii="Times New Roman" w:cs="Times New Roman" w:eastAsia="Times New Roman" w:hAnsi="Times New Roman"/>
          <w:sz w:val="20"/>
          <w:szCs w:val="20"/>
          <w:color w:val="auto"/>
        </w:rPr>
      </w:pPr>
    </w:p>
    <w:p>
      <w:pPr>
        <w:ind w:left="1320" w:right="20" w:firstLine="648"/>
        <w:spacing w:after="0" w:line="277" w:lineRule="auto"/>
        <w:tabs>
          <w:tab w:leader="none" w:pos="2565"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employment and severance arrangements (including equity incentive plans and employee benefit plans and arrangements) with their respective officers and employees in the ordinary course of business;</w:t>
      </w:r>
    </w:p>
    <w:p>
      <w:pPr>
        <w:spacing w:after="0" w:line="151" w:lineRule="exact"/>
        <w:rPr>
          <w:rFonts w:ascii="Times New Roman" w:cs="Times New Roman" w:eastAsia="Times New Roman" w:hAnsi="Times New Roman"/>
          <w:sz w:val="20"/>
          <w:szCs w:val="20"/>
          <w:color w:val="auto"/>
        </w:rPr>
      </w:pPr>
    </w:p>
    <w:p>
      <w:pPr>
        <w:jc w:val="both"/>
        <w:ind w:left="1320" w:right="20" w:firstLine="648"/>
        <w:spacing w:after="0" w:line="257" w:lineRule="auto"/>
        <w:tabs>
          <w:tab w:leader="none" w:pos="2566"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of customary compensation, fees and reasonable out of pocket costs to, and indemnities for the benefit of, directors, officers and employees of the Consolidated Companies in the ordinary course of business to the extent attributable to the ownership or operation of the Consolidated Companies;</w:t>
      </w:r>
    </w:p>
    <w:p>
      <w:pPr>
        <w:spacing w:after="0" w:line="183" w:lineRule="exact"/>
        <w:rPr>
          <w:rFonts w:ascii="Times New Roman" w:cs="Times New Roman" w:eastAsia="Times New Roman" w:hAnsi="Times New Roman"/>
          <w:sz w:val="20"/>
          <w:szCs w:val="20"/>
          <w:color w:val="auto"/>
        </w:rPr>
      </w:pPr>
    </w:p>
    <w:p>
      <w:pPr>
        <w:jc w:val="both"/>
        <w:ind w:left="1320" w:right="20" w:firstLine="648"/>
        <w:spacing w:after="0" w:line="257" w:lineRule="auto"/>
        <w:tabs>
          <w:tab w:leader="none" w:pos="2567"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conveyances of assets to joint ventures pursuant to terms negotiated and agreed to on an arms-length basis with one or more third-parties that were not Affiliates of a Credit Party immediately prior to the execution and delivery of the written agreement setting forth such terms; and</w:t>
      </w:r>
    </w:p>
    <w:p>
      <w:pPr>
        <w:spacing w:after="0" w:line="170" w:lineRule="exact"/>
        <w:rPr>
          <w:rFonts w:ascii="Times New Roman" w:cs="Times New Roman" w:eastAsia="Times New Roman" w:hAnsi="Times New Roman"/>
          <w:sz w:val="20"/>
          <w:szCs w:val="20"/>
          <w:color w:val="auto"/>
        </w:rPr>
      </w:pPr>
    </w:p>
    <w:p>
      <w:pPr>
        <w:ind w:left="1320" w:right="20" w:firstLine="648"/>
        <w:spacing w:after="0" w:line="277" w:lineRule="auto"/>
        <w:tabs>
          <w:tab w:leader="none" w:pos="2568"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overhead allocations and intercompany charges applied by Centuri on a consistent basis to its Subsidiaries generally.</w:t>
      </w:r>
    </w:p>
    <w:p>
      <w:pPr>
        <w:spacing w:after="0" w:line="151" w:lineRule="exact"/>
        <w:rPr>
          <w:sz w:val="20"/>
          <w:szCs w:val="20"/>
          <w:color w:val="auto"/>
        </w:rPr>
      </w:pPr>
    </w:p>
    <w:p>
      <w:pPr>
        <w:ind w:left="1320"/>
        <w:spacing w:after="0"/>
        <w:tabs>
          <w:tab w:leader="none" w:pos="2620" w:val="left"/>
        </w:tabs>
        <w:rPr>
          <w:sz w:val="20"/>
          <w:szCs w:val="20"/>
          <w:color w:val="auto"/>
        </w:rPr>
      </w:pPr>
      <w:r>
        <w:rPr>
          <w:rFonts w:ascii="Times New Roman" w:cs="Times New Roman" w:eastAsia="Times New Roman" w:hAnsi="Times New Roman"/>
          <w:sz w:val="20"/>
          <w:szCs w:val="20"/>
          <w:color w:val="auto"/>
        </w:rPr>
        <w:t>SECTION 9.8</w:t>
      </w:r>
      <w:r>
        <w:rPr>
          <w:sz w:val="20"/>
          <w:szCs w:val="20"/>
          <w:color w:val="auto"/>
        </w:rPr>
        <w:tab/>
      </w:r>
      <w:r>
        <w:rPr>
          <w:rFonts w:ascii="Times New Roman" w:cs="Times New Roman" w:eastAsia="Times New Roman" w:hAnsi="Times New Roman"/>
          <w:sz w:val="19"/>
          <w:szCs w:val="19"/>
          <w:u w:val="single" w:color="auto"/>
          <w:color w:val="auto"/>
        </w:rPr>
        <w:t>Accounting Changes; Organizational Documents</w:t>
      </w:r>
      <w:r>
        <w:rPr>
          <w:rFonts w:ascii="Times New Roman" w:cs="Times New Roman" w:eastAsia="Times New Roman" w:hAnsi="Times New Roman"/>
          <w:sz w:val="19"/>
          <w:szCs w:val="19"/>
          <w:color w:val="auto"/>
        </w:rPr>
        <w:t>.</w:t>
      </w:r>
    </w:p>
    <w:p>
      <w:pPr>
        <w:spacing w:after="0" w:line="225" w:lineRule="exact"/>
        <w:rPr>
          <w:sz w:val="20"/>
          <w:szCs w:val="20"/>
          <w:color w:val="auto"/>
        </w:rPr>
      </w:pPr>
    </w:p>
    <w:p>
      <w:pPr>
        <w:ind w:left="680" w:right="20" w:firstLine="646"/>
        <w:spacing w:after="0" w:line="263" w:lineRule="auto"/>
        <w:tabs>
          <w:tab w:leader="none" w:pos="1927" w:val="left"/>
        </w:tabs>
        <w:numPr>
          <w:ilvl w:val="0"/>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its Fiscal Year end, or make (without the consent of the Administrative Agent) any material change in its accounting treatment and reporting practices except as required by GAAP.</w:t>
      </w:r>
    </w:p>
    <w:p>
      <w:pPr>
        <w:spacing w:after="0" w:line="178" w:lineRule="exact"/>
        <w:rPr>
          <w:rFonts w:ascii="Times New Roman" w:cs="Times New Roman" w:eastAsia="Times New Roman" w:hAnsi="Times New Roman"/>
          <w:sz w:val="20"/>
          <w:szCs w:val="20"/>
          <w:color w:val="auto"/>
        </w:rPr>
      </w:pPr>
    </w:p>
    <w:p>
      <w:pPr>
        <w:jc w:val="both"/>
        <w:ind w:left="680" w:right="20" w:firstLine="646"/>
        <w:spacing w:after="0" w:line="257" w:lineRule="auto"/>
        <w:tabs>
          <w:tab w:leader="none" w:pos="1925" w:val="left"/>
        </w:tabs>
        <w:numPr>
          <w:ilvl w:val="0"/>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 modify or change its articles of incorporation (or corporate charter or other similar organizational documents), or amend, modify or change its bylaws (or other similar documents) in any manner materially adverse to the rights or interests of the Lenders.</w:t>
      </w:r>
    </w:p>
    <w:p>
      <w:pPr>
        <w:spacing w:after="0" w:line="171" w:lineRule="exact"/>
        <w:rPr>
          <w:sz w:val="20"/>
          <w:szCs w:val="20"/>
          <w:color w:val="auto"/>
        </w:rPr>
      </w:pPr>
    </w:p>
    <w:p>
      <w:pPr>
        <w:ind w:left="1320"/>
        <w:spacing w:after="0"/>
        <w:tabs>
          <w:tab w:leader="none" w:pos="2620" w:val="left"/>
        </w:tabs>
        <w:rPr>
          <w:sz w:val="20"/>
          <w:szCs w:val="20"/>
          <w:color w:val="auto"/>
        </w:rPr>
      </w:pPr>
      <w:r>
        <w:rPr>
          <w:rFonts w:ascii="Times New Roman" w:cs="Times New Roman" w:eastAsia="Times New Roman" w:hAnsi="Times New Roman"/>
          <w:sz w:val="20"/>
          <w:szCs w:val="20"/>
          <w:color w:val="auto"/>
        </w:rPr>
        <w:t>SECTION 9.9</w:t>
      </w:r>
      <w:r>
        <w:rPr>
          <w:sz w:val="20"/>
          <w:szCs w:val="20"/>
          <w:color w:val="auto"/>
        </w:rPr>
        <w:tab/>
      </w:r>
      <w:r>
        <w:rPr>
          <w:rFonts w:ascii="Times New Roman" w:cs="Times New Roman" w:eastAsia="Times New Roman" w:hAnsi="Times New Roman"/>
          <w:sz w:val="19"/>
          <w:szCs w:val="19"/>
          <w:u w:val="single" w:color="auto"/>
          <w:color w:val="auto"/>
        </w:rPr>
        <w:t>Payments and Modifications of Junior Indebtedness</w:t>
      </w:r>
      <w:r>
        <w:rPr>
          <w:rFonts w:ascii="Times New Roman" w:cs="Times New Roman" w:eastAsia="Times New Roman" w:hAnsi="Times New Roman"/>
          <w:sz w:val="19"/>
          <w:szCs w:val="19"/>
          <w:color w:val="auto"/>
        </w:rPr>
        <w:t>.</w:t>
      </w:r>
    </w:p>
    <w:p>
      <w:pPr>
        <w:spacing w:after="0" w:line="225" w:lineRule="exact"/>
        <w:rPr>
          <w:sz w:val="20"/>
          <w:szCs w:val="20"/>
          <w:color w:val="auto"/>
        </w:rPr>
      </w:pPr>
    </w:p>
    <w:p>
      <w:pPr>
        <w:jc w:val="both"/>
        <w:ind w:left="680" w:firstLine="646"/>
        <w:spacing w:after="0" w:line="257" w:lineRule="auto"/>
        <w:tabs>
          <w:tab w:leader="none" w:pos="1927" w:val="left"/>
        </w:tabs>
        <w:numPr>
          <w:ilvl w:val="1"/>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 modify, waive or supplement (or permit the modification, amendment, waiver or supplement of) any of the terms or provisions of any Junior Indebtedness in any respect which would materially and adversely affect the rights or interests of the Administrative Agent and Lenders hereunder.</w:t>
      </w:r>
    </w:p>
    <w:p>
      <w:pPr>
        <w:spacing w:after="0" w:line="170" w:lineRule="exact"/>
        <w:rPr>
          <w:rFonts w:ascii="Times New Roman" w:cs="Times New Roman" w:eastAsia="Times New Roman" w:hAnsi="Times New Roman"/>
          <w:sz w:val="20"/>
          <w:szCs w:val="20"/>
          <w:color w:val="auto"/>
        </w:rPr>
      </w:pPr>
    </w:p>
    <w:p>
      <w:pPr>
        <w:ind w:left="1920" w:hanging="594"/>
        <w:spacing w:after="0"/>
        <w:tabs>
          <w:tab w:leader="none" w:pos="1920" w:val="left"/>
        </w:tabs>
        <w:numPr>
          <w:ilvl w:val="1"/>
          <w:numId w:val="2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Cancel, forgive, make any payment or prepayment on, or redeem or acquire for value (including, without limitation,</w:t>
      </w:r>
    </w:p>
    <w:p>
      <w:pPr>
        <w:spacing w:after="0" w:line="36" w:lineRule="exact"/>
        <w:rPr>
          <w:rFonts w:ascii="Times New Roman" w:cs="Times New Roman" w:eastAsia="Times New Roman" w:hAnsi="Times New Roman"/>
          <w:sz w:val="19"/>
          <w:szCs w:val="19"/>
          <w:color w:val="auto"/>
        </w:rPr>
      </w:pPr>
    </w:p>
    <w:p>
      <w:pPr>
        <w:ind w:left="680" w:right="20" w:firstLine="4"/>
        <w:spacing w:after="0" w:line="262" w:lineRule="auto"/>
        <w:tabs>
          <w:tab w:leader="none" w:pos="927" w:val="left"/>
        </w:tabs>
        <w:numPr>
          <w:ilvl w:val="0"/>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way of depositing with any trustee with respect thereto money or securities before due for the purpose of paying when due and (ii) at the maturity thereof) any Junior Indebtedness, except:</w:t>
      </w:r>
    </w:p>
    <w:p>
      <w:pPr>
        <w:spacing w:after="0" w:line="165" w:lineRule="exact"/>
        <w:rPr>
          <w:rFonts w:ascii="Times New Roman" w:cs="Times New Roman" w:eastAsia="Times New Roman" w:hAnsi="Times New Roman"/>
          <w:sz w:val="20"/>
          <w:szCs w:val="20"/>
          <w:color w:val="auto"/>
        </w:rPr>
      </w:pPr>
    </w:p>
    <w:p>
      <w:pPr>
        <w:ind w:left="1320" w:right="20" w:firstLine="648"/>
        <w:spacing w:after="0" w:line="277" w:lineRule="auto"/>
        <w:tabs>
          <w:tab w:leader="none" w:pos="2561" w:val="left"/>
        </w:tabs>
        <w:numPr>
          <w:ilvl w:val="2"/>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refinancings, refundings, renewals, extensions or exchange of any Junior Indebtedness permitted pursuant to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 xml:space="preserve"> and by any subordination agreement applicable thereto; and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50">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235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080"/>
          </w:cols>
          <w:pgMar w:left="320" w:top="1440" w:right="499" w:bottom="1440" w:gutter="0" w:footer="0" w:header="0"/>
        </w:sectPr>
      </w:pPr>
    </w:p>
    <w:bookmarkStart w:id="384" w:name="page385"/>
    <w:bookmarkEnd w:id="384"/>
    <w:p>
      <w:pPr>
        <w:spacing w:after="0" w:line="95" w:lineRule="exact"/>
        <w:rPr>
          <w:sz w:val="20"/>
          <w:szCs w:val="20"/>
          <w:color w:val="auto"/>
        </w:rPr>
      </w:pPr>
    </w:p>
    <w:p>
      <w:pPr>
        <w:ind w:left="1320" w:firstLine="648"/>
        <w:spacing w:after="0" w:line="277" w:lineRule="auto"/>
        <w:tabs>
          <w:tab w:leader="none" w:pos="2562" w:val="left"/>
        </w:tabs>
        <w:numPr>
          <w:ilvl w:val="0"/>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of interest, expenses and indemnities in respect of Junior Indebtedness (other than any such payments prohibited by the subordination provisions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51">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236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060"/>
          </w:cols>
          <w:pgMar w:left="320" w:top="1440" w:right="519" w:bottom="1440" w:gutter="0" w:footer="0" w:header="0"/>
        </w:sectPr>
      </w:pPr>
    </w:p>
    <w:bookmarkStart w:id="385" w:name="page386"/>
    <w:bookmarkEnd w:id="385"/>
    <w:p>
      <w:pPr>
        <w:spacing w:after="0" w:line="202" w:lineRule="exact"/>
        <w:rPr>
          <w:sz w:val="20"/>
          <w:szCs w:val="20"/>
          <w:color w:val="auto"/>
        </w:rPr>
      </w:pPr>
    </w:p>
    <w:p>
      <w:pPr>
        <w:jc w:val="both"/>
        <w:ind w:left="680" w:right="20" w:firstLine="646"/>
        <w:spacing w:after="0" w:line="247" w:lineRule="auto"/>
        <w:tabs>
          <w:tab w:leader="none" w:pos="1927"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payments and prepayments of any Junior Indebtedness in an amount not to exceed the Available Amount;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no Default or Event of Default has occurred and is continuing or would result therefrom and (ii) after giving </w:t>
      </w:r>
      <w:r>
        <w:rPr>
          <w:rFonts w:ascii="Times New Roman" w:cs="Times New Roman" w:eastAsia="Times New Roman" w:hAnsi="Times New Roman"/>
          <w:sz w:val="20"/>
          <w:szCs w:val="20"/>
          <w:u w:val="single" w:color="auto"/>
          <w:color w:val="auto"/>
        </w:rPr>
        <w:t>pro forma</w:t>
      </w:r>
      <w:r>
        <w:rPr>
          <w:rFonts w:ascii="Times New Roman" w:cs="Times New Roman" w:eastAsia="Times New Roman" w:hAnsi="Times New Roman"/>
          <w:sz w:val="20"/>
          <w:szCs w:val="20"/>
          <w:color w:val="auto"/>
        </w:rPr>
        <w:t xml:space="preserve"> effect to such usage and any Indebtedness incurred in connection therewith, Centuri is in compliance with (A) a Consolidated Interest Coverage Ratio of</w:t>
      </w:r>
    </w:p>
    <w:p>
      <w:pPr>
        <w:spacing w:after="0" w:line="3" w:lineRule="exact"/>
        <w:rPr>
          <w:rFonts w:ascii="Times New Roman" w:cs="Times New Roman" w:eastAsia="Times New Roman" w:hAnsi="Times New Roman"/>
          <w:sz w:val="20"/>
          <w:szCs w:val="20"/>
          <w:color w:val="auto"/>
        </w:rPr>
      </w:pPr>
    </w:p>
    <w:p>
      <w:pPr>
        <w:ind w:left="680"/>
        <w:spacing w:after="0" w:line="24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2.50 to 1.00 and (B) a Consolidated Net Leverage Ratio of (1) 5.50 to 1.00 for the period beginning on September 30, 2022 through and including December 30, 2022, (2) 4.75 to 1.00 for the period beginning</w:t>
      </w:r>
    </w:p>
    <w:p>
      <w:pPr>
        <w:jc w:val="both"/>
        <w:ind w:left="680"/>
        <w:spacing w:after="0" w:line="24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December 31, 2022 through and including December 30, 2023 and (3) 4.00 to 1.00 for the period beginning on December 31, 2023 and thereafter, in each case, determined as of the most recently ended four consecutive fiscal quarter period for which financial statements and the related Officer’s Compliance Certificate have been delivered pursuant to </w:t>
      </w:r>
      <w:r>
        <w:rPr>
          <w:rFonts w:ascii="Times New Roman" w:cs="Times New Roman" w:eastAsia="Times New Roman" w:hAnsi="Times New Roman"/>
          <w:sz w:val="20"/>
          <w:szCs w:val="20"/>
          <w:u w:val="single" w:color="auto"/>
          <w:color w:val="auto"/>
        </w:rPr>
        <w:t>Sections 8.1(a)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8.2(a)</w:t>
      </w:r>
      <w:r>
        <w:rPr>
          <w:rFonts w:ascii="Times New Roman" w:cs="Times New Roman" w:eastAsia="Times New Roman" w:hAnsi="Times New Roman"/>
          <w:sz w:val="20"/>
          <w:szCs w:val="20"/>
          <w:color w:val="auto"/>
        </w:rPr>
        <w:t>; and</w:t>
      </w:r>
    </w:p>
    <w:p>
      <w:pPr>
        <w:spacing w:after="0" w:line="181" w:lineRule="exact"/>
        <w:rPr>
          <w:rFonts w:ascii="Times New Roman" w:cs="Times New Roman" w:eastAsia="Times New Roman" w:hAnsi="Times New Roman"/>
          <w:sz w:val="20"/>
          <w:szCs w:val="20"/>
          <w:color w:val="auto"/>
        </w:rPr>
      </w:pPr>
    </w:p>
    <w:p>
      <w:pPr>
        <w:jc w:val="both"/>
        <w:ind w:left="680" w:right="20" w:firstLine="646"/>
        <w:spacing w:after="0" w:line="250" w:lineRule="auto"/>
        <w:tabs>
          <w:tab w:leader="none" w:pos="1925"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payments and prepayments of any Junior Indebtedness not otherwise permitted pursuant to this </w:t>
      </w:r>
      <w:r>
        <w:rPr>
          <w:rFonts w:ascii="Times New Roman" w:cs="Times New Roman" w:eastAsia="Times New Roman" w:hAnsi="Times New Roman"/>
          <w:sz w:val="20"/>
          <w:szCs w:val="20"/>
          <w:u w:val="single" w:color="auto"/>
          <w:color w:val="auto"/>
        </w:rPr>
        <w:t>Section 9.9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immediately before and immediately after giving pro forma effect to the making of any such payment and any Indebtedness incurred in connection therewith, (A) no Default or Event of Default shall have occurred and be continuing and (B) the Consolidated Net Leverage Ratio is less than or equal to 3.50 to 1.00 as of the most recently ended four consecutive fiscal quarter period for which financial statements and the related Officer’s Compliance Certificate have been delivered pursuant to </w:t>
      </w:r>
      <w:r>
        <w:rPr>
          <w:rFonts w:ascii="Times New Roman" w:cs="Times New Roman" w:eastAsia="Times New Roman" w:hAnsi="Times New Roman"/>
          <w:sz w:val="20"/>
          <w:szCs w:val="20"/>
          <w:u w:val="single" w:color="auto"/>
          <w:color w:val="auto"/>
        </w:rPr>
        <w:t>Sections 8.1(a)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8.2(a)</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ind w:left="1320"/>
        <w:spacing w:after="0"/>
        <w:tabs>
          <w:tab w:leader="none" w:pos="2720" w:val="left"/>
        </w:tabs>
        <w:rPr>
          <w:sz w:val="20"/>
          <w:szCs w:val="20"/>
          <w:color w:val="auto"/>
        </w:rPr>
      </w:pPr>
      <w:r>
        <w:rPr>
          <w:rFonts w:ascii="Times New Roman" w:cs="Times New Roman" w:eastAsia="Times New Roman" w:hAnsi="Times New Roman"/>
          <w:sz w:val="20"/>
          <w:szCs w:val="20"/>
          <w:color w:val="auto"/>
        </w:rPr>
        <w:t>SECTION 9.10</w:t>
      </w:r>
      <w:r>
        <w:rPr>
          <w:sz w:val="20"/>
          <w:szCs w:val="20"/>
          <w:color w:val="auto"/>
        </w:rPr>
        <w:tab/>
      </w:r>
      <w:r>
        <w:rPr>
          <w:rFonts w:ascii="Times New Roman" w:cs="Times New Roman" w:eastAsia="Times New Roman" w:hAnsi="Times New Roman"/>
          <w:sz w:val="19"/>
          <w:szCs w:val="19"/>
          <w:u w:val="single" w:color="auto"/>
          <w:color w:val="auto"/>
        </w:rPr>
        <w:t>No Further Negative Pledges; Restrictive Agreements</w:t>
      </w:r>
      <w:r>
        <w:rPr>
          <w:rFonts w:ascii="Times New Roman" w:cs="Times New Roman" w:eastAsia="Times New Roman" w:hAnsi="Times New Roman"/>
          <w:sz w:val="19"/>
          <w:szCs w:val="19"/>
          <w:color w:val="auto"/>
        </w:rPr>
        <w:t>.</w:t>
      </w:r>
    </w:p>
    <w:p>
      <w:pPr>
        <w:spacing w:after="0" w:line="225" w:lineRule="exact"/>
        <w:rPr>
          <w:sz w:val="20"/>
          <w:szCs w:val="20"/>
          <w:color w:val="auto"/>
        </w:rPr>
      </w:pPr>
    </w:p>
    <w:p>
      <w:pPr>
        <w:jc w:val="both"/>
        <w:ind w:left="680" w:firstLine="646"/>
        <w:spacing w:after="0" w:line="259" w:lineRule="auto"/>
        <w:tabs>
          <w:tab w:leader="none" w:pos="1927" w:val="left"/>
        </w:tabs>
        <w:numPr>
          <w:ilvl w:val="2"/>
          <w:numId w:val="2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Enter into, assume or be subject to any agreement prohibiting or otherwise restricting the creation or assumption of any Lien upon its properties or assets, whether now owned or hereafter acquired, or requiring the grant of any security for such obligation if security is given for some other obligation, except (i) pursuant to this Agreement and the other Loan Documents, (ii) pursuant to any document or instrument governing Indebtedness incurred pursuant to </w:t>
      </w:r>
      <w:r>
        <w:rPr>
          <w:rFonts w:ascii="Times New Roman" w:cs="Times New Roman" w:eastAsia="Times New Roman" w:hAnsi="Times New Roman"/>
          <w:sz w:val="19"/>
          <w:szCs w:val="19"/>
          <w:u w:val="single" w:color="auto"/>
          <w:color w:val="auto"/>
        </w:rPr>
        <w:t>Section 9.1(c)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such restriction contained therein relates only to the asset or assets acquired in connection therewith and proceeds thereof), (iii) restrictions contained in the organizational documents of any Subsidiary that is not a Subsidiary Guarantor as of the Closing Date,</w:t>
      </w:r>
    </w:p>
    <w:p>
      <w:pPr>
        <w:spacing w:after="0" w:line="3" w:lineRule="exact"/>
        <w:rPr>
          <w:rFonts w:ascii="Times New Roman" w:cs="Times New Roman" w:eastAsia="Times New Roman" w:hAnsi="Times New Roman"/>
          <w:sz w:val="19"/>
          <w:szCs w:val="19"/>
          <w:color w:val="auto"/>
        </w:rPr>
      </w:pPr>
    </w:p>
    <w:p>
      <w:pPr>
        <w:jc w:val="both"/>
        <w:ind w:left="680" w:firstLine="4"/>
        <w:spacing w:after="0" w:line="247" w:lineRule="auto"/>
        <w:tabs>
          <w:tab w:leader="none" w:pos="1036" w:val="left"/>
        </w:tabs>
        <w:numPr>
          <w:ilvl w:val="1"/>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restrictions in connection with any Permitted Lien or any document or instrument governing any Permitted Lien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restriction contained therein relates only to the asset or assets subject to such Permitted Lien and proceeds thereof) and (v) restrictions contained in Permitted Receivables Transaction Documents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restrictions and conditions apply solely to (A) Receivables Assets involved in such Permitted Receivables Transaction and (B) any applicable Receivables Subsidiary).</w:t>
      </w:r>
    </w:p>
    <w:p>
      <w:pPr>
        <w:spacing w:after="0" w:line="180" w:lineRule="exact"/>
        <w:rPr>
          <w:rFonts w:ascii="Times New Roman" w:cs="Times New Roman" w:eastAsia="Times New Roman" w:hAnsi="Times New Roman"/>
          <w:sz w:val="20"/>
          <w:szCs w:val="20"/>
          <w:color w:val="auto"/>
        </w:rPr>
      </w:pPr>
    </w:p>
    <w:p>
      <w:pPr>
        <w:jc w:val="both"/>
        <w:ind w:left="680" w:firstLine="646"/>
        <w:spacing w:after="0" w:line="247" w:lineRule="auto"/>
        <w:tabs>
          <w:tab w:leader="none" w:pos="1925" w:val="left"/>
        </w:tabs>
        <w:numPr>
          <w:ilvl w:val="2"/>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Create or otherwise cause or suffer to exist or become effective any consensual encumbrance or restriction on the ability of any Credit Party or any Subsidiary thereof to (i) pay dividends or make any other distributions to any Credit Party or any Subsidiary on its Equity Interests or with respect to any other interest or participation in, or measured by, its profits, (ii) pay any Indebtedness or other obligation owed to any Credit Party, (iii) make loans or advances to any Credit Party, (iv) sell, lease or transfer any of its properties or assets to any Credit Party or (v) act as a Credit Party pursuant to the Loan Documents or any renewals, refinancings, exchanges, refundings or extension thereof, except (in respect of any of the matters referred to in clauses (i) through (v) above) for such encumbrances or restrictions existing under or by reason of (A) this Agreement and the other Loan Documents,</w:t>
      </w:r>
    </w:p>
    <w:p>
      <w:pPr>
        <w:spacing w:after="0" w:line="6" w:lineRule="exact"/>
        <w:rPr>
          <w:rFonts w:ascii="Times New Roman" w:cs="Times New Roman" w:eastAsia="Times New Roman" w:hAnsi="Times New Roman"/>
          <w:sz w:val="20"/>
          <w:szCs w:val="20"/>
          <w:color w:val="auto"/>
        </w:rPr>
      </w:pPr>
    </w:p>
    <w:p>
      <w:pPr>
        <w:jc w:val="both"/>
        <w:ind w:left="680" w:right="20" w:firstLine="4"/>
        <w:spacing w:after="0" w:line="247" w:lineRule="auto"/>
        <w:tabs>
          <w:tab w:leader="none" w:pos="1035"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Applicable Law, (C) any document or instrument governing Indebtedness incurred pursuant to </w:t>
      </w:r>
      <w:r>
        <w:rPr>
          <w:rFonts w:ascii="Times New Roman" w:cs="Times New Roman" w:eastAsia="Times New Roman" w:hAnsi="Times New Roman"/>
          <w:sz w:val="20"/>
          <w:szCs w:val="20"/>
          <w:u w:val="single" w:color="auto"/>
          <w:color w:val="auto"/>
        </w:rPr>
        <w:t>Section 9.1(c)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any such restriction contained therein relates only to the asset or assets acquired in connection therewith and proceeds thereof), (D) any Permitted Lien or any document or instrument governing any Permitted Lien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any such restriction contained therein relates only to the asset or assets subject to such Permitted Lien), (E) obligations that are binding on a Subsidiary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52">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237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080"/>
          </w:cols>
          <w:pgMar w:left="320" w:top="1440" w:right="499" w:bottom="1440" w:gutter="0" w:footer="0" w:header="0"/>
        </w:sectPr>
      </w:pPr>
    </w:p>
    <w:bookmarkStart w:id="386" w:name="page387"/>
    <w:bookmarkEnd w:id="386"/>
    <w:p>
      <w:pPr>
        <w:ind w:left="680"/>
        <w:spacing w:after="0" w:line="277" w:lineRule="auto"/>
        <w:rPr>
          <w:sz w:val="20"/>
          <w:szCs w:val="20"/>
          <w:color w:val="auto"/>
        </w:rPr>
      </w:pPr>
      <w:r>
        <w:rPr>
          <w:rFonts w:ascii="Times New Roman" w:cs="Times New Roman" w:eastAsia="Times New Roman" w:hAnsi="Times New Roman"/>
          <w:sz w:val="20"/>
          <w:szCs w:val="20"/>
          <w:color w:val="auto"/>
        </w:rPr>
        <w:t>at the time such Subsidiary first becomes a Subsidiary of Centuri, so long as such obligations are not entered into in contemplation of such Person becoming a Subsidiary, (F) customary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53">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238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060"/>
          </w:cols>
          <w:pgMar w:left="320" w:top="1320" w:right="519" w:bottom="1440" w:gutter="0" w:footer="0" w:header="0"/>
        </w:sectPr>
      </w:pPr>
    </w:p>
    <w:bookmarkStart w:id="387" w:name="page388"/>
    <w:bookmarkEnd w:id="387"/>
    <w:p>
      <w:pPr>
        <w:spacing w:after="0" w:line="202" w:lineRule="exact"/>
        <w:rPr>
          <w:sz w:val="20"/>
          <w:szCs w:val="20"/>
          <w:color w:val="auto"/>
        </w:rPr>
      </w:pPr>
    </w:p>
    <w:p>
      <w:pPr>
        <w:jc w:val="both"/>
        <w:ind w:left="680"/>
        <w:spacing w:after="0" w:line="248" w:lineRule="auto"/>
        <w:rPr>
          <w:sz w:val="20"/>
          <w:szCs w:val="20"/>
          <w:color w:val="auto"/>
        </w:rPr>
      </w:pPr>
      <w:r>
        <w:rPr>
          <w:rFonts w:ascii="Times New Roman" w:cs="Times New Roman" w:eastAsia="Times New Roman" w:hAnsi="Times New Roman"/>
          <w:sz w:val="20"/>
          <w:szCs w:val="20"/>
          <w:color w:val="auto"/>
        </w:rPr>
        <w:t xml:space="preserve">contained in an agreement related to the sale of Property or the Equity Interests of a Subsidiary (to the extent such sale is permitted pursuant to </w:t>
      </w:r>
      <w:r>
        <w:rPr>
          <w:rFonts w:ascii="Times New Roman" w:cs="Times New Roman" w:eastAsia="Times New Roman" w:hAnsi="Times New Roman"/>
          <w:sz w:val="20"/>
          <w:szCs w:val="20"/>
          <w:u w:val="single" w:color="auto"/>
          <w:color w:val="auto"/>
        </w:rPr>
        <w:t>Section 9.5</w:t>
      </w:r>
      <w:r>
        <w:rPr>
          <w:rFonts w:ascii="Times New Roman" w:cs="Times New Roman" w:eastAsia="Times New Roman" w:hAnsi="Times New Roman"/>
          <w:sz w:val="20"/>
          <w:szCs w:val="20"/>
          <w:color w:val="auto"/>
        </w:rPr>
        <w:t>) that limit the transfer of such Property or Equity Interests of such Subsidiary pending the consummation of such sale, (G) customary restrictions in leases, subleases, licenses and sublicenses or asset sale agreements otherwise permitted by this Agreement so long as such restrictions relate only to the assets subject thereto, (H) customary provisions restricting assignment of any agreement entered into in the ordinary course of business and (I) restrictions contained in Permitted Receivables Transaction Documents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restrictions and conditions apply solely to (x) Receivables Assets involved in such Permitted Receivables Transaction and (y) any applicable Receivables Subsidiary).</w:t>
      </w:r>
    </w:p>
    <w:p>
      <w:pPr>
        <w:spacing w:after="0" w:line="182" w:lineRule="exact"/>
        <w:rPr>
          <w:sz w:val="20"/>
          <w:szCs w:val="20"/>
          <w:color w:val="auto"/>
        </w:rPr>
      </w:pPr>
    </w:p>
    <w:p>
      <w:pPr>
        <w:jc w:val="both"/>
        <w:ind w:left="680" w:right="40" w:firstLine="642"/>
        <w:spacing w:after="0" w:line="277" w:lineRule="auto"/>
        <w:rPr>
          <w:sz w:val="20"/>
          <w:szCs w:val="20"/>
          <w:color w:val="auto"/>
        </w:rPr>
      </w:pPr>
      <w:r>
        <w:rPr>
          <w:rFonts w:ascii="Times New Roman" w:cs="Times New Roman" w:eastAsia="Times New Roman" w:hAnsi="Times New Roman"/>
          <w:sz w:val="20"/>
          <w:szCs w:val="20"/>
          <w:color w:val="auto"/>
        </w:rPr>
        <w:t xml:space="preserve">SECTION 9.11 </w:t>
      </w:r>
      <w:r>
        <w:rPr>
          <w:rFonts w:ascii="Times New Roman" w:cs="Times New Roman" w:eastAsia="Times New Roman" w:hAnsi="Times New Roman"/>
          <w:sz w:val="20"/>
          <w:szCs w:val="20"/>
          <w:u w:val="single" w:color="auto"/>
          <w:color w:val="auto"/>
        </w:rPr>
        <w:t>Nature of Business</w:t>
      </w:r>
      <w:r>
        <w:rPr>
          <w:rFonts w:ascii="Times New Roman" w:cs="Times New Roman" w:eastAsia="Times New Roman" w:hAnsi="Times New Roman"/>
          <w:sz w:val="20"/>
          <w:szCs w:val="20"/>
          <w:color w:val="auto"/>
        </w:rPr>
        <w:t>. Engage in any business other than the business conducted by the Consolidated Companies as of the Closing Date and business activities reasonably related or ancillary thereto.</w:t>
      </w:r>
    </w:p>
    <w:p>
      <w:pPr>
        <w:spacing w:after="0" w:line="151" w:lineRule="exact"/>
        <w:rPr>
          <w:sz w:val="20"/>
          <w:szCs w:val="20"/>
          <w:color w:val="auto"/>
        </w:rPr>
      </w:pPr>
    </w:p>
    <w:p>
      <w:pPr>
        <w:jc w:val="both"/>
        <w:ind w:left="680" w:right="40" w:firstLine="642"/>
        <w:spacing w:after="0" w:line="251" w:lineRule="auto"/>
        <w:rPr>
          <w:sz w:val="20"/>
          <w:szCs w:val="20"/>
          <w:color w:val="auto"/>
        </w:rPr>
      </w:pPr>
      <w:r>
        <w:rPr>
          <w:rFonts w:ascii="Times New Roman" w:cs="Times New Roman" w:eastAsia="Times New Roman" w:hAnsi="Times New Roman"/>
          <w:sz w:val="20"/>
          <w:szCs w:val="20"/>
          <w:color w:val="auto"/>
        </w:rPr>
        <w:t xml:space="preserve">SECTION 9.12 </w:t>
      </w:r>
      <w:r>
        <w:rPr>
          <w:rFonts w:ascii="Times New Roman" w:cs="Times New Roman" w:eastAsia="Times New Roman" w:hAnsi="Times New Roman"/>
          <w:sz w:val="20"/>
          <w:szCs w:val="20"/>
          <w:u w:val="single" w:color="auto"/>
          <w:color w:val="auto"/>
        </w:rPr>
        <w:t>Sale Leasebacks</w:t>
      </w:r>
      <w:r>
        <w:rPr>
          <w:rFonts w:ascii="Times New Roman" w:cs="Times New Roman" w:eastAsia="Times New Roman" w:hAnsi="Times New Roman"/>
          <w:sz w:val="20"/>
          <w:szCs w:val="20"/>
          <w:color w:val="auto"/>
        </w:rPr>
        <w:t>. Directly or indirectly become or remain liable as lessee or as guarantor or other surety with respect to any lease, whether an operating lease or a Capital Lease Obligation, of any Property (whether real, personal or mixed), whether now owned or hereafter acquired,</w:t>
      </w:r>
    </w:p>
    <w:p>
      <w:pPr>
        <w:spacing w:after="0" w:line="1" w:lineRule="exact"/>
        <w:rPr>
          <w:sz w:val="20"/>
          <w:szCs w:val="20"/>
          <w:color w:val="auto"/>
        </w:rPr>
      </w:pPr>
    </w:p>
    <w:p>
      <w:pPr>
        <w:jc w:val="both"/>
        <w:ind w:left="680" w:right="40" w:firstLine="4"/>
        <w:spacing w:after="0" w:line="248" w:lineRule="auto"/>
        <w:tabs>
          <w:tab w:leader="none" w:pos="1285" w:val="left"/>
        </w:tabs>
        <w:numPr>
          <w:ilvl w:val="0"/>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which any Credit Party or any Subsidiary thereof has sold or transferred or is to sell or transfer to a Person which is not another Credit Party or Subsidiary of a Credit Party or (b) which any Credit Party or any Subsidiary of a Credit Party intends to use for substantially the same purpose as any other Property that has been sold or is to be sold or transferred by such Credit Party or such Subsidiary to another Person which is not another Credit Party or Subsidiary of a Credit Party in connection with such lease, except (i) any transaction with respect to Property that is not Collateral, and (ii) any transaction pursuant to which any Indebtedness incurred in connection therewith, the Liens securing such Indebtedness and the Asset Disposition related thereto are otherwise expressly permitted pursuant to </w:t>
      </w:r>
      <w:r>
        <w:rPr>
          <w:rFonts w:ascii="Times New Roman" w:cs="Times New Roman" w:eastAsia="Times New Roman" w:hAnsi="Times New Roman"/>
          <w:sz w:val="20"/>
          <w:szCs w:val="20"/>
          <w:u w:val="single" w:color="auto"/>
          <w:color w:val="auto"/>
        </w:rPr>
        <w:t>Sections 9.1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9.5</w:t>
      </w:r>
      <w:r>
        <w:rPr>
          <w:rFonts w:ascii="Times New Roman" w:cs="Times New Roman" w:eastAsia="Times New Roman" w:hAnsi="Times New Roman"/>
          <w:sz w:val="20"/>
          <w:szCs w:val="20"/>
          <w:color w:val="auto"/>
        </w:rPr>
        <w:t>, respectively.</w:t>
      </w:r>
    </w:p>
    <w:p>
      <w:pPr>
        <w:spacing w:after="0" w:line="168" w:lineRule="exact"/>
        <w:rPr>
          <w:sz w:val="20"/>
          <w:szCs w:val="20"/>
          <w:color w:val="auto"/>
        </w:rPr>
      </w:pPr>
    </w:p>
    <w:p>
      <w:pPr>
        <w:ind w:left="1320"/>
        <w:spacing w:after="0"/>
        <w:tabs>
          <w:tab w:leader="none" w:pos="2720" w:val="left"/>
        </w:tabs>
        <w:rPr>
          <w:sz w:val="20"/>
          <w:szCs w:val="20"/>
          <w:color w:val="auto"/>
        </w:rPr>
      </w:pPr>
      <w:r>
        <w:rPr>
          <w:rFonts w:ascii="Times New Roman" w:cs="Times New Roman" w:eastAsia="Times New Roman" w:hAnsi="Times New Roman"/>
          <w:sz w:val="20"/>
          <w:szCs w:val="20"/>
          <w:color w:val="auto"/>
        </w:rPr>
        <w:t>SECTION 9.13</w:t>
      </w:r>
      <w:r>
        <w:rPr>
          <w:sz w:val="20"/>
          <w:szCs w:val="20"/>
          <w:color w:val="auto"/>
        </w:rPr>
        <w:tab/>
      </w:r>
      <w:r>
        <w:rPr>
          <w:rFonts w:ascii="Times New Roman" w:cs="Times New Roman" w:eastAsia="Times New Roman" w:hAnsi="Times New Roman"/>
          <w:sz w:val="19"/>
          <w:szCs w:val="19"/>
          <w:u w:val="single" w:color="auto"/>
          <w:color w:val="auto"/>
        </w:rPr>
        <w:t>Financial Covenants</w:t>
      </w:r>
      <w:r>
        <w:rPr>
          <w:rFonts w:ascii="Times New Roman" w:cs="Times New Roman" w:eastAsia="Times New Roman" w:hAnsi="Times New Roman"/>
          <w:sz w:val="19"/>
          <w:szCs w:val="19"/>
          <w:color w:val="auto"/>
        </w:rPr>
        <w:t>.</w:t>
      </w:r>
    </w:p>
    <w:p>
      <w:pPr>
        <w:spacing w:after="0" w:line="225" w:lineRule="exact"/>
        <w:rPr>
          <w:sz w:val="20"/>
          <w:szCs w:val="20"/>
          <w:color w:val="auto"/>
        </w:rPr>
      </w:pPr>
    </w:p>
    <w:p>
      <w:pPr>
        <w:ind w:left="680" w:right="20" w:firstLine="646"/>
        <w:spacing w:after="0" w:line="251" w:lineRule="auto"/>
        <w:tabs>
          <w:tab w:leader="none" w:pos="1927" w:val="left"/>
        </w:tabs>
        <w:numPr>
          <w:ilvl w:val="0"/>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Consolidated Interest Coverage Ratio</w:t>
      </w:r>
      <w:r>
        <w:rPr>
          <w:rFonts w:ascii="Times New Roman" w:cs="Times New Roman" w:eastAsia="Times New Roman" w:hAnsi="Times New Roman"/>
          <w:sz w:val="20"/>
          <w:szCs w:val="20"/>
          <w:color w:val="auto"/>
        </w:rPr>
        <w:t>. As of the last day of any fiscal quarter, permit the Consolidated Interest Coverage Ratio to be less than (i) for the fiscal quarter ending December 31, 2023,</w:t>
      </w:r>
    </w:p>
    <w:p>
      <w:pPr>
        <w:spacing w:after="0" w:line="1" w:lineRule="exact"/>
        <w:rPr>
          <w:rFonts w:ascii="Times New Roman" w:cs="Times New Roman" w:eastAsia="Times New Roman" w:hAnsi="Times New Roman"/>
          <w:sz w:val="20"/>
          <w:szCs w:val="20"/>
          <w:color w:val="auto"/>
        </w:rPr>
      </w:pPr>
    </w:p>
    <w:p>
      <w:pPr>
        <w:ind w:left="6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2.50 to 1.00, (ii) for the fiscal quarters ending from March 31, 2024 through December 31, 2024, 2.00 to</w:t>
      </w:r>
    </w:p>
    <w:p>
      <w:pPr>
        <w:spacing w:after="0" w:line="5" w:lineRule="exact"/>
        <w:rPr>
          <w:rFonts w:ascii="Times New Roman" w:cs="Times New Roman" w:eastAsia="Times New Roman" w:hAnsi="Times New Roman"/>
          <w:sz w:val="20"/>
          <w:szCs w:val="20"/>
          <w:color w:val="auto"/>
        </w:rPr>
      </w:pPr>
    </w:p>
    <w:p>
      <w:pPr>
        <w:ind w:left="6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1.00 and (iii) for the fiscal quarters ending March 31, 2025 and thereafter, 2.50 to 1.00.</w:t>
      </w:r>
    </w:p>
    <w:p>
      <w:pPr>
        <w:spacing w:after="0" w:line="175" w:lineRule="exact"/>
        <w:rPr>
          <w:rFonts w:ascii="Times New Roman" w:cs="Times New Roman" w:eastAsia="Times New Roman" w:hAnsi="Times New Roman"/>
          <w:sz w:val="20"/>
          <w:szCs w:val="20"/>
          <w:color w:val="auto"/>
        </w:rPr>
      </w:pPr>
    </w:p>
    <w:p>
      <w:pPr>
        <w:ind w:left="680" w:right="40" w:firstLine="646"/>
        <w:spacing w:after="0" w:line="277" w:lineRule="auto"/>
        <w:tabs>
          <w:tab w:leader="none" w:pos="1925" w:val="left"/>
        </w:tabs>
        <w:numPr>
          <w:ilvl w:val="0"/>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Consolidated Net Leverage Ratio</w:t>
      </w:r>
      <w:r>
        <w:rPr>
          <w:rFonts w:ascii="Times New Roman" w:cs="Times New Roman" w:eastAsia="Times New Roman" w:hAnsi="Times New Roman"/>
          <w:sz w:val="20"/>
          <w:szCs w:val="20"/>
          <w:color w:val="auto"/>
        </w:rPr>
        <w:t>. As of the last day of any fiscal quarter during the periods set forth below, permit the Consolidated Net Leverage Ratio to be greater than the corresponding ratio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54">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239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388" w:name="page389"/>
    <w:bookmarkEnd w:id="388"/>
    <w:p>
      <w:pPr>
        <w:spacing w:after="0" w:line="32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b w:val="1"/>
          <w:bCs w:val="1"/>
          <w:color w:val="auto"/>
        </w:rPr>
        <w:t>Period</w:t>
      </w:r>
    </w:p>
    <w:p>
      <w:pPr>
        <w:spacing w:after="0" w:line="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color w:val="auto"/>
        </w:rPr>
        <w:t>Closing Date through September 30, 2022</w:t>
      </w:r>
    </w:p>
    <w:p>
      <w:pPr>
        <w:spacing w:after="0" w:line="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color w:val="auto"/>
        </w:rPr>
        <w:t>December 31, 2022 through June 30, 2023</w:t>
      </w:r>
    </w:p>
    <w:p>
      <w:pPr>
        <w:ind w:left="1140"/>
        <w:spacing w:after="0" w:line="237" w:lineRule="auto"/>
        <w:rPr>
          <w:sz w:val="20"/>
          <w:szCs w:val="20"/>
          <w:color w:val="auto"/>
        </w:rPr>
      </w:pPr>
      <w:r>
        <w:rPr>
          <w:rFonts w:ascii="Times New Roman" w:cs="Times New Roman" w:eastAsia="Times New Roman" w:hAnsi="Times New Roman"/>
          <w:sz w:val="20"/>
          <w:szCs w:val="20"/>
          <w:color w:val="auto"/>
        </w:rPr>
        <w:t>September 30, 2023</w:t>
      </w:r>
    </w:p>
    <w:p>
      <w:pPr>
        <w:ind w:left="1140"/>
        <w:spacing w:after="0"/>
        <w:rPr>
          <w:sz w:val="20"/>
          <w:szCs w:val="20"/>
          <w:color w:val="auto"/>
        </w:rPr>
      </w:pPr>
      <w:r>
        <w:rPr>
          <w:rFonts w:ascii="Times New Roman" w:cs="Times New Roman" w:eastAsia="Times New Roman" w:hAnsi="Times New Roman"/>
          <w:sz w:val="20"/>
          <w:szCs w:val="20"/>
          <w:color w:val="auto"/>
        </w:rPr>
        <w:t>December 31, 2023</w:t>
      </w:r>
    </w:p>
    <w:p>
      <w:pPr>
        <w:spacing w:after="0" w:line="280"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w w:val="99"/>
              </w:rPr>
              <w:t>March 31, 2024</w:t>
            </w: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5.75 to 1.00</w:t>
            </w:r>
          </w:p>
        </w:tc>
      </w:tr>
      <w:tr>
        <w:trPr>
          <w:trHeight w:val="227"/>
        </w:trPr>
        <w:tc>
          <w:tcPr>
            <w:tcW w:w="128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June 30, 2024</w:t>
            </w:r>
          </w:p>
        </w:tc>
        <w:tc>
          <w:tcPr>
            <w:tcW w:w="1420" w:type="dxa"/>
            <w:vAlign w:val="bottom"/>
            <w:gridSpan w:val="2"/>
          </w:tcPr>
          <w:p>
            <w:pPr>
              <w:ind w:left="20"/>
              <w:spacing w:after="0" w:line="228" w:lineRule="exact"/>
              <w:rPr>
                <w:sz w:val="20"/>
                <w:szCs w:val="20"/>
                <w:color w:val="auto"/>
              </w:rPr>
            </w:pPr>
            <w:r>
              <w:rPr>
                <w:rFonts w:ascii="Times New Roman" w:cs="Times New Roman" w:eastAsia="Times New Roman" w:hAnsi="Times New Roman"/>
                <w:sz w:val="20"/>
                <w:szCs w:val="20"/>
                <w:color w:val="auto"/>
              </w:rPr>
              <w:t>6.00 to 1.00</w:t>
            </w:r>
          </w:p>
        </w:tc>
      </w:tr>
      <w:tr>
        <w:trPr>
          <w:trHeight w:val="227"/>
        </w:trPr>
        <w:tc>
          <w:tcPr>
            <w:tcW w:w="166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September 30, 2024</w:t>
            </w:r>
          </w:p>
        </w:tc>
        <w:tc>
          <w:tcPr>
            <w:tcW w:w="1040" w:type="dxa"/>
            <w:vAlign w:val="bottom"/>
          </w:tcPr>
          <w:p>
            <w:pPr>
              <w:ind w:left="120"/>
              <w:spacing w:after="0" w:line="228" w:lineRule="exact"/>
              <w:rPr>
                <w:sz w:val="20"/>
                <w:szCs w:val="20"/>
                <w:color w:val="auto"/>
              </w:rPr>
            </w:pPr>
            <w:r>
              <w:rPr>
                <w:rFonts w:ascii="Times New Roman" w:cs="Times New Roman" w:eastAsia="Times New Roman" w:hAnsi="Times New Roman"/>
                <w:sz w:val="20"/>
                <w:szCs w:val="20"/>
                <w:color w:val="auto"/>
                <w:w w:val="94"/>
              </w:rPr>
              <w:t>5.75 to 1.00</w:t>
            </w:r>
          </w:p>
        </w:tc>
      </w:tr>
      <w:tr>
        <w:trPr>
          <w:trHeight w:val="236"/>
        </w:trPr>
        <w:tc>
          <w:tcPr>
            <w:tcW w:w="1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December 31, 2024</w:t>
            </w:r>
          </w:p>
        </w:tc>
        <w:tc>
          <w:tcPr>
            <w:tcW w:w="104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8"/>
              </w:rPr>
              <w:t>5.00 to 1.00</w:t>
            </w:r>
          </w:p>
        </w:tc>
      </w:tr>
    </w:tbl>
    <w:p>
      <w:pPr>
        <w:ind w:left="1140"/>
        <w:spacing w:after="0"/>
        <w:tabs>
          <w:tab w:leader="none" w:pos="3700" w:val="left"/>
        </w:tabs>
        <w:rPr>
          <w:sz w:val="20"/>
          <w:szCs w:val="20"/>
          <w:color w:val="auto"/>
        </w:rPr>
      </w:pPr>
      <w:r>
        <w:rPr>
          <w:rFonts w:ascii="Times New Roman" w:cs="Times New Roman" w:eastAsia="Times New Roman" w:hAnsi="Times New Roman"/>
          <w:sz w:val="20"/>
          <w:szCs w:val="20"/>
          <w:color w:val="auto"/>
        </w:rPr>
        <w:t>March 31, 2025 and thereafter</w:t>
      </w:r>
      <w:r>
        <w:rPr>
          <w:sz w:val="20"/>
          <w:szCs w:val="20"/>
          <w:color w:val="auto"/>
        </w:rPr>
        <w:tab/>
      </w:r>
      <w:r>
        <w:rPr>
          <w:rFonts w:ascii="Times New Roman" w:cs="Times New Roman" w:eastAsia="Times New Roman" w:hAnsi="Times New Roman"/>
          <w:sz w:val="19"/>
          <w:szCs w:val="19"/>
          <w:color w:val="auto"/>
        </w:rPr>
        <w:t>4.00 to 1.00</w:t>
      </w:r>
    </w:p>
    <w:p>
      <w:pPr>
        <w:spacing w:after="0" w:line="20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Notwithstanding the foregoing:</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55">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240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pacing w:after="0" w:line="20" w:lineRule="exact"/>
        <w:rPr>
          <w:sz w:val="20"/>
          <w:szCs w:val="20"/>
          <w:color w:val="auto"/>
        </w:rPr>
      </w:pPr>
      <w:r>
        <w:rPr>
          <w:sz w:val="20"/>
          <w:szCs w:val="20"/>
          <w:color w:val="auto"/>
        </w:rPr>
        <w:br w:type="column"/>
      </w:r>
    </w:p>
    <w:p>
      <w:pPr>
        <w:ind w:right="119" w:hanging="543"/>
        <w:spacing w:after="0" w:line="260" w:lineRule="auto"/>
        <w:rPr>
          <w:sz w:val="20"/>
          <w:szCs w:val="20"/>
          <w:color w:val="auto"/>
        </w:rPr>
      </w:pPr>
      <w:r>
        <w:rPr>
          <w:rFonts w:ascii="Times New Roman" w:cs="Times New Roman" w:eastAsia="Times New Roman" w:hAnsi="Times New Roman"/>
          <w:sz w:val="20"/>
          <w:szCs w:val="20"/>
          <w:b w:val="1"/>
          <w:bCs w:val="1"/>
          <w:color w:val="auto"/>
        </w:rPr>
        <w:t>Maximum Consolidated Net Leverage Ratio</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5.50 to 1.00</w:t>
      </w:r>
    </w:p>
    <w:p>
      <w:pPr>
        <w:spacing w:after="0" w:line="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6.00 to 1.00</w:t>
      </w:r>
    </w:p>
    <w:p>
      <w:pPr>
        <w:ind w:left="140"/>
        <w:spacing w:after="0" w:line="223" w:lineRule="auto"/>
        <w:rPr>
          <w:sz w:val="20"/>
          <w:szCs w:val="20"/>
          <w:color w:val="auto"/>
        </w:rPr>
      </w:pPr>
      <w:r>
        <w:rPr>
          <w:rFonts w:ascii="Times New Roman" w:cs="Times New Roman" w:eastAsia="Times New Roman" w:hAnsi="Times New Roman"/>
          <w:sz w:val="20"/>
          <w:szCs w:val="20"/>
          <w:color w:val="auto"/>
        </w:rPr>
        <w:t>5.50 to 1.00</w:t>
      </w:r>
    </w:p>
    <w:p>
      <w:pPr>
        <w:ind w:left="140"/>
        <w:spacing w:after="0"/>
        <w:rPr>
          <w:sz w:val="20"/>
          <w:szCs w:val="20"/>
          <w:color w:val="auto"/>
        </w:rPr>
      </w:pPr>
      <w:r>
        <w:rPr>
          <w:rFonts w:ascii="Times New Roman" w:cs="Times New Roman" w:eastAsia="Times New Roman" w:hAnsi="Times New Roman"/>
          <w:sz w:val="20"/>
          <w:szCs w:val="20"/>
          <w:color w:val="auto"/>
        </w:rPr>
        <w:t>4.50 to 1.00</w:t>
      </w:r>
    </w:p>
    <w:p>
      <w:pPr>
        <w:sectPr>
          <w:pgSz w:w="11900" w:h="16838" w:orient="portrait"/>
          <w:cols w:equalWidth="0" w:num="2">
            <w:col w:w="6660" w:space="720"/>
            <w:col w:w="2759"/>
          </w:cols>
          <w:pgMar w:left="320" w:top="673" w:right="1440" w:bottom="1440" w:gutter="0" w:footer="0" w:header="0"/>
        </w:sectPr>
      </w:pPr>
    </w:p>
    <w:bookmarkStart w:id="389" w:name="page390"/>
    <w:bookmarkEnd w:id="389"/>
    <w:p>
      <w:pPr>
        <w:spacing w:after="0" w:line="188" w:lineRule="exact"/>
        <w:rPr>
          <w:sz w:val="20"/>
          <w:szCs w:val="20"/>
          <w:color w:val="auto"/>
        </w:rPr>
      </w:pPr>
    </w:p>
    <w:p>
      <w:pPr>
        <w:jc w:val="both"/>
        <w:ind w:left="680" w:right="20" w:firstLine="646"/>
        <w:spacing w:after="0" w:line="264" w:lineRule="auto"/>
        <w:tabs>
          <w:tab w:leader="none" w:pos="1922" w:val="left"/>
        </w:tabs>
        <w:numPr>
          <w:ilvl w:val="0"/>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Centuri completes a Qualified IPO on or after November 13, 2023 and prior to March 31, 2025, the required maximum Consolidated Net Leverage Ratio levels set forth above shall be adjusted based on the amount of net proceeds from such Qualified IPO to be no greater than the corresponding ratio set forth below for the applicable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680" w:type="dxa"/>
        <w:tblCellMar>
          <w:top w:w="0" w:type="dxa"/>
          <w:left w:w="0" w:type="dxa"/>
          <w:bottom w:w="0" w:type="dxa"/>
          <w:right w:w="0" w:type="dxa"/>
        </w:tblCellMar>
      </w:tblPr>
      <w:tr>
        <w:trPr>
          <w:trHeight w:val="187"/>
        </w:trPr>
        <w:tc>
          <w:tcPr>
            <w:tcW w:w="2400" w:type="dxa"/>
            <w:vAlign w:val="bottom"/>
          </w:tcPr>
          <w:p>
            <w:pPr>
              <w:spacing w:after="0"/>
              <w:rPr>
                <w:sz w:val="16"/>
                <w:szCs w:val="16"/>
                <w:color w:val="auto"/>
              </w:rPr>
            </w:pPr>
          </w:p>
        </w:tc>
        <w:tc>
          <w:tcPr>
            <w:tcW w:w="1940" w:type="dxa"/>
            <w:vAlign w:val="bottom"/>
          </w:tcPr>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Adjusted Maximum</w:t>
            </w: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Adjusted Maximum</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Adjusted Maximum</w:t>
            </w: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Adjusted Maximum</w:t>
            </w:r>
          </w:p>
        </w:tc>
      </w:tr>
      <w:tr>
        <w:trPr>
          <w:trHeight w:val="201"/>
        </w:trPr>
        <w:tc>
          <w:tcPr>
            <w:tcW w:w="2400" w:type="dxa"/>
            <w:vAlign w:val="bottom"/>
          </w:tcPr>
          <w:p>
            <w:pPr>
              <w:spacing w:after="0"/>
              <w:rPr>
                <w:sz w:val="17"/>
                <w:szCs w:val="17"/>
                <w:color w:val="auto"/>
              </w:rPr>
            </w:pPr>
          </w:p>
        </w:tc>
        <w:tc>
          <w:tcPr>
            <w:tcW w:w="1940" w:type="dxa"/>
            <w:vAlign w:val="bottom"/>
          </w:tcPr>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Consolidated Net</w:t>
            </w: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Net</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Net</w:t>
            </w: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Net</w:t>
            </w:r>
          </w:p>
        </w:tc>
      </w:tr>
      <w:tr>
        <w:trPr>
          <w:trHeight w:val="187"/>
        </w:trPr>
        <w:tc>
          <w:tcPr>
            <w:tcW w:w="2400" w:type="dxa"/>
            <w:vAlign w:val="bottom"/>
          </w:tcPr>
          <w:p>
            <w:pPr>
              <w:spacing w:after="0"/>
              <w:rPr>
                <w:sz w:val="16"/>
                <w:szCs w:val="16"/>
                <w:color w:val="auto"/>
              </w:rPr>
            </w:pPr>
          </w:p>
        </w:tc>
        <w:tc>
          <w:tcPr>
            <w:tcW w:w="1940" w:type="dxa"/>
            <w:vAlign w:val="bottom"/>
          </w:tcPr>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Leverage Ratio for</w:t>
            </w: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Leverage Ratio for</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Leverage Ratio for</w:t>
            </w: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Leverage Ratio for</w:t>
            </w:r>
          </w:p>
        </w:tc>
      </w:tr>
      <w:tr>
        <w:trPr>
          <w:trHeight w:val="187"/>
        </w:trPr>
        <w:tc>
          <w:tcPr>
            <w:tcW w:w="2400" w:type="dxa"/>
            <w:vAlign w:val="bottom"/>
          </w:tcPr>
          <w:p>
            <w:pPr>
              <w:spacing w:after="0"/>
              <w:rPr>
                <w:sz w:val="16"/>
                <w:szCs w:val="16"/>
                <w:color w:val="auto"/>
              </w:rPr>
            </w:pPr>
          </w:p>
        </w:tc>
        <w:tc>
          <w:tcPr>
            <w:tcW w:w="1940" w:type="dxa"/>
            <w:vAlign w:val="bottom"/>
          </w:tcPr>
          <w:p>
            <w:pPr>
              <w:jc w:val="center"/>
              <w:ind w:left="80"/>
              <w:spacing w:after="0"/>
              <w:rPr>
                <w:sz w:val="20"/>
                <w:szCs w:val="20"/>
                <w:color w:val="auto"/>
              </w:rPr>
            </w:pPr>
            <w:r>
              <w:rPr>
                <w:rFonts w:ascii="Times New Roman" w:cs="Times New Roman" w:eastAsia="Times New Roman" w:hAnsi="Times New Roman"/>
                <w:sz w:val="16"/>
                <w:szCs w:val="16"/>
                <w:b w:val="1"/>
                <w:bCs w:val="1"/>
                <w:color w:val="auto"/>
                <w:w w:val="99"/>
              </w:rPr>
              <w:t>fiscal quarter ending</w:t>
            </w: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fiscal quarter ending</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fiscal quarter ending</w:t>
            </w: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fiscal quarter ending</w:t>
            </w:r>
          </w:p>
        </w:tc>
      </w:tr>
      <w:tr>
        <w:trPr>
          <w:trHeight w:val="187"/>
        </w:trPr>
        <w:tc>
          <w:tcPr>
            <w:tcW w:w="2400" w:type="dxa"/>
            <w:vAlign w:val="bottom"/>
          </w:tcPr>
          <w:p>
            <w:pPr>
              <w:spacing w:after="0"/>
              <w:rPr>
                <w:sz w:val="16"/>
                <w:szCs w:val="16"/>
                <w:color w:val="auto"/>
              </w:rPr>
            </w:pPr>
          </w:p>
        </w:tc>
        <w:tc>
          <w:tcPr>
            <w:tcW w:w="1940" w:type="dxa"/>
            <w:vAlign w:val="bottom"/>
          </w:tcPr>
          <w:p>
            <w:pPr>
              <w:jc w:val="center"/>
              <w:ind w:left="8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w:t>
            </w: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w:t>
            </w:r>
          </w:p>
        </w:tc>
      </w:tr>
      <w:tr>
        <w:trPr>
          <w:trHeight w:val="211"/>
        </w:trPr>
        <w:tc>
          <w:tcPr>
            <w:tcW w:w="2400" w:type="dxa"/>
            <w:vAlign w:val="bottom"/>
          </w:tcPr>
          <w:p>
            <w:pPr>
              <w:spacing w:after="0"/>
              <w:rPr>
                <w:sz w:val="18"/>
                <w:szCs w:val="18"/>
                <w:color w:val="auto"/>
              </w:rPr>
            </w:pPr>
          </w:p>
        </w:tc>
        <w:tc>
          <w:tcPr>
            <w:tcW w:w="1940" w:type="dxa"/>
            <w:vAlign w:val="bottom"/>
          </w:tcPr>
          <w:p>
            <w:pPr>
              <w:jc w:val="center"/>
              <w:ind w:left="10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30, 2024</w:t>
            </w: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31, 2024</w:t>
            </w:r>
          </w:p>
        </w:tc>
      </w:tr>
      <w:tr>
        <w:trPr>
          <w:trHeight w:val="417"/>
        </w:trPr>
        <w:tc>
          <w:tcPr>
            <w:tcW w:w="2400" w:type="dxa"/>
            <w:vAlign w:val="bottom"/>
            <w:tcBorders>
              <w:bottom w:val="single" w:sz="8" w:color="010101"/>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Qualified IPO Net Proceeds</w:t>
            </w:r>
          </w:p>
        </w:tc>
        <w:tc>
          <w:tcPr>
            <w:tcW w:w="1940" w:type="dxa"/>
            <w:vAlign w:val="bottom"/>
            <w:tcBorders>
              <w:bottom w:val="single" w:sz="8" w:color="010101"/>
            </w:tcBorders>
          </w:tcPr>
          <w:p>
            <w:pPr>
              <w:spacing w:after="0"/>
              <w:rPr>
                <w:sz w:val="24"/>
                <w:szCs w:val="24"/>
                <w:color w:val="auto"/>
              </w:rPr>
            </w:pPr>
          </w:p>
        </w:tc>
        <w:tc>
          <w:tcPr>
            <w:tcW w:w="1780" w:type="dxa"/>
            <w:vAlign w:val="bottom"/>
            <w:tcBorders>
              <w:bottom w:val="single" w:sz="8" w:color="010101"/>
            </w:tcBorders>
          </w:tcPr>
          <w:p>
            <w:pPr>
              <w:spacing w:after="0"/>
              <w:rPr>
                <w:sz w:val="24"/>
                <w:szCs w:val="24"/>
                <w:color w:val="auto"/>
              </w:rPr>
            </w:pPr>
          </w:p>
        </w:tc>
        <w:tc>
          <w:tcPr>
            <w:tcW w:w="1760" w:type="dxa"/>
            <w:vAlign w:val="bottom"/>
            <w:tcBorders>
              <w:bottom w:val="single" w:sz="8" w:color="010101"/>
            </w:tcBorders>
          </w:tcPr>
          <w:p>
            <w:pPr>
              <w:spacing w:after="0"/>
              <w:rPr>
                <w:sz w:val="24"/>
                <w:szCs w:val="24"/>
                <w:color w:val="auto"/>
              </w:rPr>
            </w:pPr>
          </w:p>
        </w:tc>
        <w:tc>
          <w:tcPr>
            <w:tcW w:w="1780" w:type="dxa"/>
            <w:vAlign w:val="bottom"/>
            <w:tcBorders>
              <w:bottom w:val="single" w:sz="8" w:color="010101"/>
            </w:tcBorders>
          </w:tcPr>
          <w:p>
            <w:pPr>
              <w:spacing w:after="0"/>
              <w:rPr>
                <w:sz w:val="24"/>
                <w:szCs w:val="24"/>
                <w:color w:val="auto"/>
              </w:rPr>
            </w:pPr>
          </w:p>
        </w:tc>
      </w:tr>
      <w:tr>
        <w:trPr>
          <w:trHeight w:val="205"/>
        </w:trPr>
        <w:tc>
          <w:tcPr>
            <w:tcW w:w="2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 – $99,999,999</w:t>
            </w:r>
          </w:p>
        </w:tc>
        <w:tc>
          <w:tcPr>
            <w:tcW w:w="19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5.50 to 1.00</w:t>
            </w:r>
          </w:p>
        </w:tc>
        <w:tc>
          <w:tcPr>
            <w:tcW w:w="17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5.75 to 1.00</w:t>
            </w:r>
          </w:p>
        </w:tc>
        <w:tc>
          <w:tcPr>
            <w:tcW w:w="1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5.50 to 1.00</w:t>
            </w:r>
          </w:p>
        </w:tc>
        <w:tc>
          <w:tcPr>
            <w:tcW w:w="17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4.75 to 1.00</w:t>
            </w:r>
          </w:p>
        </w:tc>
      </w:tr>
      <w:tr>
        <w:trPr>
          <w:trHeight w:val="227"/>
        </w:trPr>
        <w:tc>
          <w:tcPr>
            <w:tcW w:w="2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$100,000,000 – $199,999,999</w:t>
            </w:r>
          </w:p>
        </w:tc>
        <w:tc>
          <w:tcPr>
            <w:tcW w:w="19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5.25 to 1.00</w:t>
            </w:r>
          </w:p>
        </w:tc>
        <w:tc>
          <w:tcPr>
            <w:tcW w:w="17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5.50 to 1.00</w:t>
            </w:r>
          </w:p>
        </w:tc>
        <w:tc>
          <w:tcPr>
            <w:tcW w:w="1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5.25 to 1.00</w:t>
            </w:r>
          </w:p>
        </w:tc>
        <w:tc>
          <w:tcPr>
            <w:tcW w:w="17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4.50 to 1.00</w:t>
            </w:r>
          </w:p>
        </w:tc>
      </w:tr>
      <w:tr>
        <w:trPr>
          <w:trHeight w:val="214"/>
        </w:trPr>
        <w:tc>
          <w:tcPr>
            <w:tcW w:w="2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$200,000,000 – $299,999,999</w:t>
            </w:r>
          </w:p>
        </w:tc>
        <w:tc>
          <w:tcPr>
            <w:tcW w:w="19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5.00 to 1.00</w:t>
            </w:r>
          </w:p>
        </w:tc>
        <w:tc>
          <w:tcPr>
            <w:tcW w:w="17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5.25 to 1.00</w:t>
            </w:r>
          </w:p>
        </w:tc>
        <w:tc>
          <w:tcPr>
            <w:tcW w:w="1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5.00 to 1.00</w:t>
            </w:r>
          </w:p>
        </w:tc>
        <w:tc>
          <w:tcPr>
            <w:tcW w:w="17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4.25 to 1.00</w:t>
            </w:r>
          </w:p>
        </w:tc>
      </w:tr>
      <w:tr>
        <w:trPr>
          <w:trHeight w:val="214"/>
        </w:trPr>
        <w:tc>
          <w:tcPr>
            <w:tcW w:w="2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$300,000,000 – $399,999,999</w:t>
            </w:r>
          </w:p>
        </w:tc>
        <w:tc>
          <w:tcPr>
            <w:tcW w:w="19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4.75 to 1.00</w:t>
            </w:r>
          </w:p>
        </w:tc>
        <w:tc>
          <w:tcPr>
            <w:tcW w:w="17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5.00 to 1.00</w:t>
            </w:r>
          </w:p>
        </w:tc>
        <w:tc>
          <w:tcPr>
            <w:tcW w:w="1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4.75 to 1.00</w:t>
            </w:r>
          </w:p>
        </w:tc>
        <w:tc>
          <w:tcPr>
            <w:tcW w:w="17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4.00 to 1.00</w:t>
            </w:r>
          </w:p>
        </w:tc>
      </w:tr>
      <w:tr>
        <w:trPr>
          <w:trHeight w:val="214"/>
        </w:trPr>
        <w:tc>
          <w:tcPr>
            <w:tcW w:w="2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$400,000,000 or more</w:t>
            </w:r>
          </w:p>
        </w:tc>
        <w:tc>
          <w:tcPr>
            <w:tcW w:w="19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4.25 to 1.00</w:t>
            </w:r>
          </w:p>
        </w:tc>
        <w:tc>
          <w:tcPr>
            <w:tcW w:w="17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4.50 to 1.00</w:t>
            </w:r>
          </w:p>
        </w:tc>
        <w:tc>
          <w:tcPr>
            <w:tcW w:w="1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4.25 to 1.00</w:t>
            </w:r>
          </w:p>
        </w:tc>
        <w:tc>
          <w:tcPr>
            <w:tcW w:w="17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4.00 to 1.00</w:t>
            </w:r>
          </w:p>
        </w:tc>
      </w:tr>
    </w:tbl>
    <w:p>
      <w:pPr>
        <w:spacing w:after="0" w:line="317" w:lineRule="exact"/>
        <w:rPr>
          <w:sz w:val="20"/>
          <w:szCs w:val="20"/>
          <w:color w:val="auto"/>
        </w:rPr>
      </w:pPr>
    </w:p>
    <w:p>
      <w:pPr>
        <w:ind w:left="680" w:right="20" w:firstLine="646"/>
        <w:spacing w:after="0" w:line="251" w:lineRule="auto"/>
        <w:tabs>
          <w:tab w:leader="none" w:pos="1922"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any measurement period when the maximum Consolidated Net Leverage Ratio required pursuant to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9.13(b)</w:t>
      </w:r>
      <w:r>
        <w:rPr>
          <w:rFonts w:ascii="Times New Roman" w:cs="Times New Roman" w:eastAsia="Times New Roman" w:hAnsi="Times New Roman"/>
          <w:sz w:val="20"/>
          <w:szCs w:val="20"/>
          <w:color w:val="auto"/>
        </w:rPr>
        <w:t xml:space="preserve"> (including pursuant to any adjustment for a Qualified IPO) is equal to</w:t>
      </w:r>
    </w:p>
    <w:p>
      <w:pPr>
        <w:spacing w:after="0" w:line="1" w:lineRule="exact"/>
        <w:rPr>
          <w:rFonts w:ascii="Times New Roman" w:cs="Times New Roman" w:eastAsia="Times New Roman" w:hAnsi="Times New Roman"/>
          <w:sz w:val="20"/>
          <w:szCs w:val="20"/>
          <w:color w:val="auto"/>
        </w:rPr>
      </w:pPr>
    </w:p>
    <w:p>
      <w:pPr>
        <w:jc w:val="both"/>
        <w:ind w:left="680" w:right="20"/>
        <w:spacing w:after="0" w:line="24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4.00 to 1.00, in connection with any Permitted Acquisition having aggregate cash consideration (including cash, Cash Equivalents and other deferred payment obligations) in excess of $150,000,000, Centuri may, at its election, in connection with such Permitted Acquisition and upon prior written notice to the Administrative Agent, increase the required Consolidated Net Leverage Ratio pursuant to this </w:t>
      </w:r>
      <w:r>
        <w:rPr>
          <w:rFonts w:ascii="Times New Roman" w:cs="Times New Roman" w:eastAsia="Times New Roman" w:hAnsi="Times New Roman"/>
          <w:sz w:val="20"/>
          <w:szCs w:val="20"/>
          <w:u w:val="single" w:color="auto"/>
          <w:color w:val="auto"/>
        </w:rPr>
        <w:t>Section 9.13(b)</w:t>
      </w:r>
      <w:r>
        <w:rPr>
          <w:rFonts w:ascii="Times New Roman" w:cs="Times New Roman" w:eastAsia="Times New Roman" w:hAnsi="Times New Roman"/>
          <w:sz w:val="20"/>
          <w:szCs w:val="20"/>
          <w:color w:val="auto"/>
        </w:rPr>
        <w:t xml:space="preserve"> to up to 4.50 to 1.00 (at Centuri’s option), which such increase shall be applicable (i) with respect to a Permitted Acquisition that is not a Limited Condition Acquisition, for the fiscal quarter in which such Permitted Acquisition is consummated and the three (3) consecutive quarterly test periods thereafter or (ii) with respect to a Permitted Acquisition that is a Limited Condition Acquisition, for purposes of determining compliance on a Pro Forma Basis with this </w:t>
      </w:r>
      <w:r>
        <w:rPr>
          <w:rFonts w:ascii="Times New Roman" w:cs="Times New Roman" w:eastAsia="Times New Roman" w:hAnsi="Times New Roman"/>
          <w:sz w:val="20"/>
          <w:szCs w:val="20"/>
          <w:u w:val="single" w:color="auto"/>
          <w:color w:val="auto"/>
        </w:rPr>
        <w:t>Section 9.13(b)</w:t>
      </w:r>
      <w:r>
        <w:rPr>
          <w:rFonts w:ascii="Times New Roman" w:cs="Times New Roman" w:eastAsia="Times New Roman" w:hAnsi="Times New Roman"/>
          <w:sz w:val="20"/>
          <w:szCs w:val="20"/>
          <w:color w:val="auto"/>
        </w:rPr>
        <w:t xml:space="preserve"> on the LCA Test Date, for the fiscal quarter in which such Permitted Acquisition is consummated and for the three (3) consecutive quarterly test periods after which such Permitted Acquisition is consummated (each, a “</w:t>
      </w:r>
      <w:r>
        <w:rPr>
          <w:rFonts w:ascii="Times New Roman" w:cs="Times New Roman" w:eastAsia="Times New Roman" w:hAnsi="Times New Roman"/>
          <w:sz w:val="20"/>
          <w:szCs w:val="20"/>
          <w:u w:val="single" w:color="auto"/>
          <w:color w:val="auto"/>
        </w:rPr>
        <w:t>Leverage Ratio Increase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such increase shall apply solely with respect to compliance with this </w:t>
      </w:r>
      <w:r>
        <w:rPr>
          <w:rFonts w:ascii="Times New Roman" w:cs="Times New Roman" w:eastAsia="Times New Roman" w:hAnsi="Times New Roman"/>
          <w:sz w:val="20"/>
          <w:szCs w:val="20"/>
          <w:u w:val="single" w:color="auto"/>
          <w:color w:val="auto"/>
        </w:rPr>
        <w:t>Section 9.13(b)</w:t>
      </w:r>
      <w:r>
        <w:rPr>
          <w:rFonts w:ascii="Times New Roman" w:cs="Times New Roman" w:eastAsia="Times New Roman" w:hAnsi="Times New Roman"/>
          <w:sz w:val="20"/>
          <w:szCs w:val="20"/>
          <w:color w:val="auto"/>
        </w:rPr>
        <w:t xml:space="preserve"> and any determination of the Consolidated Net Leverage Ratio for purposes of the definition of Permitted Acquisition and any incurrence test with respect to any Indebtedness used to finance a Permitted Acquisition and shall not apply to any other incurrence test set forth in this Agreement and (y) there shall be at least two full fiscal quarters following the cessation of each such Leverage Ratio Increase during which no Leverage Ratio Increase shall then be in effect.</w:t>
      </w:r>
    </w:p>
    <w:p>
      <w:pPr>
        <w:spacing w:after="0" w:line="203" w:lineRule="exact"/>
        <w:rPr>
          <w:sz w:val="20"/>
          <w:szCs w:val="20"/>
          <w:color w:val="auto"/>
        </w:rPr>
      </w:pPr>
    </w:p>
    <w:p>
      <w:pPr>
        <w:jc w:val="both"/>
        <w:ind w:left="680" w:firstLine="642"/>
        <w:spacing w:after="0" w:line="248" w:lineRule="auto"/>
        <w:rPr>
          <w:sz w:val="20"/>
          <w:szCs w:val="20"/>
          <w:color w:val="auto"/>
        </w:rPr>
      </w:pPr>
      <w:r>
        <w:rPr>
          <w:rFonts w:ascii="Times New Roman" w:cs="Times New Roman" w:eastAsia="Times New Roman" w:hAnsi="Times New Roman"/>
          <w:sz w:val="20"/>
          <w:szCs w:val="20"/>
          <w:color w:val="auto"/>
        </w:rPr>
        <w:t xml:space="preserve">For purposes of this </w:t>
      </w:r>
      <w:r>
        <w:rPr>
          <w:rFonts w:ascii="Times New Roman" w:cs="Times New Roman" w:eastAsia="Times New Roman" w:hAnsi="Times New Roman"/>
          <w:sz w:val="20"/>
          <w:szCs w:val="20"/>
          <w:u w:val="single" w:color="auto"/>
          <w:color w:val="auto"/>
        </w:rPr>
        <w:t>Section 9.13(b)</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Qualified IPO</w:t>
      </w:r>
      <w:r>
        <w:rPr>
          <w:rFonts w:ascii="Times New Roman" w:cs="Times New Roman" w:eastAsia="Times New Roman" w:hAnsi="Times New Roman"/>
          <w:sz w:val="20"/>
          <w:szCs w:val="20"/>
          <w:color w:val="auto"/>
        </w:rPr>
        <w:t>” shall mean, following a contribution of all Equity Interests of Centuri to Centuri Holdings, Inc. or other holding company formed for the purpose of holding all of the Equity Interests of Centuri (Centuri Holdings, Inc. or such holding company, the “</w:t>
      </w:r>
      <w:r>
        <w:rPr>
          <w:rFonts w:ascii="Times New Roman" w:cs="Times New Roman" w:eastAsia="Times New Roman" w:hAnsi="Times New Roman"/>
          <w:sz w:val="20"/>
          <w:szCs w:val="20"/>
          <w:u w:val="single" w:color="auto"/>
          <w:color w:val="auto"/>
        </w:rPr>
        <w:t>Parent Entity</w:t>
      </w:r>
      <w:r>
        <w:rPr>
          <w:rFonts w:ascii="Times New Roman" w:cs="Times New Roman" w:eastAsia="Times New Roman" w:hAnsi="Times New Roman"/>
          <w:sz w:val="20"/>
          <w:szCs w:val="20"/>
          <w:color w:val="auto"/>
        </w:rPr>
        <w:t>”), the issuance by the Parent Entity of certain of its common Equity Interests in an underwritten primary public offering (other than a public offering pursuant to a registration statement on Form S-8) pursuant to an effective registration statement filed with the U.S. Securities and Exchange Commission in accordance with the Securities Act excluding, for the avoidance of doubt, any secondary sale in which Equity Interests of the Parent Entity are sold by security holders of the Parent Entity.</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56">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241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080"/>
          </w:cols>
          <w:pgMar w:left="320" w:top="1440" w:right="499" w:bottom="1440" w:gutter="0" w:footer="0" w:header="0"/>
        </w:sectPr>
      </w:pPr>
    </w:p>
    <w:bookmarkStart w:id="390" w:name="page391"/>
    <w:bookmarkEnd w:id="390"/>
    <w:p>
      <w:pPr>
        <w:spacing w:after="0" w:line="349" w:lineRule="exact"/>
        <w:rPr>
          <w:sz w:val="20"/>
          <w:szCs w:val="20"/>
          <w:color w:val="auto"/>
        </w:rPr>
      </w:pPr>
    </w:p>
    <w:p>
      <w:pPr>
        <w:ind w:left="680" w:firstLine="642"/>
        <w:spacing w:after="0" w:line="263" w:lineRule="auto"/>
        <w:rPr>
          <w:sz w:val="20"/>
          <w:szCs w:val="20"/>
          <w:color w:val="auto"/>
        </w:rPr>
      </w:pPr>
      <w:r>
        <w:rPr>
          <w:rFonts w:ascii="Times New Roman" w:cs="Times New Roman" w:eastAsia="Times New Roman" w:hAnsi="Times New Roman"/>
          <w:sz w:val="20"/>
          <w:szCs w:val="20"/>
          <w:color w:val="auto"/>
        </w:rPr>
        <w:t xml:space="preserve">The provisions of this </w:t>
      </w:r>
      <w:r>
        <w:rPr>
          <w:rFonts w:ascii="Times New Roman" w:cs="Times New Roman" w:eastAsia="Times New Roman" w:hAnsi="Times New Roman"/>
          <w:sz w:val="20"/>
          <w:szCs w:val="20"/>
          <w:u w:val="single" w:color="auto"/>
          <w:color w:val="auto"/>
        </w:rPr>
        <w:t>Section 9.13</w:t>
      </w:r>
      <w:r>
        <w:rPr>
          <w:rFonts w:ascii="Times New Roman" w:cs="Times New Roman" w:eastAsia="Times New Roman" w:hAnsi="Times New Roman"/>
          <w:sz w:val="20"/>
          <w:szCs w:val="20"/>
          <w:color w:val="auto"/>
        </w:rPr>
        <w:t xml:space="preserve"> are for the benefit of the Revolving Credit Lenders only and the Required Revolving Credit Lenders may amend, waive or otherwise modify this </w:t>
      </w:r>
      <w:r>
        <w:rPr>
          <w:rFonts w:ascii="Times New Roman" w:cs="Times New Roman" w:eastAsia="Times New Roman" w:hAnsi="Times New Roman"/>
          <w:sz w:val="20"/>
          <w:szCs w:val="20"/>
          <w:u w:val="single" w:color="auto"/>
          <w:color w:val="auto"/>
        </w:rPr>
        <w:t>Section 9.13</w:t>
      </w:r>
      <w:r>
        <w:rPr>
          <w:rFonts w:ascii="Times New Roman" w:cs="Times New Roman" w:eastAsia="Times New Roman" w:hAnsi="Times New Roman"/>
          <w:sz w:val="20"/>
          <w:szCs w:val="20"/>
          <w:color w:val="auto"/>
        </w:rPr>
        <w:t xml:space="preserve"> or the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57">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242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060"/>
          </w:cols>
          <w:pgMar w:left="320" w:top="1440" w:right="519" w:bottom="1440" w:gutter="0" w:footer="0" w:header="0"/>
        </w:sectPr>
      </w:pPr>
    </w:p>
    <w:bookmarkStart w:id="391" w:name="page392"/>
    <w:bookmarkEnd w:id="391"/>
    <w:p>
      <w:pPr>
        <w:ind w:left="680" w:right="680"/>
        <w:spacing w:after="0" w:line="263" w:lineRule="auto"/>
        <w:rPr>
          <w:sz w:val="20"/>
          <w:szCs w:val="20"/>
          <w:color w:val="auto"/>
        </w:rPr>
      </w:pPr>
      <w:r>
        <w:rPr>
          <w:rFonts w:ascii="Times New Roman" w:cs="Times New Roman" w:eastAsia="Times New Roman" w:hAnsi="Times New Roman"/>
          <w:sz w:val="20"/>
          <w:szCs w:val="20"/>
          <w:color w:val="auto"/>
        </w:rPr>
        <w:t xml:space="preserve">defined terms used for purposes of this </w:t>
      </w:r>
      <w:r>
        <w:rPr>
          <w:rFonts w:ascii="Times New Roman" w:cs="Times New Roman" w:eastAsia="Times New Roman" w:hAnsi="Times New Roman"/>
          <w:sz w:val="20"/>
          <w:szCs w:val="20"/>
          <w:u w:val="single" w:color="auto"/>
          <w:color w:val="auto"/>
        </w:rPr>
        <w:t>Section 9.13</w:t>
      </w:r>
      <w:r>
        <w:rPr>
          <w:rFonts w:ascii="Times New Roman" w:cs="Times New Roman" w:eastAsia="Times New Roman" w:hAnsi="Times New Roman"/>
          <w:sz w:val="20"/>
          <w:szCs w:val="20"/>
          <w:color w:val="auto"/>
        </w:rPr>
        <w:t xml:space="preserve"> or waive any Default or Event of Default resulting from a breach of this </w:t>
      </w:r>
      <w:r>
        <w:rPr>
          <w:rFonts w:ascii="Times New Roman" w:cs="Times New Roman" w:eastAsia="Times New Roman" w:hAnsi="Times New Roman"/>
          <w:sz w:val="20"/>
          <w:szCs w:val="20"/>
          <w:u w:val="single" w:color="auto"/>
          <w:color w:val="auto"/>
        </w:rPr>
        <w:t>Section 9.13</w:t>
      </w:r>
      <w:r>
        <w:rPr>
          <w:rFonts w:ascii="Times New Roman" w:cs="Times New Roman" w:eastAsia="Times New Roman" w:hAnsi="Times New Roman"/>
          <w:sz w:val="20"/>
          <w:szCs w:val="20"/>
          <w:color w:val="auto"/>
        </w:rPr>
        <w:t xml:space="preserve"> in accordance with the provisions of </w:t>
      </w:r>
      <w:r>
        <w:rPr>
          <w:rFonts w:ascii="Times New Roman" w:cs="Times New Roman" w:eastAsia="Times New Roman" w:hAnsi="Times New Roman"/>
          <w:sz w:val="20"/>
          <w:szCs w:val="20"/>
          <w:u w:val="single" w:color="auto"/>
          <w:color w:val="auto"/>
        </w:rPr>
        <w:t>Section 12.2</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jc w:val="both"/>
        <w:ind w:left="680" w:right="20" w:firstLine="642"/>
        <w:spacing w:after="0" w:line="255" w:lineRule="auto"/>
        <w:rPr>
          <w:sz w:val="20"/>
          <w:szCs w:val="20"/>
          <w:color w:val="auto"/>
        </w:rPr>
      </w:pPr>
      <w:r>
        <w:rPr>
          <w:rFonts w:ascii="Times New Roman" w:cs="Times New Roman" w:eastAsia="Times New Roman" w:hAnsi="Times New Roman"/>
          <w:sz w:val="20"/>
          <w:szCs w:val="20"/>
          <w:color w:val="auto"/>
        </w:rPr>
        <w:t xml:space="preserve">SECTION 9.14 </w:t>
      </w:r>
      <w:r>
        <w:rPr>
          <w:rFonts w:ascii="Times New Roman" w:cs="Times New Roman" w:eastAsia="Times New Roman" w:hAnsi="Times New Roman"/>
          <w:sz w:val="20"/>
          <w:szCs w:val="20"/>
          <w:u w:val="single" w:color="auto"/>
          <w:color w:val="auto"/>
        </w:rPr>
        <w:t>Disposal of Subsidiary Interests</w:t>
      </w:r>
      <w:r>
        <w:rPr>
          <w:rFonts w:ascii="Times New Roman" w:cs="Times New Roman" w:eastAsia="Times New Roman" w:hAnsi="Times New Roman"/>
          <w:sz w:val="20"/>
          <w:szCs w:val="20"/>
          <w:color w:val="auto"/>
        </w:rPr>
        <w:t xml:space="preserve">. Permit any US Subsidiary existing as of the date hereof to be a non-Wholly-Owned Subsidiary except as a result of or in connection with a dissolution, merger, amalgamation, consolidation or disposition permitted by </w:t>
      </w:r>
      <w:r>
        <w:rPr>
          <w:rFonts w:ascii="Times New Roman" w:cs="Times New Roman" w:eastAsia="Times New Roman" w:hAnsi="Times New Roman"/>
          <w:sz w:val="20"/>
          <w:szCs w:val="20"/>
          <w:u w:val="single" w:color="auto"/>
          <w:color w:val="auto"/>
        </w:rPr>
        <w:t>Section 9.4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9.5</w:t>
      </w:r>
      <w:r>
        <w:rPr>
          <w:rFonts w:ascii="Times New Roman" w:cs="Times New Roman" w:eastAsia="Times New Roman" w:hAnsi="Times New Roman"/>
          <w:sz w:val="20"/>
          <w:szCs w:val="20"/>
          <w:color w:val="auto"/>
        </w:rPr>
        <w:t>, except in connection with the grant of the Permitted Drum Equity to officers, directors or employees.</w:t>
      </w:r>
    </w:p>
    <w:p>
      <w:pPr>
        <w:spacing w:after="0" w:line="29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ARTICLE X DEFAULT AND REMEDIES</w:t>
      </w:r>
    </w:p>
    <w:p>
      <w:pPr>
        <w:spacing w:after="0" w:line="10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 xml:space="preserve">SECTION 10.1 </w:t>
      </w:r>
      <w:r>
        <w:rPr>
          <w:rFonts w:ascii="Times New Roman" w:cs="Times New Roman" w:eastAsia="Times New Roman" w:hAnsi="Times New Roman"/>
          <w:sz w:val="20"/>
          <w:szCs w:val="20"/>
          <w:u w:val="single" w:color="auto"/>
          <w:color w:val="auto"/>
        </w:rPr>
        <w:t>Events of Default</w:t>
      </w:r>
      <w:r>
        <w:rPr>
          <w:rFonts w:ascii="Times New Roman" w:cs="Times New Roman" w:eastAsia="Times New Roman" w:hAnsi="Times New Roman"/>
          <w:sz w:val="20"/>
          <w:szCs w:val="20"/>
          <w:color w:val="auto"/>
        </w:rPr>
        <w:t>. Each of the following shall constitute an Event of Default:</w:t>
      </w:r>
    </w:p>
    <w:p>
      <w:pPr>
        <w:spacing w:after="0" w:line="211" w:lineRule="exact"/>
        <w:rPr>
          <w:sz w:val="20"/>
          <w:szCs w:val="20"/>
          <w:color w:val="auto"/>
        </w:rPr>
      </w:pPr>
    </w:p>
    <w:p>
      <w:pPr>
        <w:jc w:val="both"/>
        <w:ind w:left="680" w:right="40" w:firstLine="646"/>
        <w:spacing w:after="0" w:line="257" w:lineRule="auto"/>
        <w:tabs>
          <w:tab w:leader="none" w:pos="1927" w:val="left"/>
        </w:tabs>
        <w:numPr>
          <w:ilvl w:val="0"/>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 in Payment of Principal of Loans and Reimbursement Obligations</w:t>
      </w:r>
      <w:r>
        <w:rPr>
          <w:rFonts w:ascii="Times New Roman" w:cs="Times New Roman" w:eastAsia="Times New Roman" w:hAnsi="Times New Roman"/>
          <w:sz w:val="20"/>
          <w:szCs w:val="20"/>
          <w:color w:val="auto"/>
        </w:rPr>
        <w:t>. Any Borrower shall default in any payment of principal of any Loan or Reimbursement Obligation when and as due (whether at maturity, by reason of acceleration or otherwise).</w:t>
      </w:r>
    </w:p>
    <w:p>
      <w:pPr>
        <w:spacing w:after="0" w:line="183" w:lineRule="exact"/>
        <w:rPr>
          <w:rFonts w:ascii="Times New Roman" w:cs="Times New Roman" w:eastAsia="Times New Roman" w:hAnsi="Times New Roman"/>
          <w:sz w:val="20"/>
          <w:szCs w:val="20"/>
          <w:color w:val="auto"/>
        </w:rPr>
      </w:pPr>
    </w:p>
    <w:p>
      <w:pPr>
        <w:jc w:val="both"/>
        <w:ind w:left="680" w:right="60" w:firstLine="646"/>
        <w:spacing w:after="0" w:line="257" w:lineRule="auto"/>
        <w:tabs>
          <w:tab w:leader="none" w:pos="1925" w:val="left"/>
        </w:tabs>
        <w:numPr>
          <w:ilvl w:val="0"/>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Payment Default</w:t>
      </w:r>
      <w:r>
        <w:rPr>
          <w:rFonts w:ascii="Times New Roman" w:cs="Times New Roman" w:eastAsia="Times New Roman" w:hAnsi="Times New Roman"/>
          <w:sz w:val="20"/>
          <w:szCs w:val="20"/>
          <w:color w:val="auto"/>
        </w:rPr>
        <w:t>. Any Borrower shall default in the payment when and as due (whether at maturity, by reason of acceleration or otherwise) of interest on any Loan or Reimbursement Obligation or the payment of any other Obligation, and such default shall continue for a period of three (3) Business Days.</w:t>
      </w:r>
    </w:p>
    <w:p>
      <w:pPr>
        <w:spacing w:after="0" w:line="170" w:lineRule="exact"/>
        <w:rPr>
          <w:rFonts w:ascii="Times New Roman" w:cs="Times New Roman" w:eastAsia="Times New Roman" w:hAnsi="Times New Roman"/>
          <w:sz w:val="20"/>
          <w:szCs w:val="20"/>
          <w:color w:val="auto"/>
        </w:rPr>
      </w:pPr>
    </w:p>
    <w:p>
      <w:pPr>
        <w:jc w:val="both"/>
        <w:ind w:left="680" w:firstLine="646"/>
        <w:spacing w:after="0" w:line="250" w:lineRule="auto"/>
        <w:tabs>
          <w:tab w:leader="none" w:pos="1927" w:val="left"/>
        </w:tabs>
        <w:numPr>
          <w:ilvl w:val="0"/>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Misrepresentation</w:t>
      </w:r>
      <w:r>
        <w:rPr>
          <w:rFonts w:ascii="Times New Roman" w:cs="Times New Roman" w:eastAsia="Times New Roman" w:hAnsi="Times New Roman"/>
          <w:sz w:val="20"/>
          <w:szCs w:val="20"/>
          <w:color w:val="auto"/>
        </w:rPr>
        <w:t>. Any representation, warranty, certification or statement of fact made or deemed made by or on behalf of any Credit Party or any Subsidiary thereof in this Agreement, in any other Loan Document, or in any document delivered in connection herewith or therewith that is subject to materiality or Material Adverse Effect qualifications, shall be incorrect or misleading in any respect when made or deemed made or any representation, warranty, certification or statement of fact made or deemed made by or on behalf of any Credit Party or any Subsidiary thereof in this Agreement, any other Loan Document, or in any document delivered in connection herewith or therewith that is not subject to materiality or Material Adverse Effect qualifications, shall be incorrect or misleading in any material respect when made or deemed made.</w:t>
      </w:r>
    </w:p>
    <w:p>
      <w:pPr>
        <w:spacing w:after="0" w:line="182" w:lineRule="exact"/>
        <w:rPr>
          <w:rFonts w:ascii="Times New Roman" w:cs="Times New Roman" w:eastAsia="Times New Roman" w:hAnsi="Times New Roman"/>
          <w:sz w:val="20"/>
          <w:szCs w:val="20"/>
          <w:color w:val="auto"/>
        </w:rPr>
      </w:pPr>
    </w:p>
    <w:p>
      <w:pPr>
        <w:jc w:val="both"/>
        <w:ind w:left="680" w:right="20" w:firstLine="646"/>
        <w:spacing w:after="0" w:line="248" w:lineRule="auto"/>
        <w:tabs>
          <w:tab w:leader="none" w:pos="1925" w:val="left"/>
        </w:tabs>
        <w:numPr>
          <w:ilvl w:val="0"/>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 in Performance of Certain Covenants</w:t>
      </w:r>
      <w:r>
        <w:rPr>
          <w:rFonts w:ascii="Times New Roman" w:cs="Times New Roman" w:eastAsia="Times New Roman" w:hAnsi="Times New Roman"/>
          <w:sz w:val="20"/>
          <w:szCs w:val="20"/>
          <w:color w:val="auto"/>
        </w:rPr>
        <w:t xml:space="preserve">. Any Credit Party or any Subsidiary thereof shall default in the performance or observance of any covenant or agreement contained in </w:t>
      </w:r>
      <w:r>
        <w:rPr>
          <w:rFonts w:ascii="Times New Roman" w:cs="Times New Roman" w:eastAsia="Times New Roman" w:hAnsi="Times New Roman"/>
          <w:sz w:val="20"/>
          <w:szCs w:val="20"/>
          <w:u w:val="single" w:color="auto"/>
          <w:color w:val="auto"/>
        </w:rPr>
        <w:t>Sections 8.1(a)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8.2(a)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8.3</w:t>
      </w: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8.4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8.17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8.18</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8.19</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breach of the financial covenants set forth in </w:t>
      </w:r>
      <w:r>
        <w:rPr>
          <w:rFonts w:ascii="Times New Roman" w:cs="Times New Roman" w:eastAsia="Times New Roman" w:hAnsi="Times New Roman"/>
          <w:sz w:val="20"/>
          <w:szCs w:val="20"/>
          <w:u w:val="single" w:color="auto"/>
          <w:color w:val="auto"/>
        </w:rPr>
        <w:t>Section 9.13</w:t>
      </w:r>
      <w:r>
        <w:rPr>
          <w:rFonts w:ascii="Times New Roman" w:cs="Times New Roman" w:eastAsia="Times New Roman" w:hAnsi="Times New Roman"/>
          <w:sz w:val="20"/>
          <w:szCs w:val="20"/>
          <w:color w:val="auto"/>
        </w:rPr>
        <w:t xml:space="preserve"> shall not constitute an Event of Default with respect to any Term Loans, and the Term Loan Lenders shall not be permitted to exercise any remedies with respect to a breach of the financial covenants set forth in </w:t>
      </w:r>
      <w:r>
        <w:rPr>
          <w:rFonts w:ascii="Times New Roman" w:cs="Times New Roman" w:eastAsia="Times New Roman" w:hAnsi="Times New Roman"/>
          <w:sz w:val="20"/>
          <w:szCs w:val="20"/>
          <w:u w:val="single" w:color="auto"/>
          <w:color w:val="auto"/>
        </w:rPr>
        <w:t>Section 9.13</w:t>
      </w:r>
      <w:r>
        <w:rPr>
          <w:rFonts w:ascii="Times New Roman" w:cs="Times New Roman" w:eastAsia="Times New Roman" w:hAnsi="Times New Roman"/>
          <w:sz w:val="20"/>
          <w:szCs w:val="20"/>
          <w:color w:val="auto"/>
        </w:rPr>
        <w:t>, unless and until the Required Revolving Credit Lenders have declared all amounts outstanding under the Revolving Credit Facility to be due and payable and all outstanding Revolving Credit Commitments to be terminated, in each case in accordance with this Agreement and such declaration has not been rescinded.</w:t>
      </w:r>
    </w:p>
    <w:p>
      <w:pPr>
        <w:spacing w:after="0" w:line="185" w:lineRule="exact"/>
        <w:rPr>
          <w:rFonts w:ascii="Times New Roman" w:cs="Times New Roman" w:eastAsia="Times New Roman" w:hAnsi="Times New Roman"/>
          <w:sz w:val="20"/>
          <w:szCs w:val="20"/>
          <w:color w:val="auto"/>
        </w:rPr>
      </w:pPr>
    </w:p>
    <w:p>
      <w:pPr>
        <w:jc w:val="both"/>
        <w:ind w:left="680" w:right="40" w:firstLine="646"/>
        <w:spacing w:after="0" w:line="250" w:lineRule="auto"/>
        <w:tabs>
          <w:tab w:leader="none" w:pos="1927" w:val="left"/>
        </w:tabs>
        <w:numPr>
          <w:ilvl w:val="0"/>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 in Performance of Other Covenants and Conditions</w:t>
      </w:r>
      <w:r>
        <w:rPr>
          <w:rFonts w:ascii="Times New Roman" w:cs="Times New Roman" w:eastAsia="Times New Roman" w:hAnsi="Times New Roman"/>
          <w:sz w:val="20"/>
          <w:szCs w:val="20"/>
          <w:color w:val="auto"/>
        </w:rPr>
        <w:t xml:space="preserve">. Any Credit Party or any Subsidiary thereof shall default in the performance or observance of any term, covenant, condition or agreement contained in this Agreement (other than as specifically provided for in </w:t>
      </w:r>
      <w:r>
        <w:rPr>
          <w:rFonts w:ascii="Times New Roman" w:cs="Times New Roman" w:eastAsia="Times New Roman" w:hAnsi="Times New Roman"/>
          <w:sz w:val="20"/>
          <w:szCs w:val="20"/>
          <w:u w:val="single" w:color="auto"/>
          <w:color w:val="auto"/>
        </w:rPr>
        <w:t>Section 10.1(a)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or any other Loan Document and such default shall continue for a period of thirty (30) days after the earlier of (i) the Administrative Agent’s delivery of written notice thereof to Centuri and (ii) a Responsible Officer of any Credit Party having obtained knowledge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58">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243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20"/>
          </w:cols>
          <w:pgMar w:left="320" w:top="1400" w:right="459" w:bottom="1440" w:gutter="0" w:footer="0" w:header="0"/>
        </w:sectPr>
      </w:pPr>
    </w:p>
    <w:bookmarkStart w:id="392" w:name="page393"/>
    <w:bookmarkEnd w:id="392"/>
    <w:p>
      <w:pPr>
        <w:spacing w:after="0" w:line="201" w:lineRule="exact"/>
        <w:rPr>
          <w:sz w:val="20"/>
          <w:szCs w:val="20"/>
          <w:color w:val="auto"/>
        </w:rPr>
      </w:pPr>
    </w:p>
    <w:p>
      <w:pPr>
        <w:jc w:val="both"/>
        <w:ind w:left="680" w:firstLine="646"/>
        <w:spacing w:after="0" w:line="248" w:lineRule="auto"/>
        <w:tabs>
          <w:tab w:leader="none" w:pos="1919" w:val="left"/>
        </w:tabs>
        <w:numPr>
          <w:ilvl w:val="1"/>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Indebtedness Cross-Default</w:t>
      </w:r>
      <w:r>
        <w:rPr>
          <w:rFonts w:ascii="Times New Roman" w:cs="Times New Roman" w:eastAsia="Times New Roman" w:hAnsi="Times New Roman"/>
          <w:sz w:val="20"/>
          <w:szCs w:val="20"/>
          <w:color w:val="auto"/>
        </w:rPr>
        <w:t>. Any Credit Party or any Subsidiary thereof shall (i) default in the payment of any Indebtedness (other than the Loans or any Reimbursement Obligation) the aggregate outstanding principal amount, or with respect to any Hedge Agreement, the Hedge Termination Value, of which is in excess of the Threshold Amount beyond the period of grace if any, provided in the instrument or agreement under which such Indebtedness was created, or (ii) default in the observance or performance of any other agreement or condition relating to any Indebtedness (other than the Loans or any Reimbursement Obligation) the aggregate outstanding principal amount, or with respect to any Hedge Agreement, the Hedge Termination Value, of which is in excess of the Threshold Amount or contained in any instrument or agreement evidencing, securing or relating thereto or any other event shall occur or condition exist, the effect of which default or other event or condition is to cause, or to permit the holder or holders of such Indebtedness (or a trustee or agent on behalf of such holder or holders) to cause, with the giving of notice and/or lapse of time, if required, any such Indebtedness to become due prior to its stated maturity (any applicable grace period having expired).</w:t>
      </w:r>
    </w:p>
    <w:p>
      <w:pPr>
        <w:spacing w:after="0" w:line="167" w:lineRule="exact"/>
        <w:rPr>
          <w:rFonts w:ascii="Times New Roman" w:cs="Times New Roman" w:eastAsia="Times New Roman" w:hAnsi="Times New Roman"/>
          <w:sz w:val="20"/>
          <w:szCs w:val="20"/>
          <w:color w:val="auto"/>
        </w:rPr>
      </w:pPr>
    </w:p>
    <w:p>
      <w:pPr>
        <w:ind w:left="1960" w:hanging="633"/>
        <w:spacing w:after="0"/>
        <w:tabs>
          <w:tab w:leader="none" w:pos="1960" w:val="left"/>
        </w:tabs>
        <w:numPr>
          <w:ilvl w:val="1"/>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[Intentionally Omitted]</w:t>
      </w:r>
      <w:r>
        <w:rPr>
          <w:rFonts w:ascii="Times New Roman" w:cs="Times New Roman" w:eastAsia="Times New Roman" w:hAnsi="Times New Roman"/>
          <w:sz w:val="20"/>
          <w:szCs w:val="20"/>
          <w:color w:val="auto"/>
        </w:rPr>
        <w:t>.</w:t>
      </w:r>
    </w:p>
    <w:p>
      <w:pPr>
        <w:spacing w:after="0" w:line="224" w:lineRule="exact"/>
        <w:rPr>
          <w:rFonts w:ascii="Times New Roman" w:cs="Times New Roman" w:eastAsia="Times New Roman" w:hAnsi="Times New Roman"/>
          <w:sz w:val="20"/>
          <w:szCs w:val="20"/>
          <w:color w:val="auto"/>
        </w:rPr>
      </w:pPr>
    </w:p>
    <w:p>
      <w:pPr>
        <w:ind w:left="1960" w:hanging="633"/>
        <w:spacing w:after="0"/>
        <w:tabs>
          <w:tab w:leader="none" w:pos="1960" w:val="left"/>
        </w:tabs>
        <w:numPr>
          <w:ilvl w:val="1"/>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Any Change in Control shall occur.</w:t>
      </w:r>
    </w:p>
    <w:p>
      <w:pPr>
        <w:spacing w:after="0" w:line="211" w:lineRule="exact"/>
        <w:rPr>
          <w:rFonts w:ascii="Times New Roman" w:cs="Times New Roman" w:eastAsia="Times New Roman" w:hAnsi="Times New Roman"/>
          <w:sz w:val="20"/>
          <w:szCs w:val="20"/>
          <w:color w:val="auto"/>
        </w:rPr>
      </w:pPr>
    </w:p>
    <w:p>
      <w:pPr>
        <w:jc w:val="both"/>
        <w:ind w:left="680" w:right="60" w:firstLine="646"/>
        <w:spacing w:after="0" w:line="251" w:lineRule="auto"/>
        <w:tabs>
          <w:tab w:leader="none" w:pos="1922" w:val="left"/>
        </w:tabs>
        <w:numPr>
          <w:ilvl w:val="1"/>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Voluntary Bankruptcy Proceeding</w:t>
      </w:r>
      <w:r>
        <w:rPr>
          <w:rFonts w:ascii="Times New Roman" w:cs="Times New Roman" w:eastAsia="Times New Roman" w:hAnsi="Times New Roman"/>
          <w:sz w:val="20"/>
          <w:szCs w:val="20"/>
          <w:color w:val="auto"/>
        </w:rPr>
        <w:t>. Any Credit Party or any Subsidiary thereof or Southwest Gas shall (i) commence a voluntary case under any Debtor Relief Laws, (ii) file a petition seeking to take advantage of any Debtor Relief Laws, (iii) consent to or fail to contest in a timely and appropriate manner any petition filed against it in an involuntary case under any Debtor Relief Laws,</w:t>
      </w:r>
    </w:p>
    <w:p>
      <w:pPr>
        <w:spacing w:after="0" w:line="1" w:lineRule="exact"/>
        <w:rPr>
          <w:rFonts w:ascii="Times New Roman" w:cs="Times New Roman" w:eastAsia="Times New Roman" w:hAnsi="Times New Roman"/>
          <w:sz w:val="20"/>
          <w:szCs w:val="20"/>
          <w:color w:val="auto"/>
        </w:rPr>
      </w:pPr>
    </w:p>
    <w:p>
      <w:pPr>
        <w:jc w:val="both"/>
        <w:ind w:left="680" w:right="60" w:firstLine="4"/>
        <w:spacing w:after="0" w:line="244" w:lineRule="auto"/>
        <w:tabs>
          <w:tab w:leader="none" w:pos="1014"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apply for or consent to, or fail to contest in a timely and appropriate manner, the appointment of, or the taking of possession by, a receiver, custodian, trustee, or liquidator of itself or of a substantial part of its property, domestic or foreign, (v) admit in writing its inability to pay its debts as they become due,</w:t>
      </w:r>
    </w:p>
    <w:p>
      <w:pPr>
        <w:spacing w:after="0" w:line="2" w:lineRule="exact"/>
        <w:rPr>
          <w:rFonts w:ascii="Times New Roman" w:cs="Times New Roman" w:eastAsia="Times New Roman" w:hAnsi="Times New Roman"/>
          <w:sz w:val="20"/>
          <w:szCs w:val="20"/>
          <w:color w:val="auto"/>
        </w:rPr>
      </w:pPr>
    </w:p>
    <w:p>
      <w:pPr>
        <w:ind w:left="680" w:right="60" w:firstLine="4"/>
        <w:spacing w:after="0" w:line="254" w:lineRule="auto"/>
        <w:tabs>
          <w:tab w:leader="none" w:pos="1022" w:val="left"/>
        </w:tabs>
        <w:numPr>
          <w:ilvl w:val="0"/>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 general assignment for the benefit of creditors, or (vii) take any corporate action for the purpose of authorizing any of the foregoing.</w:t>
      </w:r>
    </w:p>
    <w:p>
      <w:pPr>
        <w:spacing w:after="0" w:line="173" w:lineRule="exact"/>
        <w:rPr>
          <w:rFonts w:ascii="Times New Roman" w:cs="Times New Roman" w:eastAsia="Times New Roman" w:hAnsi="Times New Roman"/>
          <w:sz w:val="20"/>
          <w:szCs w:val="20"/>
          <w:color w:val="auto"/>
        </w:rPr>
      </w:pPr>
    </w:p>
    <w:p>
      <w:pPr>
        <w:jc w:val="both"/>
        <w:ind w:left="680" w:right="20" w:firstLine="646"/>
        <w:spacing w:after="0" w:line="250" w:lineRule="auto"/>
        <w:tabs>
          <w:tab w:leader="none" w:pos="1921" w:val="left"/>
        </w:tabs>
        <w:numPr>
          <w:ilvl w:val="1"/>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Involuntary Bankruptcy Proceeding</w:t>
      </w:r>
      <w:r>
        <w:rPr>
          <w:rFonts w:ascii="Times New Roman" w:cs="Times New Roman" w:eastAsia="Times New Roman" w:hAnsi="Times New Roman"/>
          <w:sz w:val="20"/>
          <w:szCs w:val="20"/>
          <w:color w:val="auto"/>
        </w:rPr>
        <w:t>. A case or other proceeding shall be commenced against any Credit Party or any Subsidiary thereof or Southwest Gas in any court of competent jurisdiction seeking (i) relief under any Debtor Relief Laws, or (ii) the appointment of a trustee, receiver, custodian, liquidator or the like for any Credit Party or any Subsidiary thereof or Southwest Gas or for all or any substantial part of their respective assets, domestic or foreign, and such case or proceeding shall continue without dismissal or stay for a period of sixty (60) consecutive days, or an order granting the relief requested in such case or proceeding (including, but not limited to, an order for relief under such federal bankruptcy laws) shall be entered.</w:t>
      </w:r>
    </w:p>
    <w:p>
      <w:pPr>
        <w:spacing w:after="0" w:line="180" w:lineRule="exact"/>
        <w:rPr>
          <w:rFonts w:ascii="Times New Roman" w:cs="Times New Roman" w:eastAsia="Times New Roman" w:hAnsi="Times New Roman"/>
          <w:sz w:val="20"/>
          <w:szCs w:val="20"/>
          <w:color w:val="auto"/>
        </w:rPr>
      </w:pPr>
    </w:p>
    <w:p>
      <w:pPr>
        <w:jc w:val="both"/>
        <w:ind w:left="680" w:right="40" w:firstLine="646"/>
        <w:spacing w:after="0" w:line="250" w:lineRule="auto"/>
        <w:tabs>
          <w:tab w:leader="none" w:pos="1925" w:val="left"/>
        </w:tabs>
        <w:numPr>
          <w:ilvl w:val="1"/>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Failure of Agreements</w:t>
      </w:r>
      <w:r>
        <w:rPr>
          <w:rFonts w:ascii="Times New Roman" w:cs="Times New Roman" w:eastAsia="Times New Roman" w:hAnsi="Times New Roman"/>
          <w:sz w:val="20"/>
          <w:szCs w:val="20"/>
          <w:color w:val="auto"/>
        </w:rPr>
        <w:t>. Any provision of this Agreement or any provision of any other Loan Document shall for any reason cease to be valid and binding on any Credit Party or any Subsidiary thereof party thereto or any such Person shall so state in writing, or any Loan Document shall for any reason cease to create a valid and perfected first priority Lien (subject to Permitted Liens) on, or security interest in, any of the Collateral purported to be covered thereby, in each case other than in accordance with the express terms hereof or thereof.</w:t>
      </w:r>
    </w:p>
    <w:p>
      <w:pPr>
        <w:spacing w:after="0" w:line="193" w:lineRule="exact"/>
        <w:rPr>
          <w:rFonts w:ascii="Times New Roman" w:cs="Times New Roman" w:eastAsia="Times New Roman" w:hAnsi="Times New Roman"/>
          <w:sz w:val="20"/>
          <w:szCs w:val="20"/>
          <w:color w:val="auto"/>
        </w:rPr>
      </w:pPr>
    </w:p>
    <w:p>
      <w:pPr>
        <w:jc w:val="both"/>
        <w:ind w:left="680" w:right="40" w:firstLine="646"/>
        <w:spacing w:after="0" w:line="250" w:lineRule="auto"/>
        <w:tabs>
          <w:tab w:leader="none" w:pos="1922" w:val="left"/>
        </w:tabs>
        <w:numPr>
          <w:ilvl w:val="1"/>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Employee Benefit Plan Events</w:t>
      </w:r>
      <w:r>
        <w:rPr>
          <w:rFonts w:ascii="Times New Roman" w:cs="Times New Roman" w:eastAsia="Times New Roman" w:hAnsi="Times New Roman"/>
          <w:sz w:val="20"/>
          <w:szCs w:val="20"/>
          <w:color w:val="auto"/>
        </w:rPr>
        <w:t>. The occurrence of any of the following events: (i) any Credit Party or any ERISA Affiliate fails to make full payment when due of all amounts which, under the provisions of any Pension Plan or Sections 412 or 430 of the Code, any Credit Party or any ERISA Affiliate is required to pay as contributions thereto and such unpaid amounts are in excess of the Threshold Amount, (ii) any Credit Party fails to make full payment when due of all amounts which,</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59">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244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20"/>
          </w:cols>
          <w:pgMar w:left="320" w:top="1440" w:right="459" w:bottom="1440" w:gutter="0" w:footer="0" w:header="0"/>
        </w:sectPr>
      </w:pPr>
    </w:p>
    <w:bookmarkStart w:id="393" w:name="page394"/>
    <w:bookmarkEnd w:id="393"/>
    <w:p>
      <w:pPr>
        <w:spacing w:after="0" w:line="94" w:lineRule="exact"/>
        <w:rPr>
          <w:sz w:val="20"/>
          <w:szCs w:val="20"/>
          <w:color w:val="auto"/>
        </w:rPr>
      </w:pPr>
    </w:p>
    <w:p>
      <w:pPr>
        <w:ind w:left="680"/>
        <w:spacing w:after="0" w:line="263" w:lineRule="auto"/>
        <w:rPr>
          <w:sz w:val="20"/>
          <w:szCs w:val="20"/>
          <w:color w:val="auto"/>
        </w:rPr>
      </w:pPr>
      <w:r>
        <w:rPr>
          <w:rFonts w:ascii="Times New Roman" w:cs="Times New Roman" w:eastAsia="Times New Roman" w:hAnsi="Times New Roman"/>
          <w:sz w:val="20"/>
          <w:szCs w:val="20"/>
          <w:color w:val="auto"/>
        </w:rPr>
        <w:t>under the provisions of any Canadian Employee Benefit Plan or under Canadian Pension Laws, any Credit Party is required to pay as contributions thereto and such unpaid amounts are in excess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60">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245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080"/>
          </w:cols>
          <w:pgMar w:left="320" w:top="1440" w:right="499" w:bottom="1440" w:gutter="0" w:footer="0" w:header="0"/>
        </w:sectPr>
      </w:pPr>
    </w:p>
    <w:bookmarkStart w:id="394" w:name="page395"/>
    <w:bookmarkEnd w:id="394"/>
    <w:p>
      <w:pPr>
        <w:spacing w:after="0" w:line="201" w:lineRule="exact"/>
        <w:rPr>
          <w:sz w:val="20"/>
          <w:szCs w:val="20"/>
          <w:color w:val="auto"/>
        </w:rPr>
      </w:pPr>
    </w:p>
    <w:p>
      <w:pPr>
        <w:jc w:val="both"/>
        <w:ind w:left="680" w:right="60"/>
        <w:spacing w:after="0" w:line="250" w:lineRule="auto"/>
        <w:rPr>
          <w:sz w:val="20"/>
          <w:szCs w:val="20"/>
          <w:color w:val="auto"/>
        </w:rPr>
      </w:pPr>
      <w:r>
        <w:rPr>
          <w:rFonts w:ascii="Times New Roman" w:cs="Times New Roman" w:eastAsia="Times New Roman" w:hAnsi="Times New Roman"/>
          <w:sz w:val="20"/>
          <w:szCs w:val="20"/>
          <w:color w:val="auto"/>
        </w:rPr>
        <w:t>Threshold Amount, (iii) a Termination Event or Canadian Termination Event or (iv) any Credit Party or any ERISA Affiliate as employers under one or more Multiemployer Plans makes a complete or partial withdrawal from any such Multiemployer Plan and the plan sponsor of such Multiemployer Plans notifies such withdrawing employer that such employer has incurred a withdrawal liability requiring payments in an amount exceeding the Threshold Amount.</w:t>
      </w:r>
    </w:p>
    <w:p>
      <w:pPr>
        <w:spacing w:after="0" w:line="192" w:lineRule="exact"/>
        <w:rPr>
          <w:sz w:val="20"/>
          <w:szCs w:val="20"/>
          <w:color w:val="auto"/>
        </w:rPr>
      </w:pPr>
    </w:p>
    <w:p>
      <w:pPr>
        <w:jc w:val="both"/>
        <w:ind w:left="680" w:right="60" w:firstLine="646"/>
        <w:spacing w:after="0" w:line="250" w:lineRule="auto"/>
        <w:tabs>
          <w:tab w:leader="none" w:pos="1926" w:val="left"/>
        </w:tabs>
        <w:numPr>
          <w:ilvl w:val="0"/>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Judgment</w:t>
      </w:r>
      <w:r>
        <w:rPr>
          <w:rFonts w:ascii="Times New Roman" w:cs="Times New Roman" w:eastAsia="Times New Roman" w:hAnsi="Times New Roman"/>
          <w:sz w:val="20"/>
          <w:szCs w:val="20"/>
          <w:color w:val="auto"/>
        </w:rPr>
        <w:t>. A judgment or order for the payment of money which causes the aggregate amount of all such judgments or orders (net of any amounts paid or fully covered by independent third party insurance as to which the relevant insurance company does not dispute coverage) to exceed the Threshold Amount shall be entered against any Credit Party or any Subsidiary thereof by any court and such judgment or order shall continue without having been discharged, vacated or stayed for a period of thirty (30) consecutive days after the entry thereof.</w:t>
      </w:r>
    </w:p>
    <w:p>
      <w:pPr>
        <w:spacing w:after="0" w:line="180" w:lineRule="exact"/>
        <w:rPr>
          <w:sz w:val="20"/>
          <w:szCs w:val="20"/>
          <w:color w:val="auto"/>
        </w:rPr>
      </w:pPr>
    </w:p>
    <w:p>
      <w:pPr>
        <w:jc w:val="both"/>
        <w:ind w:left="680" w:right="60" w:firstLine="642"/>
        <w:spacing w:after="0" w:line="257" w:lineRule="auto"/>
        <w:rPr>
          <w:sz w:val="20"/>
          <w:szCs w:val="20"/>
          <w:color w:val="auto"/>
        </w:rPr>
      </w:pPr>
      <w:r>
        <w:rPr>
          <w:rFonts w:ascii="Times New Roman" w:cs="Times New Roman" w:eastAsia="Times New Roman" w:hAnsi="Times New Roman"/>
          <w:sz w:val="20"/>
          <w:szCs w:val="20"/>
          <w:color w:val="auto"/>
        </w:rPr>
        <w:t xml:space="preserve">SECTION 10.2 </w:t>
      </w:r>
      <w:r>
        <w:rPr>
          <w:rFonts w:ascii="Times New Roman" w:cs="Times New Roman" w:eastAsia="Times New Roman" w:hAnsi="Times New Roman"/>
          <w:sz w:val="20"/>
          <w:szCs w:val="20"/>
          <w:u w:val="single" w:color="auto"/>
          <w:color w:val="auto"/>
        </w:rPr>
        <w:t>Remedies</w:t>
      </w:r>
      <w:r>
        <w:rPr>
          <w:rFonts w:ascii="Times New Roman" w:cs="Times New Roman" w:eastAsia="Times New Roman" w:hAnsi="Times New Roman"/>
          <w:sz w:val="20"/>
          <w:szCs w:val="20"/>
          <w:color w:val="auto"/>
        </w:rPr>
        <w:t>. Upon the occurrence and during the continuance of an Event of Default, with the consent of the Required Lenders, the Administrative Agent may, or upon the request of the Required Lenders, the Administrative Agent shall, by notice to Centuri:</w:t>
      </w:r>
    </w:p>
    <w:p>
      <w:pPr>
        <w:spacing w:after="0" w:line="184" w:lineRule="exact"/>
        <w:rPr>
          <w:sz w:val="20"/>
          <w:szCs w:val="20"/>
          <w:color w:val="auto"/>
        </w:rPr>
      </w:pPr>
    </w:p>
    <w:p>
      <w:pPr>
        <w:jc w:val="both"/>
        <w:ind w:left="680" w:firstLine="646"/>
        <w:spacing w:after="0" w:line="261" w:lineRule="auto"/>
        <w:tabs>
          <w:tab w:leader="none" w:pos="1927" w:val="left"/>
        </w:tabs>
        <w:numPr>
          <w:ilvl w:val="0"/>
          <w:numId w:val="2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Acceleration; Termination of Credit Facility</w:t>
      </w:r>
      <w:r>
        <w:rPr>
          <w:rFonts w:ascii="Times New Roman" w:cs="Times New Roman" w:eastAsia="Times New Roman" w:hAnsi="Times New Roman"/>
          <w:sz w:val="19"/>
          <w:szCs w:val="19"/>
          <w:color w:val="auto"/>
        </w:rPr>
        <w:t xml:space="preserve">. Terminate the Revolving Credit Commitment and declare the principal of and interest on the Loans and the Reimbursement Obligations at the time outstanding, and all other amounts owed to the Lenders and to the Administrative Agent under this Agreement or any of the other Loan Documents (including, without limitation, all L/C Obligations, whether or not the beneficiaries of the then outstanding Letters of Credit shall have presented or shall be entitled to present the documents required thereunder) and all other Obligations, to be forthwith due and payable, whereupon the same shall immediately become due and payable without presentment, demand, protest or other notice of any kind, all of which are expressly waived by each Credit Party, anything in this Agreement or the other Loan Documents to the contrary notwithstanding, and terminate the Credit Facility and any right of any Borrower to request borrowings or Letters of Credit thereunder; provided, that upon the occurrence of an Event of Default specified in </w:t>
      </w:r>
      <w:r>
        <w:rPr>
          <w:rFonts w:ascii="Times New Roman" w:cs="Times New Roman" w:eastAsia="Times New Roman" w:hAnsi="Times New Roman"/>
          <w:sz w:val="19"/>
          <w:szCs w:val="19"/>
          <w:u w:val="single" w:color="auto"/>
          <w:color w:val="auto"/>
        </w:rPr>
        <w:t>Section 10.1(i)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(j)</w:t>
      </w:r>
      <w:r>
        <w:rPr>
          <w:rFonts w:ascii="Times New Roman" w:cs="Times New Roman" w:eastAsia="Times New Roman" w:hAnsi="Times New Roman"/>
          <w:sz w:val="19"/>
          <w:szCs w:val="19"/>
          <w:color w:val="auto"/>
        </w:rPr>
        <w:t xml:space="preserve">, the Credit Facility shall be automatically terminated and all Obligations shall automatically become due and payable without presentment, demand, protest or other notice of any kind, all of which are expressly waived by each Credit Party, anything in this Agreement or in any other Loan Document to the contrary notwithstanding;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upon the occurrence and during the continuance of any Event of Default attributable to a failure to comply with the financial covenants set forth in </w:t>
      </w:r>
      <w:r>
        <w:rPr>
          <w:rFonts w:ascii="Times New Roman" w:cs="Times New Roman" w:eastAsia="Times New Roman" w:hAnsi="Times New Roman"/>
          <w:sz w:val="19"/>
          <w:szCs w:val="19"/>
          <w:u w:val="single" w:color="auto"/>
          <w:color w:val="auto"/>
        </w:rPr>
        <w:t>Section 9.13</w:t>
      </w:r>
      <w:r>
        <w:rPr>
          <w:rFonts w:ascii="Times New Roman" w:cs="Times New Roman" w:eastAsia="Times New Roman" w:hAnsi="Times New Roman"/>
          <w:sz w:val="19"/>
          <w:szCs w:val="19"/>
          <w:color w:val="auto"/>
        </w:rPr>
        <w:t xml:space="preserve"> (which has not become an Event of Default with respect to the Term Loans pursuant to </w:t>
      </w:r>
      <w:r>
        <w:rPr>
          <w:rFonts w:ascii="Times New Roman" w:cs="Times New Roman" w:eastAsia="Times New Roman" w:hAnsi="Times New Roman"/>
          <w:sz w:val="19"/>
          <w:szCs w:val="19"/>
          <w:u w:val="single" w:color="auto"/>
          <w:color w:val="auto"/>
        </w:rPr>
        <w:t>Section 10.1(d)</w:t>
      </w:r>
      <w:r>
        <w:rPr>
          <w:rFonts w:ascii="Times New Roman" w:cs="Times New Roman" w:eastAsia="Times New Roman" w:hAnsi="Times New Roman"/>
          <w:sz w:val="19"/>
          <w:szCs w:val="19"/>
          <w:color w:val="auto"/>
        </w:rPr>
        <w:t>), actions pursuant to this clause (a) may be taken by the Required Revolving Credit Lenders with respect to the Revolving Credit Loans and the Revolving Credit Commitments only (without the requirement for Required Lender action) or by the Administrative Agent at the direction of the Required Revolving Credit Lenders.</w:t>
      </w:r>
    </w:p>
    <w:p>
      <w:pPr>
        <w:spacing w:after="0" w:line="157" w:lineRule="exact"/>
        <w:rPr>
          <w:rFonts w:ascii="Times New Roman" w:cs="Times New Roman" w:eastAsia="Times New Roman" w:hAnsi="Times New Roman"/>
          <w:sz w:val="19"/>
          <w:szCs w:val="19"/>
          <w:color w:val="auto"/>
        </w:rPr>
      </w:pPr>
    </w:p>
    <w:p>
      <w:pPr>
        <w:jc w:val="both"/>
        <w:ind w:left="680" w:right="20" w:firstLine="646"/>
        <w:spacing w:after="0" w:line="249" w:lineRule="auto"/>
        <w:tabs>
          <w:tab w:leader="none" w:pos="1925" w:val="left"/>
        </w:tabs>
        <w:numPr>
          <w:ilvl w:val="0"/>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Letters of Credit</w:t>
      </w:r>
      <w:r>
        <w:rPr>
          <w:rFonts w:ascii="Times New Roman" w:cs="Times New Roman" w:eastAsia="Times New Roman" w:hAnsi="Times New Roman"/>
          <w:sz w:val="20"/>
          <w:szCs w:val="20"/>
          <w:color w:val="auto"/>
        </w:rPr>
        <w:t xml:space="preserve">. With respect to all Letters of Credit with respect to which presentment for honor shall not have occurred at the time of an acceleration pursuant to the preceding paragraph, the Borrowers shall at such time deposit in a Cash Collateral account opened by the Administrative Agent an amount equal to the aggregate then undrawn and unexpired amount of such Letters of Credit. Amounts held in such Cash Collateral account shall be applied by the Administrative Agent to the payment of drafts drawn under such Letters of Credit, and the unused portion thereof after all such Letters of Credit shall have expired or been fully drawn upon, if any, shall be applied to repay the other Secured Obligations on a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basis and in accordance with </w:t>
      </w:r>
      <w:r>
        <w:rPr>
          <w:rFonts w:ascii="Times New Roman" w:cs="Times New Roman" w:eastAsia="Times New Roman" w:hAnsi="Times New Roman"/>
          <w:sz w:val="20"/>
          <w:szCs w:val="20"/>
          <w:u w:val="single" w:color="auto"/>
          <w:color w:val="auto"/>
        </w:rPr>
        <w:t>Section 10.4</w:t>
      </w:r>
      <w:r>
        <w:rPr>
          <w:rFonts w:ascii="Times New Roman" w:cs="Times New Roman" w:eastAsia="Times New Roman" w:hAnsi="Times New Roman"/>
          <w:sz w:val="20"/>
          <w:szCs w:val="20"/>
          <w:color w:val="auto"/>
        </w:rPr>
        <w:t>. After all such Letters of Credit shall have expired or been fully drawn upon, the Reimbursement Obligation shall have been satisfied and all other Secured Obligations shall have been paid in full, the balance, if any, in such Cash Collateral account shall be returned to the Borrowers.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61">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246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20"/>
          </w:cols>
          <w:pgMar w:left="320" w:top="1440" w:right="459" w:bottom="1440" w:gutter="0" w:footer="0" w:header="0"/>
        </w:sectPr>
      </w:pPr>
    </w:p>
    <w:bookmarkStart w:id="395" w:name="page396"/>
    <w:bookmarkEnd w:id="395"/>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62">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247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0139"/>
          </w:cols>
          <w:pgMar w:left="320" w:top="1440" w:right="1440" w:bottom="1440" w:gutter="0" w:footer="0" w:header="0"/>
        </w:sectPr>
      </w:pPr>
    </w:p>
    <w:bookmarkStart w:id="396" w:name="page397"/>
    <w:bookmarkEnd w:id="396"/>
    <w:p>
      <w:pPr>
        <w:spacing w:after="0" w:line="202" w:lineRule="exact"/>
        <w:rPr>
          <w:sz w:val="20"/>
          <w:szCs w:val="20"/>
          <w:color w:val="auto"/>
        </w:rPr>
      </w:pPr>
    </w:p>
    <w:p>
      <w:pPr>
        <w:ind w:left="680" w:right="40" w:firstLine="646"/>
        <w:spacing w:after="0" w:line="263" w:lineRule="auto"/>
        <w:tabs>
          <w:tab w:leader="none" w:pos="1927"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 Remedies</w:t>
      </w:r>
      <w:r>
        <w:rPr>
          <w:rFonts w:ascii="Times New Roman" w:cs="Times New Roman" w:eastAsia="Times New Roman" w:hAnsi="Times New Roman"/>
          <w:sz w:val="20"/>
          <w:szCs w:val="20"/>
          <w:color w:val="auto"/>
        </w:rPr>
        <w:t>. Exercise on behalf of the Secured Parties all of its other rights and remedies under this Agreement, the other Loan Documents and Applicable Law, in order to satisfy all of the Secured Obligations.</w:t>
      </w:r>
    </w:p>
    <w:p>
      <w:pPr>
        <w:spacing w:after="0" w:line="178" w:lineRule="exact"/>
        <w:rPr>
          <w:sz w:val="20"/>
          <w:szCs w:val="20"/>
          <w:color w:val="auto"/>
        </w:rPr>
      </w:pPr>
    </w:p>
    <w:p>
      <w:pPr>
        <w:ind w:left="1320"/>
        <w:spacing w:after="0"/>
        <w:tabs>
          <w:tab w:leader="none" w:pos="2720" w:val="left"/>
        </w:tabs>
        <w:rPr>
          <w:sz w:val="20"/>
          <w:szCs w:val="20"/>
          <w:color w:val="auto"/>
        </w:rPr>
      </w:pPr>
      <w:r>
        <w:rPr>
          <w:rFonts w:ascii="Times New Roman" w:cs="Times New Roman" w:eastAsia="Times New Roman" w:hAnsi="Times New Roman"/>
          <w:sz w:val="20"/>
          <w:szCs w:val="20"/>
          <w:color w:val="auto"/>
        </w:rPr>
        <w:t>SECTION 10.3</w:t>
      </w:r>
      <w:r>
        <w:rPr>
          <w:sz w:val="20"/>
          <w:szCs w:val="20"/>
          <w:color w:val="auto"/>
        </w:rPr>
        <w:tab/>
      </w:r>
      <w:r>
        <w:rPr>
          <w:rFonts w:ascii="Times New Roman" w:cs="Times New Roman" w:eastAsia="Times New Roman" w:hAnsi="Times New Roman"/>
          <w:sz w:val="19"/>
          <w:szCs w:val="19"/>
          <w:u w:val="single" w:color="auto"/>
          <w:color w:val="auto"/>
        </w:rPr>
        <w:t>Rights and Remedies Cumulative; Non-Waiver; etc.</w:t>
      </w:r>
    </w:p>
    <w:p>
      <w:pPr>
        <w:spacing w:after="0" w:line="211" w:lineRule="exact"/>
        <w:rPr>
          <w:sz w:val="20"/>
          <w:szCs w:val="20"/>
          <w:color w:val="auto"/>
        </w:rPr>
      </w:pPr>
    </w:p>
    <w:p>
      <w:pPr>
        <w:jc w:val="both"/>
        <w:ind w:left="680" w:right="20" w:firstLine="646"/>
        <w:spacing w:after="0" w:line="247" w:lineRule="auto"/>
        <w:tabs>
          <w:tab w:leader="none" w:pos="1927"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enumeration of the rights and remedies of the Administrative Agent and the Lenders set forth in this Agreement is not intended to be exhaustive and the exercise by the Administrative Agent and the Lenders of any right or remedy shall not preclude the exercise of any other rights or remedies, all of which shall be cumulative, and shall be in addition to any other right or remedy given hereunder or under the other Loan Documents or that may now or hereafter exist at law or in equity or by suit or otherwise. No delay or failure to take action on the part of the Administrative Agent or any Lender in exercising any right, power or privilege shall operate as a waiver thereof, nor shall any single or partial exercise of any such right, power or privilege preclude any other or further exercise thereof or the exercise of any other right, power or privilege or shall be construed to be a waiver of any Event of Default. No course of dealing between the Borrowers, the Administrative Agent and the Lenders or their respective agents or employees shall be effective to change, modify or discharge any provision of this Agreement or any of the other Loan Documents or to constitute a waiver of any Event of Default.</w:t>
      </w:r>
    </w:p>
    <w:p>
      <w:pPr>
        <w:spacing w:after="0" w:line="187" w:lineRule="exact"/>
        <w:rPr>
          <w:rFonts w:ascii="Times New Roman" w:cs="Times New Roman" w:eastAsia="Times New Roman" w:hAnsi="Times New Roman"/>
          <w:sz w:val="20"/>
          <w:szCs w:val="20"/>
          <w:color w:val="auto"/>
        </w:rPr>
      </w:pPr>
    </w:p>
    <w:p>
      <w:pPr>
        <w:jc w:val="both"/>
        <w:ind w:left="680" w:firstLine="646"/>
        <w:spacing w:after="0" w:line="248" w:lineRule="auto"/>
        <w:tabs>
          <w:tab w:leader="none" w:pos="1925"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herein or in any other Loan Document, the authority to enforce rights and remedies hereunder and under the other Loan Documents against the Credit Parties or any of them shall be vested exclusively in, and all actions and proceedings at law in connection with such enforcement shall be instituted and maintained exclusively by, the Administrative Agent in accordance with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for the benefit of all the Lenders and the Issuing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any Issuing Lender or any Swingline Lender from exercising the rights and remedies that inure to its benefit (solely in its capacity as an Issuing Lender or Swingline Lender, as the case may be) hereunder and under the other Loan Documents, (c) any Lender from exercising setoff rights in accordance with </w:t>
      </w:r>
      <w:r>
        <w:rPr>
          <w:rFonts w:ascii="Times New Roman" w:cs="Times New Roman" w:eastAsia="Times New Roman" w:hAnsi="Times New Roman"/>
          <w:sz w:val="20"/>
          <w:szCs w:val="20"/>
          <w:u w:val="single" w:color="auto"/>
          <w:color w:val="auto"/>
        </w:rPr>
        <w:t>Section 12.4</w:t>
      </w:r>
      <w:r>
        <w:rPr>
          <w:rFonts w:ascii="Times New Roman" w:cs="Times New Roman" w:eastAsia="Times New Roman" w:hAnsi="Times New Roman"/>
          <w:sz w:val="20"/>
          <w:szCs w:val="20"/>
          <w:color w:val="auto"/>
        </w:rPr>
        <w:t xml:space="preserve"> (subject to the terms of </w:t>
      </w:r>
      <w:r>
        <w:rPr>
          <w:rFonts w:ascii="Times New Roman" w:cs="Times New Roman" w:eastAsia="Times New Roman" w:hAnsi="Times New Roman"/>
          <w:sz w:val="20"/>
          <w:szCs w:val="20"/>
          <w:u w:val="single" w:color="auto"/>
          <w:color w:val="auto"/>
        </w:rPr>
        <w:t>Section 5.6</w:t>
      </w:r>
      <w:r>
        <w:rPr>
          <w:rFonts w:ascii="Times New Roman" w:cs="Times New Roman" w:eastAsia="Times New Roman" w:hAnsi="Times New Roman"/>
          <w:sz w:val="20"/>
          <w:szCs w:val="20"/>
          <w:color w:val="auto"/>
        </w:rPr>
        <w:t xml:space="preserve">), or (d) any Lender from filing proofs of claim or appearing and filing pleadings on its own behalf during the pendency of a proceeding relative to any Credit Party under any Debtor Relief Law;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and (ii) in addition to the matters set forth in clauses (b), (c) and (d) of the preceding proviso and subject to </w:t>
      </w:r>
      <w:r>
        <w:rPr>
          <w:rFonts w:ascii="Times New Roman" w:cs="Times New Roman" w:eastAsia="Times New Roman" w:hAnsi="Times New Roman"/>
          <w:sz w:val="20"/>
          <w:szCs w:val="20"/>
          <w:u w:val="single" w:color="auto"/>
          <w:color w:val="auto"/>
        </w:rPr>
        <w:t>Section 5.6</w:t>
      </w:r>
      <w:r>
        <w:rPr>
          <w:rFonts w:ascii="Times New Roman" w:cs="Times New Roman" w:eastAsia="Times New Roman" w:hAnsi="Times New Roman"/>
          <w:sz w:val="20"/>
          <w:szCs w:val="20"/>
          <w:color w:val="auto"/>
        </w:rPr>
        <w:t>, any Lender may, with the consent of the Required Lenders, enforce any rights and remedies available to it and as authorized by the Required Lenders.</w:t>
      </w:r>
    </w:p>
    <w:p>
      <w:pPr>
        <w:spacing w:after="0" w:line="167" w:lineRule="exact"/>
        <w:rPr>
          <w:sz w:val="20"/>
          <w:szCs w:val="20"/>
          <w:color w:val="auto"/>
        </w:rPr>
      </w:pPr>
    </w:p>
    <w:p>
      <w:pPr>
        <w:jc w:val="both"/>
        <w:ind w:left="680" w:right="40" w:firstLine="642"/>
        <w:spacing w:after="0" w:line="255" w:lineRule="auto"/>
        <w:rPr>
          <w:sz w:val="20"/>
          <w:szCs w:val="20"/>
          <w:color w:val="auto"/>
        </w:rPr>
      </w:pPr>
      <w:r>
        <w:rPr>
          <w:rFonts w:ascii="Times New Roman" w:cs="Times New Roman" w:eastAsia="Times New Roman" w:hAnsi="Times New Roman"/>
          <w:sz w:val="20"/>
          <w:szCs w:val="20"/>
          <w:color w:val="auto"/>
        </w:rPr>
        <w:t xml:space="preserve">SECTION 10.4 </w:t>
      </w:r>
      <w:r>
        <w:rPr>
          <w:rFonts w:ascii="Times New Roman" w:cs="Times New Roman" w:eastAsia="Times New Roman" w:hAnsi="Times New Roman"/>
          <w:sz w:val="20"/>
          <w:szCs w:val="20"/>
          <w:u w:val="single" w:color="auto"/>
          <w:color w:val="auto"/>
        </w:rPr>
        <w:t>Crediting of Payments and Proceeds</w:t>
      </w:r>
      <w:r>
        <w:rPr>
          <w:rFonts w:ascii="Times New Roman" w:cs="Times New Roman" w:eastAsia="Times New Roman" w:hAnsi="Times New Roman"/>
          <w:sz w:val="20"/>
          <w:szCs w:val="20"/>
          <w:color w:val="auto"/>
        </w:rPr>
        <w:t xml:space="preserve">. In the event that the Obligations have been accelerated pursuant to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or the Administrative Agent or any Lender has exercised any remedy set forth in this Agreement or any other Loan Document, all payments received on account of the Secured Obligations and all net proceeds from the enforcement of the Secured Obligations shall be applied:</w:t>
      </w:r>
    </w:p>
    <w:p>
      <w:pPr>
        <w:spacing w:after="0" w:line="173" w:lineRule="exact"/>
        <w:rPr>
          <w:sz w:val="20"/>
          <w:szCs w:val="20"/>
          <w:color w:val="auto"/>
        </w:rPr>
      </w:pPr>
    </w:p>
    <w:p>
      <w:pPr>
        <w:ind w:left="680" w:right="40" w:firstLine="646"/>
        <w:spacing w:after="0" w:line="304" w:lineRule="auto"/>
        <w:tabs>
          <w:tab w:leader="none" w:pos="1927" w:val="left"/>
        </w:tabs>
        <w:numPr>
          <w:ilvl w:val="0"/>
          <w:numId w:val="2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payment received from or on behalf of, or any net proceeds from the enforcement of the Secured Obligations received from or on behalf of, any US Credit Party (or proceeds from any Collateral owned by any US Credit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63">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248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397" w:name="page398"/>
    <w:bookmarkEnd w:id="397"/>
    <w:p>
      <w:pPr>
        <w:spacing w:after="0" w:line="202" w:lineRule="exact"/>
        <w:rPr>
          <w:sz w:val="20"/>
          <w:szCs w:val="20"/>
          <w:color w:val="auto"/>
        </w:rPr>
      </w:pPr>
    </w:p>
    <w:p>
      <w:pPr>
        <w:ind w:left="1320" w:right="60" w:firstLine="642"/>
        <w:spacing w:after="0" w:line="263" w:lineRule="auto"/>
        <w:rPr>
          <w:sz w:val="20"/>
          <w:szCs w:val="20"/>
          <w:color w:val="auto"/>
        </w:rPr>
      </w:pP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to payment of that portion of the US Secured Obligations constituting fees, indemnities, expenses and other amounts, including attorney fees, payable to the Administrative Agent in its capacity as such;</w:t>
      </w:r>
    </w:p>
    <w:p>
      <w:pPr>
        <w:spacing w:after="0" w:line="178" w:lineRule="exact"/>
        <w:rPr>
          <w:sz w:val="20"/>
          <w:szCs w:val="20"/>
          <w:color w:val="auto"/>
        </w:rPr>
      </w:pPr>
    </w:p>
    <w:p>
      <w:pPr>
        <w:jc w:val="both"/>
        <w:ind w:left="1320" w:firstLine="642"/>
        <w:spacing w:after="0" w:line="250" w:lineRule="auto"/>
        <w:rPr>
          <w:sz w:val="20"/>
          <w:szCs w:val="20"/>
          <w:color w:val="auto"/>
        </w:rPr>
      </w:pP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payment of that portion of the US Secured Obligations constituting fees (other than Commitment Fees and Letter of Credit fees payable to the Revolving Credit Lenders), indemnities and other amounts (other than principal and interest) payable to the Lenders, the Issuing Lenders and the Swingline Lenders under the Loan Documents, including attorney fees, ratably among the Lenders, the Issuing Lenders and the Swingline Lenders in proportion to the respective amounts described in this clause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payable to them;</w:t>
      </w:r>
    </w:p>
    <w:p>
      <w:pPr>
        <w:spacing w:after="0" w:line="180" w:lineRule="exact"/>
        <w:rPr>
          <w:sz w:val="20"/>
          <w:szCs w:val="20"/>
          <w:color w:val="auto"/>
        </w:rPr>
      </w:pPr>
    </w:p>
    <w:p>
      <w:pPr>
        <w:jc w:val="both"/>
        <w:ind w:left="1320" w:right="20" w:firstLine="642"/>
        <w:spacing w:after="0" w:line="255" w:lineRule="auto"/>
        <w:rPr>
          <w:sz w:val="20"/>
          <w:szCs w:val="20"/>
          <w:color w:val="auto"/>
        </w:rPr>
      </w:pP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to payment of that portion of the US Secured Obligations constituting accrued and unpaid Commitment Fees, Letter of Credit fees payable to the Revolving Credit Lenders and interest on the Loans and Reimbursement Obligations, ratably among the Lenders, the Issuing Lenders and the Swingline Lenders in proportion to the respective amounts described in this clause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payable to them;</w:t>
      </w:r>
    </w:p>
    <w:p>
      <w:pPr>
        <w:spacing w:after="0" w:line="173" w:lineRule="exact"/>
        <w:rPr>
          <w:sz w:val="20"/>
          <w:szCs w:val="20"/>
          <w:color w:val="auto"/>
        </w:rPr>
      </w:pPr>
    </w:p>
    <w:p>
      <w:pPr>
        <w:jc w:val="both"/>
        <w:ind w:left="1320" w:right="40" w:firstLine="642"/>
        <w:spacing w:after="0" w:line="254" w:lineRule="auto"/>
        <w:rPr>
          <w:sz w:val="20"/>
          <w:szCs w:val="20"/>
          <w:color w:val="auto"/>
        </w:rPr>
      </w:pP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to payment of that portion of the US Secured Obligations constituting unpaid principal of the Loans, Reimbursement Obligations and payment obligations then owing under Secured Hedge Agreements and Secured Cash Management Agreements and to Cash Collateralize any US L/C Obligations then outstanding, ratably among the Lenders, the Issuing Lenders, Swingline Lenders, the Hedge Banks and the Cash Management Banks in proportion to the respective amounts described in this clause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payable to them;</w:t>
      </w:r>
    </w:p>
    <w:p>
      <w:pPr>
        <w:spacing w:after="0" w:line="174" w:lineRule="exact"/>
        <w:rPr>
          <w:sz w:val="20"/>
          <w:szCs w:val="20"/>
          <w:color w:val="auto"/>
        </w:rPr>
      </w:pPr>
    </w:p>
    <w:p>
      <w:pPr>
        <w:ind w:left="1320" w:right="2180" w:firstLine="641"/>
        <w:spacing w:after="0" w:line="263" w:lineRule="auto"/>
        <w:rPr>
          <w:sz w:val="20"/>
          <w:szCs w:val="20"/>
          <w:color w:val="auto"/>
        </w:rPr>
      </w:pP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to the payment of the Canadian Secured Obligations in the order set forth in clause (b) below; and</w:t>
      </w:r>
    </w:p>
    <w:p>
      <w:pPr>
        <w:spacing w:after="0" w:line="151" w:lineRule="exact"/>
        <w:rPr>
          <w:sz w:val="20"/>
          <w:szCs w:val="20"/>
          <w:color w:val="auto"/>
        </w:rPr>
      </w:pPr>
    </w:p>
    <w:p>
      <w:pPr>
        <w:jc w:val="both"/>
        <w:ind w:left="1320" w:right="60" w:firstLine="642"/>
        <w:spacing w:after="0" w:line="277" w:lineRule="auto"/>
        <w:rPr>
          <w:sz w:val="20"/>
          <w:szCs w:val="20"/>
          <w:color w:val="auto"/>
        </w:rPr>
      </w:pPr>
      <w:r>
        <w:rPr>
          <w:rFonts w:ascii="Times New Roman" w:cs="Times New Roman" w:eastAsia="Times New Roman" w:hAnsi="Times New Roman"/>
          <w:sz w:val="20"/>
          <w:szCs w:val="20"/>
          <w:u w:val="single" w:color="auto"/>
          <w:color w:val="auto"/>
        </w:rPr>
        <w:t>Last</w:t>
      </w:r>
      <w:r>
        <w:rPr>
          <w:rFonts w:ascii="Times New Roman" w:cs="Times New Roman" w:eastAsia="Times New Roman" w:hAnsi="Times New Roman"/>
          <w:sz w:val="20"/>
          <w:szCs w:val="20"/>
          <w:color w:val="auto"/>
        </w:rPr>
        <w:t>, the balance, if any, after all of the US Secured Obligations and the Canadian Secured Obligations have been indefeasibly paid in full, to the Borrowers or as otherwise required by Applicable Law.</w:t>
      </w:r>
    </w:p>
    <w:p>
      <w:pPr>
        <w:spacing w:after="0" w:line="151" w:lineRule="exact"/>
        <w:rPr>
          <w:sz w:val="20"/>
          <w:szCs w:val="20"/>
          <w:color w:val="auto"/>
        </w:rPr>
      </w:pPr>
    </w:p>
    <w:p>
      <w:pPr>
        <w:jc w:val="both"/>
        <w:ind w:left="680" w:right="60" w:firstLine="646"/>
        <w:spacing w:after="0" w:line="257" w:lineRule="auto"/>
        <w:tabs>
          <w:tab w:leader="none" w:pos="1613"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payment received from or on behalf of, or any net proceeds from the enforcement of the Secured Obligations received from or on behalf of, any Canadian Credit Party (or proceeds from any Collateral owned by any Canadian Credit Party):</w:t>
      </w:r>
    </w:p>
    <w:p>
      <w:pPr>
        <w:spacing w:after="0" w:line="184" w:lineRule="exact"/>
        <w:rPr>
          <w:sz w:val="20"/>
          <w:szCs w:val="20"/>
          <w:color w:val="auto"/>
        </w:rPr>
      </w:pPr>
    </w:p>
    <w:p>
      <w:pPr>
        <w:jc w:val="both"/>
        <w:ind w:left="1380" w:right="60" w:firstLine="642"/>
        <w:spacing w:after="0" w:line="263" w:lineRule="auto"/>
        <w:rPr>
          <w:sz w:val="20"/>
          <w:szCs w:val="20"/>
          <w:color w:val="auto"/>
        </w:rPr>
      </w:pP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to payment of that portion of the Canadian Secured Obligations constituting fees, indemnities, expenses and other amounts, including attorney fees, payable to the Administrative Agent in its capacity as such;</w:t>
      </w:r>
    </w:p>
    <w:p>
      <w:pPr>
        <w:spacing w:after="0" w:line="178" w:lineRule="exact"/>
        <w:rPr>
          <w:sz w:val="20"/>
          <w:szCs w:val="20"/>
          <w:color w:val="auto"/>
        </w:rPr>
      </w:pPr>
    </w:p>
    <w:p>
      <w:pPr>
        <w:jc w:val="both"/>
        <w:ind w:left="1380" w:right="40" w:firstLine="642"/>
        <w:spacing w:after="0" w:line="250" w:lineRule="auto"/>
        <w:rPr>
          <w:sz w:val="20"/>
          <w:szCs w:val="20"/>
          <w:color w:val="auto"/>
        </w:rPr>
      </w:pP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payment of that portion of the Canadian Secured Obligations constituting fees (other than Commitment Fees and Letter of Credit fees payable to the Revolving Credit Lenders), indemnities and other amounts (other than principal and interest) payable to the Lenders, the Issuing Lenders and the Swingline Lenders under the Loan Documents, including attorney fees, ratably among the Lenders, the Issuing Lenders and the Swingline Lenders in proportion to the respective amounts described in this clause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payable to them;</w:t>
      </w:r>
    </w:p>
    <w:p>
      <w:pPr>
        <w:spacing w:after="0" w:line="180" w:lineRule="exact"/>
        <w:rPr>
          <w:sz w:val="20"/>
          <w:szCs w:val="20"/>
          <w:color w:val="auto"/>
        </w:rPr>
      </w:pPr>
    </w:p>
    <w:p>
      <w:pPr>
        <w:jc w:val="both"/>
        <w:ind w:left="1380" w:right="60" w:firstLine="642"/>
        <w:spacing w:after="0" w:line="264" w:lineRule="auto"/>
        <w:rPr>
          <w:sz w:val="20"/>
          <w:szCs w:val="20"/>
          <w:color w:val="auto"/>
        </w:rPr>
      </w:pP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to payment of that portion of the Canadian Secured Obligations constituting accrued and unpaid Commitment Fees and Letter of Credit fees payable to the Revolving Credit Lenders and interest on the Loans and the Reimbursement Obligations, ratably among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64">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249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20"/>
          </w:cols>
          <w:pgMar w:left="320" w:top="1440" w:right="459" w:bottom="1440" w:gutter="0" w:footer="0" w:header="0"/>
        </w:sectPr>
      </w:pPr>
    </w:p>
    <w:bookmarkStart w:id="398" w:name="page399"/>
    <w:bookmarkEnd w:id="398"/>
    <w:p>
      <w:pPr>
        <w:spacing w:after="0" w:line="202" w:lineRule="exact"/>
        <w:rPr>
          <w:sz w:val="20"/>
          <w:szCs w:val="20"/>
          <w:color w:val="auto"/>
        </w:rPr>
      </w:pPr>
    </w:p>
    <w:p>
      <w:pPr>
        <w:ind w:left="1380" w:right="340"/>
        <w:spacing w:after="0" w:line="263" w:lineRule="auto"/>
        <w:rPr>
          <w:sz w:val="20"/>
          <w:szCs w:val="20"/>
          <w:color w:val="auto"/>
        </w:rPr>
      </w:pPr>
      <w:r>
        <w:rPr>
          <w:rFonts w:ascii="Times New Roman" w:cs="Times New Roman" w:eastAsia="Times New Roman" w:hAnsi="Times New Roman"/>
          <w:sz w:val="20"/>
          <w:szCs w:val="20"/>
          <w:color w:val="auto"/>
        </w:rPr>
        <w:t xml:space="preserve">Lenders, the Issuing Lenders and the Swingline Lenders in proportion to the respective amounts described in this clause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payable to them;</w:t>
      </w:r>
    </w:p>
    <w:p>
      <w:pPr>
        <w:spacing w:after="0" w:line="178" w:lineRule="exact"/>
        <w:rPr>
          <w:sz w:val="20"/>
          <w:szCs w:val="20"/>
          <w:color w:val="auto"/>
        </w:rPr>
      </w:pPr>
    </w:p>
    <w:p>
      <w:pPr>
        <w:jc w:val="both"/>
        <w:ind w:left="1380" w:right="40" w:firstLine="642"/>
        <w:spacing w:after="0" w:line="250" w:lineRule="auto"/>
        <w:rPr>
          <w:sz w:val="20"/>
          <w:szCs w:val="20"/>
          <w:color w:val="auto"/>
        </w:rPr>
      </w:pP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to payment of that portion of the Canadian Secured Obligations constituting unpaid principal of the Loans, Reimbursement Obligations and payment obligations then owing under Secured Hedge Agreements with Canadian Hedge Banks and Secured Cash Management Agreements with Canadian Cash Management Banks and to Cash Collateralize any Canadian L/C Obligations then outstanding, ratably among the Lenders, the Issuing Lenders and the Swingline Lenders, the Canadian Hedge Banks and the Canadian Cash Management Banks in proportion to the respective amounts described in this clause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payable to them; and</w:t>
      </w:r>
    </w:p>
    <w:p>
      <w:pPr>
        <w:spacing w:after="0" w:line="181" w:lineRule="exact"/>
        <w:rPr>
          <w:sz w:val="20"/>
          <w:szCs w:val="20"/>
          <w:color w:val="auto"/>
        </w:rPr>
      </w:pPr>
    </w:p>
    <w:p>
      <w:pPr>
        <w:jc w:val="both"/>
        <w:ind w:left="1380" w:right="60" w:firstLine="642"/>
        <w:spacing w:after="0" w:line="263" w:lineRule="auto"/>
        <w:rPr>
          <w:sz w:val="20"/>
          <w:szCs w:val="20"/>
          <w:color w:val="auto"/>
        </w:rPr>
      </w:pPr>
      <w:r>
        <w:rPr>
          <w:rFonts w:ascii="Times New Roman" w:cs="Times New Roman" w:eastAsia="Times New Roman" w:hAnsi="Times New Roman"/>
          <w:sz w:val="20"/>
          <w:szCs w:val="20"/>
          <w:u w:val="single" w:color="auto"/>
          <w:color w:val="auto"/>
        </w:rPr>
        <w:t>Last</w:t>
      </w:r>
      <w:r>
        <w:rPr>
          <w:rFonts w:ascii="Times New Roman" w:cs="Times New Roman" w:eastAsia="Times New Roman" w:hAnsi="Times New Roman"/>
          <w:sz w:val="20"/>
          <w:szCs w:val="20"/>
          <w:color w:val="auto"/>
        </w:rPr>
        <w:t>, the balance, if any, after all of the Canadian Secured Obligations have been indefeasibly paid in full, to the Canadian Borrowers or as otherwise required by Applicable Law.</w:t>
      </w:r>
    </w:p>
    <w:p>
      <w:pPr>
        <w:spacing w:after="0" w:line="178" w:lineRule="exact"/>
        <w:rPr>
          <w:sz w:val="20"/>
          <w:szCs w:val="20"/>
          <w:color w:val="auto"/>
        </w:rPr>
      </w:pPr>
    </w:p>
    <w:p>
      <w:pPr>
        <w:jc w:val="both"/>
        <w:ind w:left="680" w:right="60" w:firstLine="642"/>
        <w:spacing w:after="0" w:line="249" w:lineRule="auto"/>
        <w:rPr>
          <w:sz w:val="20"/>
          <w:szCs w:val="20"/>
          <w:color w:val="auto"/>
        </w:rPr>
      </w:pPr>
      <w:r>
        <w:rPr>
          <w:rFonts w:ascii="Times New Roman" w:cs="Times New Roman" w:eastAsia="Times New Roman" w:hAnsi="Times New Roman"/>
          <w:sz w:val="20"/>
          <w:szCs w:val="20"/>
          <w:color w:val="auto"/>
        </w:rPr>
        <w:t>Notwithstanding the foregoing, Secured Obligations arising under Secured Cash Management Agreements and Secured Hedge Agreements shall be excluded from the application described above if the Administrative Agent has not received written notice thereof, together with such supporting documentation as the Administrative Agent may request, from the applicable Cash Management Bank or Hedge Bank, as the case may be, following such acceleration or exercise of remedies and at least three</w:t>
      </w:r>
    </w:p>
    <w:p>
      <w:pPr>
        <w:spacing w:after="0" w:line="4" w:lineRule="exact"/>
        <w:rPr>
          <w:sz w:val="20"/>
          <w:szCs w:val="20"/>
          <w:color w:val="auto"/>
        </w:rPr>
      </w:pPr>
    </w:p>
    <w:p>
      <w:pPr>
        <w:jc w:val="both"/>
        <w:ind w:left="680" w:firstLine="4"/>
        <w:spacing w:after="0" w:line="247" w:lineRule="auto"/>
        <w:tabs>
          <w:tab w:leader="none" w:pos="1283"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Business Days prior to the application of the proceeds thereof. Each Cash Management Bank or Hedge Bank that is not a party to this Agreement that has given the notice contemplated by the preceding sentence shall, by such notice, be deemed to have acknowledged and accepted the appointment of the Administrative Agent pursuant to the terms of </w:t>
      </w:r>
      <w:r>
        <w:rPr>
          <w:rFonts w:ascii="Times New Roman" w:cs="Times New Roman" w:eastAsia="Times New Roman" w:hAnsi="Times New Roman"/>
          <w:sz w:val="20"/>
          <w:szCs w:val="20"/>
          <w:u w:val="single" w:color="auto"/>
          <w:color w:val="auto"/>
        </w:rPr>
        <w:t>Article XI</w:t>
      </w:r>
      <w:r>
        <w:rPr>
          <w:rFonts w:ascii="Times New Roman" w:cs="Times New Roman" w:eastAsia="Times New Roman" w:hAnsi="Times New Roman"/>
          <w:sz w:val="20"/>
          <w:szCs w:val="20"/>
          <w:color w:val="auto"/>
        </w:rPr>
        <w:t xml:space="preserve"> for itself and its Affiliates as if a “Lender” party hereto.</w:t>
      </w:r>
    </w:p>
    <w:p>
      <w:pPr>
        <w:spacing w:after="0" w:line="181" w:lineRule="exact"/>
        <w:rPr>
          <w:sz w:val="20"/>
          <w:szCs w:val="20"/>
          <w:color w:val="auto"/>
        </w:rPr>
      </w:pPr>
    </w:p>
    <w:p>
      <w:pPr>
        <w:jc w:val="both"/>
        <w:ind w:left="680" w:right="60" w:firstLine="642"/>
        <w:spacing w:after="0" w:line="250" w:lineRule="auto"/>
        <w:rPr>
          <w:sz w:val="20"/>
          <w:szCs w:val="20"/>
          <w:color w:val="auto"/>
        </w:rPr>
      </w:pPr>
      <w:r>
        <w:rPr>
          <w:rFonts w:ascii="Times New Roman" w:cs="Times New Roman" w:eastAsia="Times New Roman" w:hAnsi="Times New Roman"/>
          <w:sz w:val="20"/>
          <w:szCs w:val="20"/>
          <w:color w:val="auto"/>
        </w:rPr>
        <w:t xml:space="preserve">SECTION 10.5 </w:t>
      </w:r>
      <w:r>
        <w:rPr>
          <w:rFonts w:ascii="Times New Roman" w:cs="Times New Roman" w:eastAsia="Times New Roman" w:hAnsi="Times New Roman"/>
          <w:sz w:val="20"/>
          <w:szCs w:val="20"/>
          <w:u w:val="single" w:color="auto"/>
          <w:color w:val="auto"/>
        </w:rPr>
        <w:t>Administrative Agent May File Proofs of Claim</w:t>
      </w:r>
      <w:r>
        <w:rPr>
          <w:rFonts w:ascii="Times New Roman" w:cs="Times New Roman" w:eastAsia="Times New Roman" w:hAnsi="Times New Roman"/>
          <w:sz w:val="20"/>
          <w:szCs w:val="20"/>
          <w:color w:val="auto"/>
        </w:rPr>
        <w:t>. In case of the pendency of any proceeding under any Debtor Relief Law or any other judicial proceeding relative to any Credit Party, the Administrative Agent (irrespective of whether the principal of any Loan or L/C Obligation shall then be due and payable as herein expressed or by declaration or otherwise and irrespective of whether the Administrative Agent shall have made any demand on any Borrower) shall be entitled and empowered (but not obligated) by intervention in such proceeding or otherwise:</w:t>
      </w:r>
    </w:p>
    <w:p>
      <w:pPr>
        <w:spacing w:after="0" w:line="180" w:lineRule="exact"/>
        <w:rPr>
          <w:sz w:val="20"/>
          <w:szCs w:val="20"/>
          <w:color w:val="auto"/>
        </w:rPr>
      </w:pPr>
    </w:p>
    <w:p>
      <w:pPr>
        <w:jc w:val="both"/>
        <w:ind w:left="680" w:right="60" w:firstLine="646"/>
        <w:spacing w:after="0" w:line="250" w:lineRule="auto"/>
        <w:tabs>
          <w:tab w:leader="none" w:pos="1927"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file and prove a claim for the whole amount of the principal and interest owing and unpaid in respect of the Loans, L/C Obligations and all other Secured Obligations that are owing and unpaid and to file such other documents as may be necessary or advisable in order to have the claims of the Lenders, the Issuing Lenders and the Administrative Agent (including any claim for the reasonable compensation, expenses, disbursements and advances of the Lenders, the Issuing Lenders and the Administrative Agent and their respective agents and counsel and all other amounts due the Lenders, the Issuing Lenders and the Administrative Agent under </w:t>
      </w:r>
      <w:r>
        <w:rPr>
          <w:rFonts w:ascii="Times New Roman" w:cs="Times New Roman" w:eastAsia="Times New Roman" w:hAnsi="Times New Roman"/>
          <w:sz w:val="20"/>
          <w:szCs w:val="20"/>
          <w:u w:val="single" w:color="auto"/>
          <w:color w:val="auto"/>
        </w:rPr>
        <w:t>Sections 3.3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12.3</w:t>
      </w:r>
      <w:r>
        <w:rPr>
          <w:rFonts w:ascii="Times New Roman" w:cs="Times New Roman" w:eastAsia="Times New Roman" w:hAnsi="Times New Roman"/>
          <w:sz w:val="20"/>
          <w:szCs w:val="20"/>
          <w:color w:val="auto"/>
        </w:rPr>
        <w:t>) allowed in such judicial proceeding; and</w:t>
      </w:r>
    </w:p>
    <w:p>
      <w:pPr>
        <w:spacing w:after="0" w:line="180" w:lineRule="exact"/>
        <w:rPr>
          <w:rFonts w:ascii="Times New Roman" w:cs="Times New Roman" w:eastAsia="Times New Roman" w:hAnsi="Times New Roman"/>
          <w:sz w:val="20"/>
          <w:szCs w:val="20"/>
          <w:color w:val="auto"/>
        </w:rPr>
      </w:pPr>
    </w:p>
    <w:p>
      <w:pPr>
        <w:ind w:left="1920" w:hanging="594"/>
        <w:spacing w:after="0"/>
        <w:tabs>
          <w:tab w:leader="none" w:pos="1920"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collect and receive any monies or other property payable or deliverable on any such claims and to distribute the</w:t>
      </w:r>
    </w:p>
    <w:p>
      <w:pPr>
        <w:spacing w:after="0" w:line="24" w:lineRule="exact"/>
        <w:rPr>
          <w:rFonts w:ascii="Times New Roman" w:cs="Times New Roman" w:eastAsia="Times New Roman" w:hAnsi="Times New Roman"/>
          <w:sz w:val="20"/>
          <w:szCs w:val="20"/>
          <w:color w:val="auto"/>
        </w:rPr>
      </w:pPr>
    </w:p>
    <w:p>
      <w:pPr>
        <w:ind w:left="6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same;</w:t>
      </w:r>
    </w:p>
    <w:p>
      <w:pPr>
        <w:spacing w:after="0" w:line="211" w:lineRule="exact"/>
        <w:rPr>
          <w:sz w:val="20"/>
          <w:szCs w:val="20"/>
          <w:color w:val="auto"/>
        </w:rPr>
      </w:pPr>
    </w:p>
    <w:p>
      <w:pPr>
        <w:jc w:val="both"/>
        <w:ind w:left="680" w:right="40"/>
        <w:spacing w:after="0" w:line="250" w:lineRule="auto"/>
        <w:rPr>
          <w:sz w:val="20"/>
          <w:szCs w:val="20"/>
          <w:color w:val="auto"/>
        </w:rPr>
      </w:pPr>
      <w:r>
        <w:rPr>
          <w:rFonts w:ascii="Times New Roman" w:cs="Times New Roman" w:eastAsia="Times New Roman" w:hAnsi="Times New Roman"/>
          <w:sz w:val="20"/>
          <w:szCs w:val="20"/>
          <w:color w:val="auto"/>
        </w:rPr>
        <w:t>and any custodian, receiver, assignee, trustee, liquidator, sequestrator or other similar official in any such judicial proceeding is hereby authorized by each Lender and each Issuing Lender to make such payments to the Administrative Agent and, in the event that the Administrative Agent shall consent to the making of such payments directly to the Lenders and the Issuing Lenders, to pay to the Administrative Agent any amount due for the reasonable compensation, expenses, disbursements and advances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65">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250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20"/>
          </w:cols>
          <w:pgMar w:left="320" w:top="1440" w:right="459" w:bottom="1440" w:gutter="0" w:footer="0" w:header="0"/>
        </w:sectPr>
      </w:pPr>
    </w:p>
    <w:bookmarkStart w:id="399" w:name="page400"/>
    <w:bookmarkEnd w:id="399"/>
    <w:p>
      <w:pPr>
        <w:spacing w:after="0" w:line="201" w:lineRule="exact"/>
        <w:rPr>
          <w:sz w:val="20"/>
          <w:szCs w:val="20"/>
          <w:color w:val="auto"/>
        </w:rPr>
      </w:pPr>
    </w:p>
    <w:p>
      <w:pPr>
        <w:ind w:left="680" w:right="180"/>
        <w:spacing w:after="0" w:line="263" w:lineRule="auto"/>
        <w:rPr>
          <w:sz w:val="20"/>
          <w:szCs w:val="20"/>
          <w:color w:val="auto"/>
        </w:rPr>
      </w:pPr>
      <w:r>
        <w:rPr>
          <w:rFonts w:ascii="Times New Roman" w:cs="Times New Roman" w:eastAsia="Times New Roman" w:hAnsi="Times New Roman"/>
          <w:sz w:val="20"/>
          <w:szCs w:val="20"/>
          <w:color w:val="auto"/>
        </w:rPr>
        <w:t xml:space="preserve">Administrative Agent and its agents and counsel, and any other amounts due the Administrative Agent under </w:t>
      </w:r>
      <w:r>
        <w:rPr>
          <w:rFonts w:ascii="Times New Roman" w:cs="Times New Roman" w:eastAsia="Times New Roman" w:hAnsi="Times New Roman"/>
          <w:sz w:val="20"/>
          <w:szCs w:val="20"/>
          <w:u w:val="single" w:color="auto"/>
          <w:color w:val="auto"/>
        </w:rPr>
        <w:t>Sections 3.3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12.3</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jc w:val="both"/>
        <w:ind w:left="680" w:right="20" w:firstLine="642"/>
        <w:spacing w:after="0" w:line="250" w:lineRule="auto"/>
        <w:rPr>
          <w:sz w:val="20"/>
          <w:szCs w:val="20"/>
          <w:color w:val="auto"/>
        </w:rPr>
      </w:pPr>
      <w:r>
        <w:rPr>
          <w:rFonts w:ascii="Times New Roman" w:cs="Times New Roman" w:eastAsia="Times New Roman" w:hAnsi="Times New Roman"/>
          <w:sz w:val="20"/>
          <w:szCs w:val="20"/>
          <w:color w:val="auto"/>
        </w:rPr>
        <w:t>Nothing contained herein shall be deemed to authorize the Administrative Agent to authorize or consent to or accept or adopt on behalf of any Lender or any Issuing Lender any plan of reorganization, arrangement, adjustment or composition affecting the Obligations or the rights of any Lender or any Issuing Lender to authorize the Administrative Agent to vote in respect of the claim of any Lender or any Issuing Lender in any such proceeding.</w:t>
      </w:r>
    </w:p>
    <w:p>
      <w:pPr>
        <w:spacing w:after="0" w:line="192" w:lineRule="exact"/>
        <w:rPr>
          <w:sz w:val="20"/>
          <w:szCs w:val="20"/>
          <w:color w:val="auto"/>
        </w:rPr>
      </w:pPr>
    </w:p>
    <w:p>
      <w:pPr>
        <w:ind w:left="1320"/>
        <w:spacing w:after="0"/>
        <w:tabs>
          <w:tab w:leader="none" w:pos="2720" w:val="left"/>
        </w:tabs>
        <w:rPr>
          <w:sz w:val="20"/>
          <w:szCs w:val="20"/>
          <w:color w:val="auto"/>
        </w:rPr>
      </w:pPr>
      <w:r>
        <w:rPr>
          <w:rFonts w:ascii="Times New Roman" w:cs="Times New Roman" w:eastAsia="Times New Roman" w:hAnsi="Times New Roman"/>
          <w:sz w:val="20"/>
          <w:szCs w:val="20"/>
          <w:color w:val="auto"/>
        </w:rPr>
        <w:t>SECTION 10.6</w:t>
      </w:r>
      <w:r>
        <w:rPr>
          <w:sz w:val="20"/>
          <w:szCs w:val="20"/>
          <w:color w:val="auto"/>
        </w:rPr>
        <w:tab/>
      </w:r>
      <w:r>
        <w:rPr>
          <w:rFonts w:ascii="Times New Roman" w:cs="Times New Roman" w:eastAsia="Times New Roman" w:hAnsi="Times New Roman"/>
          <w:sz w:val="19"/>
          <w:szCs w:val="19"/>
          <w:u w:val="single" w:color="auto"/>
          <w:color w:val="auto"/>
        </w:rPr>
        <w:t>Credit Bidding</w:t>
      </w:r>
      <w:r>
        <w:rPr>
          <w:rFonts w:ascii="Times New Roman" w:cs="Times New Roman" w:eastAsia="Times New Roman" w:hAnsi="Times New Roman"/>
          <w:sz w:val="19"/>
          <w:szCs w:val="19"/>
          <w:color w:val="auto"/>
        </w:rPr>
        <w:t>.</w:t>
      </w:r>
    </w:p>
    <w:p>
      <w:pPr>
        <w:spacing w:after="0" w:line="211" w:lineRule="exact"/>
        <w:rPr>
          <w:sz w:val="20"/>
          <w:szCs w:val="20"/>
          <w:color w:val="auto"/>
        </w:rPr>
      </w:pPr>
    </w:p>
    <w:p>
      <w:pPr>
        <w:jc w:val="both"/>
        <w:ind w:left="680" w:firstLine="646"/>
        <w:spacing w:after="0" w:line="262" w:lineRule="auto"/>
        <w:tabs>
          <w:tab w:leader="none" w:pos="1927" w:val="left"/>
        </w:tabs>
        <w:numPr>
          <w:ilvl w:val="0"/>
          <w:numId w:val="3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Administrative Agent, on behalf of itself and the Secured Parties, shall have the right, exercisable at the discretion of the Required Lenders, to credit bid and purchase for the benefit of the Administrative Agent and the Secured Parties all or any portion of Collateral at any sale thereof conducted by the Administrative Agent under the provisions of the UCC, and/or the PPSA, as applicable, including pursuant to Sections 9-610 or 9-620 of the UCC, at any sale thereof conducted under the provisions of the United States Bankruptcy Code, including Section 363 thereof or any of the applicable Debtor Relief Laws, or a sale under a plan of reorganization, or at any other sale or foreclosure conducted by the Administrative Agent (whether by judicial action or otherwise) in accordance with Applicable Law. Such credit bid or purchase may be completed through one or more acquisition vehicles formed by the Administrative Agent to make such credit bid or purchase and, in connection therewith, the Administrative Agent is authorized, on behalf of itself and the other Secured Parties, to adopt documents providing for the governance of the acquisition vehicle or vehicles, and assign the applicable Secured Obligations to any such acquisition vehicle in exchange for Equity Interests and/or debt issued by the applicable acquisition vehicle (which shall be deemed to be held for the ratable account of the applicable Secured Parties on the basis of the Secured Obligations so assigned by each Secured Party);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Times New Roman" w:cs="Times New Roman" w:eastAsia="Times New Roman" w:hAnsi="Times New Roman"/>
          <w:sz w:val="19"/>
          <w:szCs w:val="19"/>
          <w:u w:val="single" w:color="auto"/>
          <w:color w:val="auto"/>
        </w:rPr>
        <w:t>Section 12.2</w:t>
      </w:r>
      <w:r>
        <w:rPr>
          <w:rFonts w:ascii="Times New Roman" w:cs="Times New Roman" w:eastAsia="Times New Roman" w:hAnsi="Times New Roman"/>
          <w:sz w:val="19"/>
          <w:szCs w:val="19"/>
          <w:color w:val="auto"/>
        </w:rPr>
        <w:t>.</w:t>
      </w:r>
    </w:p>
    <w:p>
      <w:pPr>
        <w:spacing w:after="0" w:line="153" w:lineRule="exact"/>
        <w:rPr>
          <w:rFonts w:ascii="Times New Roman" w:cs="Times New Roman" w:eastAsia="Times New Roman" w:hAnsi="Times New Roman"/>
          <w:sz w:val="19"/>
          <w:szCs w:val="19"/>
          <w:color w:val="auto"/>
        </w:rPr>
      </w:pPr>
    </w:p>
    <w:p>
      <w:pPr>
        <w:jc w:val="both"/>
        <w:ind w:left="680" w:right="40" w:firstLine="646"/>
        <w:spacing w:after="0" w:line="250" w:lineRule="auto"/>
        <w:tabs>
          <w:tab w:leader="none" w:pos="1925"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hereby agrees, on behalf of itself and each of its Affiliates that is a Secured Party, that, except as otherwise provided in any Loan Document or with the written consent of the Administrative Agent and the Required Lenders, it will not take any enforcement action, accelerate obligations under any Loan Documents, or exercise any right that it might otherwise have under Applicable Law to credit bid at foreclosure sales, UCC and/or PPSA sales, as applicable, or other similar dispositions of Collateral.</w:t>
      </w:r>
    </w:p>
    <w:p>
      <w:pPr>
        <w:spacing w:after="0" w:line="180" w:lineRule="exact"/>
        <w:rPr>
          <w:sz w:val="20"/>
          <w:szCs w:val="20"/>
          <w:color w:val="auto"/>
        </w:rPr>
      </w:pPr>
    </w:p>
    <w:p>
      <w:pPr>
        <w:jc w:val="both"/>
        <w:ind w:left="680" w:right="40" w:firstLine="642"/>
        <w:spacing w:after="0" w:line="249" w:lineRule="auto"/>
        <w:rPr>
          <w:sz w:val="20"/>
          <w:szCs w:val="20"/>
          <w:color w:val="auto"/>
        </w:rPr>
      </w:pPr>
      <w:r>
        <w:rPr>
          <w:rFonts w:ascii="Times New Roman" w:cs="Times New Roman" w:eastAsia="Times New Roman" w:hAnsi="Times New Roman"/>
          <w:sz w:val="20"/>
          <w:szCs w:val="20"/>
          <w:color w:val="auto"/>
        </w:rPr>
        <w:t xml:space="preserve">SECTION 10.7 </w:t>
      </w:r>
      <w:r>
        <w:rPr>
          <w:rFonts w:ascii="Times New Roman" w:cs="Times New Roman" w:eastAsia="Times New Roman" w:hAnsi="Times New Roman"/>
          <w:sz w:val="20"/>
          <w:szCs w:val="20"/>
          <w:u w:val="single" w:color="auto"/>
          <w:color w:val="auto"/>
        </w:rPr>
        <w:t>Judgment Currency</w:t>
      </w:r>
      <w:r>
        <w:rPr>
          <w:rFonts w:ascii="Times New Roman" w:cs="Times New Roman" w:eastAsia="Times New Roman" w:hAnsi="Times New Roman"/>
          <w:sz w:val="20"/>
          <w:szCs w:val="20"/>
          <w:color w:val="auto"/>
        </w:rPr>
        <w:t xml:space="preserve">. If, for the purpose of obtaining judgment in any court or obtaining an order enforcing a judgment, it becomes necessary to convert any amount due under this Agreement in Dollars or in any other currency (hereinafter in this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xml:space="preserve"> called the “first currency”) into any other currency (hereinafter in this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xml:space="preserve"> called the “second currency”), then the conversion shall be made at the Administrative Agent’s spot rate of exchange for buying the first currency with the second currency prevailing at the Administrative Agent’s close of business on the Business Day next preceding the day on which the judgment is given or (as the case may be) the order is made. Any payment made by a Credit Party to any Secured Party pursuant to this Agreement in the second currency shall constitute a discharge of the obligations of any applicable Credit Parties to pay to such Secured Party any amount originally due to the Secured Party in the first currency under this Agreement only to the extent of the amount of the first currency which such Secured Party is able, on the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66">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251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400" w:name="page401"/>
    <w:bookmarkEnd w:id="400"/>
    <w:p>
      <w:pPr>
        <w:spacing w:after="0" w:line="94" w:lineRule="exact"/>
        <w:rPr>
          <w:sz w:val="20"/>
          <w:szCs w:val="20"/>
          <w:color w:val="auto"/>
        </w:rPr>
      </w:pPr>
    </w:p>
    <w:p>
      <w:pPr>
        <w:ind w:left="680"/>
        <w:spacing w:after="0" w:line="263" w:lineRule="auto"/>
        <w:rPr>
          <w:sz w:val="20"/>
          <w:szCs w:val="20"/>
          <w:color w:val="auto"/>
        </w:rPr>
      </w:pPr>
      <w:r>
        <w:rPr>
          <w:rFonts w:ascii="Times New Roman" w:cs="Times New Roman" w:eastAsia="Times New Roman" w:hAnsi="Times New Roman"/>
          <w:sz w:val="20"/>
          <w:szCs w:val="20"/>
          <w:color w:val="auto"/>
        </w:rPr>
        <w:t>date of the receipt by it of such payment in any second currency, to purchase, in accordance with such Secured Party’s normal banking procedures, with the amount of such second currency so received.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67">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252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060"/>
          </w:cols>
          <w:pgMar w:left="320" w:top="1440" w:right="519" w:bottom="1440" w:gutter="0" w:footer="0" w:header="0"/>
        </w:sectPr>
      </w:pPr>
    </w:p>
    <w:bookmarkStart w:id="401" w:name="page402"/>
    <w:bookmarkEnd w:id="401"/>
    <w:p>
      <w:pPr>
        <w:spacing w:after="0" w:line="201" w:lineRule="exact"/>
        <w:rPr>
          <w:sz w:val="20"/>
          <w:szCs w:val="20"/>
          <w:color w:val="auto"/>
        </w:rPr>
      </w:pPr>
    </w:p>
    <w:p>
      <w:pPr>
        <w:jc w:val="both"/>
        <w:ind w:left="680" w:right="20"/>
        <w:spacing w:after="0" w:line="250" w:lineRule="auto"/>
        <w:rPr>
          <w:sz w:val="20"/>
          <w:szCs w:val="20"/>
          <w:color w:val="auto"/>
        </w:rPr>
      </w:pPr>
      <w:r>
        <w:rPr>
          <w:rFonts w:ascii="Times New Roman" w:cs="Times New Roman" w:eastAsia="Times New Roman" w:hAnsi="Times New Roman"/>
          <w:sz w:val="20"/>
          <w:szCs w:val="20"/>
          <w:color w:val="auto"/>
        </w:rPr>
        <w:t xml:space="preserve">amount of the first currency falls short of the amount originally due to such Secured Party in the first currency under this Agreement, the Credit Parties agree that they will indemnify each Secured Party against and save such Secured Party harmless from any shortfall so arising. If the amount of the first currency exceeds the amount originally due to a Secured Party in the first currency under this Agreement, such Secured Party shall promptly remit such excess to the Credit Parties. The covenants contained in this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xml:space="preserve"> shall survive the termination of the Loan Documents and payment of the obligations hereunder.</w:t>
      </w:r>
    </w:p>
    <w:p>
      <w:pPr>
        <w:spacing w:after="0" w:line="1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ARTICLE XI</w:t>
      </w:r>
    </w:p>
    <w:p>
      <w:pPr>
        <w:spacing w:after="0" w:line="22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THE ADMINISTRATIVE AGENT</w:t>
      </w:r>
    </w:p>
    <w:p>
      <w:pPr>
        <w:spacing w:after="0" w:line="225" w:lineRule="exact"/>
        <w:rPr>
          <w:sz w:val="20"/>
          <w:szCs w:val="20"/>
          <w:color w:val="auto"/>
        </w:rPr>
      </w:pPr>
    </w:p>
    <w:p>
      <w:pPr>
        <w:ind w:left="1320"/>
        <w:spacing w:after="0"/>
        <w:tabs>
          <w:tab w:leader="none" w:pos="2720" w:val="left"/>
        </w:tabs>
        <w:rPr>
          <w:sz w:val="20"/>
          <w:szCs w:val="20"/>
          <w:color w:val="auto"/>
        </w:rPr>
      </w:pPr>
      <w:r>
        <w:rPr>
          <w:rFonts w:ascii="Times New Roman" w:cs="Times New Roman" w:eastAsia="Times New Roman" w:hAnsi="Times New Roman"/>
          <w:sz w:val="20"/>
          <w:szCs w:val="20"/>
          <w:color w:val="auto"/>
        </w:rPr>
        <w:t>SECTION 11.1</w:t>
      </w:r>
      <w:r>
        <w:rPr>
          <w:sz w:val="20"/>
          <w:szCs w:val="20"/>
          <w:color w:val="auto"/>
        </w:rPr>
        <w:tab/>
      </w:r>
      <w:r>
        <w:rPr>
          <w:rFonts w:ascii="Times New Roman" w:cs="Times New Roman" w:eastAsia="Times New Roman" w:hAnsi="Times New Roman"/>
          <w:sz w:val="19"/>
          <w:szCs w:val="19"/>
          <w:u w:val="single" w:color="auto"/>
          <w:color w:val="auto"/>
        </w:rPr>
        <w:t>Appointment and Authority</w:t>
      </w:r>
      <w:r>
        <w:rPr>
          <w:rFonts w:ascii="Times New Roman" w:cs="Times New Roman" w:eastAsia="Times New Roman" w:hAnsi="Times New Roman"/>
          <w:sz w:val="19"/>
          <w:szCs w:val="19"/>
          <w:color w:val="auto"/>
        </w:rPr>
        <w:t>.</w:t>
      </w:r>
    </w:p>
    <w:p>
      <w:pPr>
        <w:spacing w:after="0" w:line="211" w:lineRule="exact"/>
        <w:rPr>
          <w:sz w:val="20"/>
          <w:szCs w:val="20"/>
          <w:color w:val="auto"/>
        </w:rPr>
      </w:pPr>
    </w:p>
    <w:p>
      <w:pPr>
        <w:jc w:val="both"/>
        <w:ind w:left="680" w:right="20" w:firstLine="646"/>
        <w:spacing w:after="0" w:line="249" w:lineRule="auto"/>
        <w:tabs>
          <w:tab w:leader="none" w:pos="1927" w:val="left"/>
        </w:tabs>
        <w:numPr>
          <w:ilvl w:val="0"/>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of the Lenders and each Issuing Lender hereby irrevocably appoints, designates and authorizes Wells Fargo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Except as provided in </w:t>
      </w:r>
      <w:r>
        <w:rPr>
          <w:rFonts w:ascii="Times New Roman" w:cs="Times New Roman" w:eastAsia="Times New Roman" w:hAnsi="Times New Roman"/>
          <w:sz w:val="20"/>
          <w:szCs w:val="20"/>
          <w:u w:val="single" w:color="auto"/>
          <w:color w:val="auto"/>
        </w:rPr>
        <w:t>Sections 11.6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11.9</w:t>
      </w:r>
      <w:r>
        <w:rPr>
          <w:rFonts w:ascii="Times New Roman" w:cs="Times New Roman" w:eastAsia="Times New Roman" w:hAnsi="Times New Roman"/>
          <w:sz w:val="20"/>
          <w:szCs w:val="20"/>
          <w:color w:val="auto"/>
        </w:rPr>
        <w:t xml:space="preserve"> the provisions of this Article are solely for the benefit of the Administrative Agent, the Arrangers, the Lenders, the Issuing Lenders and their respective Related Parties, and no Consolidated Company shall have rights as a third-party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81" w:lineRule="exact"/>
        <w:rPr>
          <w:rFonts w:ascii="Times New Roman" w:cs="Times New Roman" w:eastAsia="Times New Roman" w:hAnsi="Times New Roman"/>
          <w:sz w:val="20"/>
          <w:szCs w:val="20"/>
          <w:color w:val="auto"/>
        </w:rPr>
      </w:pPr>
    </w:p>
    <w:p>
      <w:pPr>
        <w:jc w:val="both"/>
        <w:ind w:left="680" w:right="20" w:firstLine="646"/>
        <w:spacing w:after="0" w:line="247" w:lineRule="auto"/>
        <w:tabs>
          <w:tab w:leader="none" w:pos="1925" w:val="left"/>
        </w:tabs>
        <w:numPr>
          <w:ilvl w:val="0"/>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also act as the “</w:t>
      </w:r>
      <w:r>
        <w:rPr>
          <w:rFonts w:ascii="Times New Roman" w:cs="Times New Roman" w:eastAsia="Times New Roman" w:hAnsi="Times New Roman"/>
          <w:sz w:val="20"/>
          <w:szCs w:val="20"/>
          <w:u w:val="single" w:color="auto"/>
          <w:color w:val="auto"/>
        </w:rPr>
        <w:t>collateral agent</w:t>
      </w:r>
      <w:r>
        <w:rPr>
          <w:rFonts w:ascii="Times New Roman" w:cs="Times New Roman" w:eastAsia="Times New Roman" w:hAnsi="Times New Roman"/>
          <w:sz w:val="20"/>
          <w:szCs w:val="20"/>
          <w:color w:val="auto"/>
        </w:rPr>
        <w:t xml:space="preserve">” under the Loan Documents, and each of the Lenders (including each holder of Secured Hedge Obligations and Secured Cash Management Obligations) and the Issuing Lenders hereby irrevocably appoints and authorizes the Administrative Agent to act as the agent of such Lender and such Issuing Lender for purposes of acquiring, holding and enforcing any and all Liens on Collateral granted by any of the Credit Parties to secure any of the Secured Obligations, together with such powers and discretion as are reasonably incidental thereto (including, without limitation, to enter into additional Loan Documents or supplements to existing Loan Documents on behalf of the Secured Parties). In this connection, the Administrative Agent, as “collateral agent” and any co-agents, sub-agents and attorneys-in-fact appointed by the Administrative Agent pursuant to this </w:t>
      </w:r>
      <w:r>
        <w:rPr>
          <w:rFonts w:ascii="Times New Roman" w:cs="Times New Roman" w:eastAsia="Times New Roman" w:hAnsi="Times New Roman"/>
          <w:sz w:val="20"/>
          <w:szCs w:val="20"/>
          <w:u w:val="single" w:color="auto"/>
          <w:color w:val="auto"/>
        </w:rPr>
        <w:t>Article XI</w:t>
      </w:r>
      <w:r>
        <w:rPr>
          <w:rFonts w:ascii="Times New Roman" w:cs="Times New Roman" w:eastAsia="Times New Roman" w:hAnsi="Times New Roman"/>
          <w:sz w:val="20"/>
          <w:szCs w:val="20"/>
          <w:color w:val="auto"/>
        </w:rPr>
        <w:t xml:space="preserve"> for purposes of holding or enforcing any Lien on the Collateral (or any portion thereof) granted under the Security Documents, or for exercising any rights and remedies thereunder at the direction of the Administrative Agent), shall be entitled to the benefits of all provisions of </w:t>
      </w:r>
      <w:r>
        <w:rPr>
          <w:rFonts w:ascii="Times New Roman" w:cs="Times New Roman" w:eastAsia="Times New Roman" w:hAnsi="Times New Roman"/>
          <w:sz w:val="20"/>
          <w:szCs w:val="20"/>
          <w:u w:val="single" w:color="auto"/>
          <w:color w:val="auto"/>
        </w:rPr>
        <w:t>Articles XI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XII</w:t>
      </w:r>
      <w:r>
        <w:rPr>
          <w:rFonts w:ascii="Times New Roman" w:cs="Times New Roman" w:eastAsia="Times New Roman" w:hAnsi="Times New Roman"/>
          <w:sz w:val="20"/>
          <w:szCs w:val="20"/>
          <w:color w:val="auto"/>
        </w:rPr>
        <w:t xml:space="preserve"> (including </w:t>
      </w:r>
      <w:r>
        <w:rPr>
          <w:rFonts w:ascii="Times New Roman" w:cs="Times New Roman" w:eastAsia="Times New Roman" w:hAnsi="Times New Roman"/>
          <w:sz w:val="20"/>
          <w:szCs w:val="20"/>
          <w:u w:val="single" w:color="auto"/>
          <w:color w:val="auto"/>
        </w:rPr>
        <w:t>Section 12.3</w:t>
      </w:r>
      <w:r>
        <w:rPr>
          <w:rFonts w:ascii="Times New Roman" w:cs="Times New Roman" w:eastAsia="Times New Roman" w:hAnsi="Times New Roman"/>
          <w:sz w:val="20"/>
          <w:szCs w:val="20"/>
          <w:color w:val="auto"/>
        </w:rPr>
        <w:t>, as though such co-agents, sub-agents and attorneys-in-fact were the “collateral agent” under the Loan Documents) as if set forth in full herein with respect thereto.</w:t>
      </w:r>
    </w:p>
    <w:p>
      <w:pPr>
        <w:spacing w:after="0" w:line="182" w:lineRule="exact"/>
        <w:rPr>
          <w:sz w:val="20"/>
          <w:szCs w:val="20"/>
          <w:color w:val="auto"/>
        </w:rPr>
      </w:pPr>
    </w:p>
    <w:p>
      <w:pPr>
        <w:jc w:val="both"/>
        <w:ind w:left="680" w:firstLine="642"/>
        <w:spacing w:after="0" w:line="250" w:lineRule="auto"/>
        <w:rPr>
          <w:sz w:val="20"/>
          <w:szCs w:val="20"/>
          <w:color w:val="auto"/>
        </w:rPr>
      </w:pPr>
      <w:r>
        <w:rPr>
          <w:rFonts w:ascii="Times New Roman" w:cs="Times New Roman" w:eastAsia="Times New Roman" w:hAnsi="Times New Roman"/>
          <w:sz w:val="20"/>
          <w:szCs w:val="20"/>
          <w:color w:val="auto"/>
        </w:rPr>
        <w:t xml:space="preserve">SECTION 11.2 </w:t>
      </w:r>
      <w:r>
        <w:rPr>
          <w:rFonts w:ascii="Times New Roman" w:cs="Times New Roman" w:eastAsia="Times New Roman" w:hAnsi="Times New Roman"/>
          <w:sz w:val="20"/>
          <w:szCs w:val="20"/>
          <w:u w:val="single" w:color="auto"/>
          <w:color w:val="auto"/>
        </w:rPr>
        <w:t>Rights as a Lender</w:t>
      </w:r>
      <w:r>
        <w:rPr>
          <w:rFonts w:ascii="Times New Roman" w:cs="Times New Roman" w:eastAsia="Times New Roman" w:hAnsi="Times New Roman"/>
          <w:sz w:val="20"/>
          <w:szCs w:val="20"/>
          <w:color w:val="auto"/>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68">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253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20"/>
          </w:cols>
          <w:pgMar w:left="320" w:top="1440" w:right="459" w:bottom="1440" w:gutter="0" w:footer="0" w:header="0"/>
        </w:sectPr>
      </w:pPr>
    </w:p>
    <w:bookmarkStart w:id="402" w:name="page403"/>
    <w:bookmarkEnd w:id="402"/>
    <w:p>
      <w:pPr>
        <w:spacing w:after="0" w:line="81" w:lineRule="exact"/>
        <w:rPr>
          <w:sz w:val="20"/>
          <w:szCs w:val="20"/>
          <w:color w:val="auto"/>
        </w:rPr>
      </w:pPr>
    </w:p>
    <w:p>
      <w:pPr>
        <w:ind w:left="680"/>
        <w:spacing w:after="0" w:line="277" w:lineRule="auto"/>
        <w:rPr>
          <w:sz w:val="20"/>
          <w:szCs w:val="20"/>
          <w:color w:val="auto"/>
        </w:rPr>
      </w:pPr>
      <w:r>
        <w:rPr>
          <w:rFonts w:ascii="Times New Roman" w:cs="Times New Roman" w:eastAsia="Times New Roman" w:hAnsi="Times New Roman"/>
          <w:sz w:val="20"/>
          <w:szCs w:val="20"/>
          <w:color w:val="auto"/>
        </w:rPr>
        <w:t>deposits from, lend money to, own securities of, act as the financial advisor or in any other advisory capacity for and generally engage in any kind of banking, trust, financial advisory, underwriting,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69">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254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403" w:name="page404"/>
    <w:bookmarkEnd w:id="403"/>
    <w:p>
      <w:pPr>
        <w:spacing w:after="0" w:line="201" w:lineRule="exact"/>
        <w:rPr>
          <w:sz w:val="20"/>
          <w:szCs w:val="20"/>
          <w:color w:val="auto"/>
        </w:rPr>
      </w:pPr>
    </w:p>
    <w:p>
      <w:pPr>
        <w:jc w:val="both"/>
        <w:ind w:left="680" w:right="40"/>
        <w:spacing w:after="0" w:line="257" w:lineRule="auto"/>
        <w:rPr>
          <w:sz w:val="20"/>
          <w:szCs w:val="20"/>
          <w:color w:val="auto"/>
        </w:rPr>
      </w:pPr>
      <w:r>
        <w:rPr>
          <w:rFonts w:ascii="Times New Roman" w:cs="Times New Roman" w:eastAsia="Times New Roman" w:hAnsi="Times New Roman"/>
          <w:sz w:val="20"/>
          <w:szCs w:val="20"/>
          <w:color w:val="auto"/>
        </w:rPr>
        <w:t>capital markets or other business with the Consolidated Companies or other Affiliates thereof as if such Person were not the Administrative Agent hereunder and without any duty to account therefor to the Lenders or to provide notice to or consent of the Lenders with respect thereto.</w:t>
      </w:r>
    </w:p>
    <w:p>
      <w:pPr>
        <w:spacing w:after="0" w:line="171" w:lineRule="exact"/>
        <w:rPr>
          <w:sz w:val="20"/>
          <w:szCs w:val="20"/>
          <w:color w:val="auto"/>
        </w:rPr>
      </w:pPr>
    </w:p>
    <w:p>
      <w:pPr>
        <w:ind w:left="1320"/>
        <w:spacing w:after="0"/>
        <w:tabs>
          <w:tab w:leader="none" w:pos="2720" w:val="left"/>
        </w:tabs>
        <w:rPr>
          <w:sz w:val="20"/>
          <w:szCs w:val="20"/>
          <w:color w:val="auto"/>
        </w:rPr>
      </w:pPr>
      <w:r>
        <w:rPr>
          <w:rFonts w:ascii="Times New Roman" w:cs="Times New Roman" w:eastAsia="Times New Roman" w:hAnsi="Times New Roman"/>
          <w:sz w:val="20"/>
          <w:szCs w:val="20"/>
          <w:color w:val="auto"/>
        </w:rPr>
        <w:t>SECTION 11.3</w:t>
      </w:r>
      <w:r>
        <w:rPr>
          <w:sz w:val="20"/>
          <w:szCs w:val="20"/>
          <w:color w:val="auto"/>
        </w:rPr>
        <w:tab/>
      </w:r>
      <w:r>
        <w:rPr>
          <w:rFonts w:ascii="Times New Roman" w:cs="Times New Roman" w:eastAsia="Times New Roman" w:hAnsi="Times New Roman"/>
          <w:sz w:val="19"/>
          <w:szCs w:val="19"/>
          <w:u w:val="single" w:color="auto"/>
          <w:color w:val="auto"/>
        </w:rPr>
        <w:t>Exculpatory Provisions</w:t>
      </w:r>
      <w:r>
        <w:rPr>
          <w:rFonts w:ascii="Times New Roman" w:cs="Times New Roman" w:eastAsia="Times New Roman" w:hAnsi="Times New Roman"/>
          <w:sz w:val="19"/>
          <w:szCs w:val="19"/>
          <w:color w:val="auto"/>
        </w:rPr>
        <w:t>.</w:t>
      </w:r>
    </w:p>
    <w:p>
      <w:pPr>
        <w:spacing w:after="0" w:line="225" w:lineRule="exact"/>
        <w:rPr>
          <w:sz w:val="20"/>
          <w:szCs w:val="20"/>
          <w:color w:val="auto"/>
        </w:rPr>
      </w:pPr>
    </w:p>
    <w:p>
      <w:pPr>
        <w:jc w:val="both"/>
        <w:ind w:left="680" w:right="20" w:firstLine="646"/>
        <w:spacing w:after="0" w:line="255" w:lineRule="auto"/>
        <w:tabs>
          <w:tab w:leader="none" w:pos="1927" w:val="left"/>
        </w:tabs>
        <w:numPr>
          <w:ilvl w:val="0"/>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the Arrangers and their respective Related Parties shall not have any duties or obligations except those expressly set forth herein and in the other Loan Documents, and its duties hereunder and thereunder shall be administrative in nature. Without limiting the generality of the foregoing, the Administrative Agent, the Arrangers and their respective Related Parties:</w:t>
      </w:r>
    </w:p>
    <w:p>
      <w:pPr>
        <w:spacing w:after="0" w:line="172" w:lineRule="exact"/>
        <w:rPr>
          <w:rFonts w:ascii="Times New Roman" w:cs="Times New Roman" w:eastAsia="Times New Roman" w:hAnsi="Times New Roman"/>
          <w:sz w:val="20"/>
          <w:szCs w:val="20"/>
          <w:color w:val="auto"/>
        </w:rPr>
      </w:pPr>
    </w:p>
    <w:p>
      <w:pPr>
        <w:ind w:left="1320" w:right="40" w:firstLine="648"/>
        <w:spacing w:after="0" w:line="263" w:lineRule="auto"/>
        <w:tabs>
          <w:tab w:leader="none" w:pos="2561" w:val="left"/>
        </w:tabs>
        <w:numPr>
          <w:ilvl w:val="1"/>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be subject to any agency, trust, fiduciary or other implied duties, regardless of whether a Default or Event of Default has occurred and is continuing;</w:t>
      </w:r>
    </w:p>
    <w:p>
      <w:pPr>
        <w:spacing w:after="0" w:line="178" w:lineRule="exact"/>
        <w:rPr>
          <w:rFonts w:ascii="Times New Roman" w:cs="Times New Roman" w:eastAsia="Times New Roman" w:hAnsi="Times New Roman"/>
          <w:sz w:val="20"/>
          <w:szCs w:val="20"/>
          <w:color w:val="auto"/>
        </w:rPr>
      </w:pPr>
    </w:p>
    <w:p>
      <w:pPr>
        <w:jc w:val="both"/>
        <w:ind w:left="1320" w:right="20" w:firstLine="648"/>
        <w:spacing w:after="0" w:line="248" w:lineRule="auto"/>
        <w:tabs>
          <w:tab w:leader="none" w:pos="2562" w:val="left"/>
        </w:tabs>
        <w:numPr>
          <w:ilvl w:val="1"/>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w:t>
      </w:r>
    </w:p>
    <w:p>
      <w:pPr>
        <w:spacing w:after="0" w:line="185" w:lineRule="exact"/>
        <w:rPr>
          <w:rFonts w:ascii="Times New Roman" w:cs="Times New Roman" w:eastAsia="Times New Roman" w:hAnsi="Times New Roman"/>
          <w:sz w:val="20"/>
          <w:szCs w:val="20"/>
          <w:color w:val="auto"/>
        </w:rPr>
      </w:pPr>
    </w:p>
    <w:p>
      <w:pPr>
        <w:jc w:val="both"/>
        <w:ind w:left="1320" w:firstLine="648"/>
        <w:spacing w:after="0" w:line="250" w:lineRule="auto"/>
        <w:tabs>
          <w:tab w:leader="none" w:pos="2563" w:val="left"/>
        </w:tabs>
        <w:numPr>
          <w:ilvl w:val="1"/>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have any duty to disclose, and shall not be liable for the failure to disclose to any Lender, any Issuing Lender or any other Person, any credit or other information relating concerning the business, prospects, operations, properties, assets, financial or other condition or creditworthiness of the Consolidated Companies or any of their respective Subsidiaries or Affiliates that is communicated to, obtained by or otherwise in the possession of the Person serving as the Administrative Agent, the Arrangers or their respective Related Parties in any capacity, except for notices, reports and other documents that are required to be furnished by the Administrative Agent to the Lenders pursuant to the express provisions of this Agreement; and</w:t>
      </w:r>
    </w:p>
    <w:p>
      <w:pPr>
        <w:spacing w:after="0" w:line="168" w:lineRule="exact"/>
        <w:rPr>
          <w:rFonts w:ascii="Times New Roman" w:cs="Times New Roman" w:eastAsia="Times New Roman" w:hAnsi="Times New Roman"/>
          <w:sz w:val="20"/>
          <w:szCs w:val="20"/>
          <w:color w:val="auto"/>
        </w:rPr>
      </w:pPr>
    </w:p>
    <w:p>
      <w:pPr>
        <w:ind w:left="1320" w:right="20" w:firstLine="648"/>
        <w:spacing w:after="0" w:line="277" w:lineRule="auto"/>
        <w:tabs>
          <w:tab w:leader="none" w:pos="2566" w:val="left"/>
        </w:tabs>
        <w:numPr>
          <w:ilvl w:val="1"/>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be required to account to any Lender or any Issuing Lender for any sum or profit received by the Administrative Agent for its own account.</w:t>
      </w:r>
    </w:p>
    <w:p>
      <w:pPr>
        <w:spacing w:after="0" w:line="164" w:lineRule="exact"/>
        <w:rPr>
          <w:rFonts w:ascii="Times New Roman" w:cs="Times New Roman" w:eastAsia="Times New Roman" w:hAnsi="Times New Roman"/>
          <w:sz w:val="20"/>
          <w:szCs w:val="20"/>
          <w:color w:val="auto"/>
        </w:rPr>
      </w:pPr>
    </w:p>
    <w:p>
      <w:pPr>
        <w:jc w:val="both"/>
        <w:ind w:left="680" w:firstLine="646"/>
        <w:spacing w:after="0" w:line="247" w:lineRule="auto"/>
        <w:tabs>
          <w:tab w:leader="none" w:pos="1925" w:val="left"/>
        </w:tabs>
        <w:numPr>
          <w:ilvl w:val="0"/>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the Arrangers and their respective Related Parties shall not be liable for any action taken or not taken by it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20"/>
          <w:szCs w:val="20"/>
          <w:u w:val="single" w:color="auto"/>
          <w:color w:val="auto"/>
        </w:rPr>
        <w:t>Section 12.2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or (ii) in the absence of its own gross negligence, willful misconduct or breach in bad faith of obligations hereunder as determined by a court of competent jurisdiction by final non-appealable judgment. The Administrative Agent shall be deemed not to have knowledge of any Default or Event of Default unless and until notice describing such Default or Event of Default and indicating that such notice is a “Notice of Default” is given to the Administrative Agent by a Borrower, a Lender or an Issuing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70">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255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404" w:name="page405"/>
    <w:bookmarkEnd w:id="404"/>
    <w:p>
      <w:pPr>
        <w:spacing w:after="0" w:line="202" w:lineRule="exact"/>
        <w:rPr>
          <w:sz w:val="20"/>
          <w:szCs w:val="20"/>
          <w:color w:val="auto"/>
        </w:rPr>
      </w:pPr>
    </w:p>
    <w:p>
      <w:pPr>
        <w:jc w:val="both"/>
        <w:ind w:left="680" w:right="20" w:firstLine="646"/>
        <w:spacing w:after="0" w:line="247" w:lineRule="auto"/>
        <w:tabs>
          <w:tab w:leader="none" w:pos="1927" w:val="left"/>
        </w:tabs>
        <w:numPr>
          <w:ilvl w:val="0"/>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the Arrangers and their respective Related Parties shall not be responsible for or have any duty or obligations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(including any report provided to it by an Issuing Lender pursuant to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 xml:space="preserve">),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the creation, perfection or priority of any Lien purported to be created by the Security Documents, (v) the value or the sufficiency of any Collateral, (vi) the satisfaction of any condition set forth in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or elsewhere herein, other than to confirm receipt of items expressly required to be delivered to the Administrative Agent or (vii) the utilization of any Issuing Lender’s L/C Commitment (it being understood and agreed that each Issuing Lender shall monitor compliance with its own L/C Commitment without any further action by the Administrative Agent).</w:t>
      </w:r>
    </w:p>
    <w:p>
      <w:pPr>
        <w:spacing w:after="0" w:line="182" w:lineRule="exact"/>
        <w:rPr>
          <w:sz w:val="20"/>
          <w:szCs w:val="20"/>
          <w:color w:val="auto"/>
        </w:rPr>
      </w:pPr>
    </w:p>
    <w:p>
      <w:pPr>
        <w:jc w:val="both"/>
        <w:ind w:left="680" w:firstLine="642"/>
        <w:spacing w:after="0" w:line="247" w:lineRule="auto"/>
        <w:rPr>
          <w:sz w:val="20"/>
          <w:szCs w:val="20"/>
          <w:color w:val="auto"/>
        </w:rPr>
      </w:pPr>
      <w:r>
        <w:rPr>
          <w:rFonts w:ascii="Times New Roman" w:cs="Times New Roman" w:eastAsia="Times New Roman" w:hAnsi="Times New Roman"/>
          <w:sz w:val="20"/>
          <w:szCs w:val="20"/>
          <w:color w:val="auto"/>
        </w:rPr>
        <w:t xml:space="preserve">SECTION 11.4 </w:t>
      </w:r>
      <w:r>
        <w:rPr>
          <w:rFonts w:ascii="Times New Roman" w:cs="Times New Roman" w:eastAsia="Times New Roman" w:hAnsi="Times New Roman"/>
          <w:sz w:val="20"/>
          <w:szCs w:val="20"/>
          <w:u w:val="single" w:color="auto"/>
          <w:color w:val="auto"/>
        </w:rPr>
        <w:t>Reliance by the Administrative Agent</w:t>
      </w:r>
      <w:r>
        <w:rPr>
          <w:rFonts w:ascii="Times New Roman" w:cs="Times New Roman" w:eastAsia="Times New Roman" w:hAnsi="Times New Roman"/>
          <w:sz w:val="20"/>
          <w:szCs w:val="20"/>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an Issuing Lender, the Administrative Agent may presume that such condition is satisfactory to such Lender or such Issuing Lender unless the Administrative Agent shall have received notice to the contrary from such Lender or such Issuing Lender prior to the making of such Loan or the issuance of such Letter of Credit. The Administrative Agent may consult with legal counsel (who may be counsel for the Borrowers), independent accountants and other experts selected by it, and shall not be liable for any action taken or not taken by it in accordance with the advice of any such counsel, accountants or experts. Each Lender or Issuing Lender that has signed this Agreement or a signature page to an Assignment and Assumption or any other Loan Document pursuant to which it is to become a Lender or Issuing Lender hereunder shall be deemed to have consented to, approved and accepted and shall deemed satisfied with each document or other matter required thereunder to be consented to, approved or accepted by such Lender or Issuing Lender or that is to be acceptable or satisfactory to such Lender or Issuing Lender.</w:t>
      </w:r>
    </w:p>
    <w:p>
      <w:pPr>
        <w:spacing w:after="0" w:line="172" w:lineRule="exact"/>
        <w:rPr>
          <w:sz w:val="20"/>
          <w:szCs w:val="20"/>
          <w:color w:val="auto"/>
        </w:rPr>
      </w:pPr>
    </w:p>
    <w:p>
      <w:pPr>
        <w:jc w:val="both"/>
        <w:ind w:left="680" w:right="40" w:firstLine="642"/>
        <w:spacing w:after="0" w:line="249" w:lineRule="auto"/>
        <w:rPr>
          <w:sz w:val="20"/>
          <w:szCs w:val="20"/>
          <w:color w:val="auto"/>
        </w:rPr>
      </w:pPr>
      <w:r>
        <w:rPr>
          <w:rFonts w:ascii="Times New Roman" w:cs="Times New Roman" w:eastAsia="Times New Roman" w:hAnsi="Times New Roman"/>
          <w:sz w:val="20"/>
          <w:szCs w:val="20"/>
          <w:color w:val="auto"/>
        </w:rPr>
        <w:t xml:space="preserve">SECTION 11.5 </w:t>
      </w:r>
      <w:r>
        <w:rPr>
          <w:rFonts w:ascii="Times New Roman" w:cs="Times New Roman" w:eastAsia="Times New Roman" w:hAnsi="Times New Roman"/>
          <w:sz w:val="20"/>
          <w:szCs w:val="20"/>
          <w:u w:val="single" w:color="auto"/>
          <w:color w:val="auto"/>
        </w:rPr>
        <w:t>Delegation of Duties</w:t>
      </w:r>
      <w:r>
        <w:rPr>
          <w:rFonts w:ascii="Times New Roman" w:cs="Times New Roman" w:eastAsia="Times New Roman" w:hAnsi="Times New Roman"/>
          <w:sz w:val="20"/>
          <w:szCs w:val="20"/>
          <w:color w:val="auto"/>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Facility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71">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256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20"/>
          </w:cols>
          <w:pgMar w:left="320" w:top="1440" w:right="459" w:bottom="1440" w:gutter="0" w:footer="0" w:header="0"/>
        </w:sectPr>
      </w:pPr>
    </w:p>
    <w:bookmarkStart w:id="405" w:name="page406"/>
    <w:bookmarkEnd w:id="405"/>
    <w:p>
      <w:pPr>
        <w:spacing w:after="0" w:line="202" w:lineRule="exact"/>
        <w:rPr>
          <w:sz w:val="20"/>
          <w:szCs w:val="20"/>
          <w:color w:val="auto"/>
        </w:rPr>
      </w:pPr>
    </w:p>
    <w:p>
      <w:pPr>
        <w:ind w:left="1320"/>
        <w:spacing w:after="0"/>
        <w:tabs>
          <w:tab w:leader="none" w:pos="2720" w:val="left"/>
        </w:tabs>
        <w:rPr>
          <w:sz w:val="20"/>
          <w:szCs w:val="20"/>
          <w:color w:val="auto"/>
        </w:rPr>
      </w:pPr>
      <w:r>
        <w:rPr>
          <w:rFonts w:ascii="Times New Roman" w:cs="Times New Roman" w:eastAsia="Times New Roman" w:hAnsi="Times New Roman"/>
          <w:sz w:val="20"/>
          <w:szCs w:val="20"/>
          <w:color w:val="auto"/>
        </w:rPr>
        <w:t>SECTION 11.6</w:t>
      </w:r>
      <w:r>
        <w:rPr>
          <w:sz w:val="20"/>
          <w:szCs w:val="20"/>
          <w:color w:val="auto"/>
        </w:rPr>
        <w:tab/>
      </w:r>
      <w:r>
        <w:rPr>
          <w:rFonts w:ascii="Times New Roman" w:cs="Times New Roman" w:eastAsia="Times New Roman" w:hAnsi="Times New Roman"/>
          <w:sz w:val="19"/>
          <w:szCs w:val="19"/>
          <w:u w:val="single" w:color="auto"/>
          <w:color w:val="auto"/>
        </w:rPr>
        <w:t>Resignation of Administrative Agent</w:t>
      </w:r>
      <w:r>
        <w:rPr>
          <w:rFonts w:ascii="Times New Roman" w:cs="Times New Roman" w:eastAsia="Times New Roman" w:hAnsi="Times New Roman"/>
          <w:sz w:val="19"/>
          <w:szCs w:val="19"/>
          <w:color w:val="auto"/>
        </w:rPr>
        <w:t>.</w:t>
      </w:r>
    </w:p>
    <w:p>
      <w:pPr>
        <w:spacing w:after="0" w:line="211" w:lineRule="exact"/>
        <w:rPr>
          <w:sz w:val="20"/>
          <w:szCs w:val="20"/>
          <w:color w:val="auto"/>
        </w:rPr>
      </w:pPr>
    </w:p>
    <w:p>
      <w:pPr>
        <w:jc w:val="both"/>
        <w:ind w:left="680" w:right="40" w:firstLine="646"/>
        <w:spacing w:after="0" w:line="248" w:lineRule="auto"/>
        <w:tabs>
          <w:tab w:leader="none" w:pos="1927" w:val="left"/>
        </w:tabs>
        <w:numPr>
          <w:ilvl w:val="1"/>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may at any time give notice of its resignation to the Lenders, the Issuing Lenders and the Borrowers. Upon receipt of any such notice of resignation, the Required Lenders shall have the right, in consultation with the Borrowers, to appoint a successor, which shall be a bank or financial institution reasonably experienced in serving as administrative agent on syndicated bank facilities with an office in the United States, or an Affiliate of any such bank or financial institution with an office in the United States. If no such successor shall have been so appointed by the Required Lenders and shall have accepted such appointment within thirty (30) days after the retiring Administrative Agent gives notice of its resignation (or such earlier day as shall be agreed by the Required Lenders) (the “</w:t>
      </w:r>
      <w:r>
        <w:rPr>
          <w:rFonts w:ascii="Times New Roman" w:cs="Times New Roman" w:eastAsia="Times New Roman" w:hAnsi="Times New Roman"/>
          <w:sz w:val="20"/>
          <w:szCs w:val="20"/>
          <w:u w:val="single" w:color="auto"/>
          <w:color w:val="auto"/>
        </w:rPr>
        <w:t>Resignation Effective Date</w:t>
      </w:r>
      <w:r>
        <w:rPr>
          <w:rFonts w:ascii="Times New Roman" w:cs="Times New Roman" w:eastAsia="Times New Roman" w:hAnsi="Times New Roman"/>
          <w:sz w:val="20"/>
          <w:szCs w:val="20"/>
          <w:color w:val="auto"/>
        </w:rPr>
        <w:t xml:space="preserve">”), then the retiring Administrative Agent may (but shall not be obligated to), on behalf of the Lenders and the Issuing Lenders, appoint a successor Administrative Agent meeting the qualifications set forth above;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no event shall any such successor Administrative Agent be a Defaulting Lender. Whether or not a successor has been appointed, such resignation shall become effective in accordance with such notice on the Resignation Effective Date.</w:t>
      </w:r>
    </w:p>
    <w:p>
      <w:pPr>
        <w:spacing w:after="0" w:line="181" w:lineRule="exact"/>
        <w:rPr>
          <w:rFonts w:ascii="Times New Roman" w:cs="Times New Roman" w:eastAsia="Times New Roman" w:hAnsi="Times New Roman"/>
          <w:sz w:val="20"/>
          <w:szCs w:val="20"/>
          <w:color w:val="auto"/>
        </w:rPr>
      </w:pPr>
    </w:p>
    <w:p>
      <w:pPr>
        <w:ind w:left="1960" w:hanging="633"/>
        <w:spacing w:after="0"/>
        <w:tabs>
          <w:tab w:leader="none" w:pos="1960" w:val="left"/>
        </w:tabs>
        <w:numPr>
          <w:ilvl w:val="1"/>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Person serving as Administrative Agent is a Defaulting Lender pursuant to clause</w:t>
      </w:r>
    </w:p>
    <w:p>
      <w:pPr>
        <w:spacing w:after="0" w:line="19" w:lineRule="exact"/>
        <w:rPr>
          <w:rFonts w:ascii="Times New Roman" w:cs="Times New Roman" w:eastAsia="Times New Roman" w:hAnsi="Times New Roman"/>
          <w:sz w:val="20"/>
          <w:szCs w:val="20"/>
          <w:color w:val="auto"/>
        </w:rPr>
      </w:pPr>
    </w:p>
    <w:p>
      <w:pPr>
        <w:jc w:val="both"/>
        <w:ind w:left="680" w:right="60" w:firstLine="4"/>
        <w:spacing w:after="0" w:line="244" w:lineRule="auto"/>
        <w:tabs>
          <w:tab w:leader="none" w:pos="1283" w:val="left"/>
        </w:tabs>
        <w:numPr>
          <w:ilvl w:val="0"/>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definition thereof, the Required Lenders may, to the extent permitted by Applicable Law, by notice in writing to Centuri and such Person, remove such Person as Administrative Agent and, in consultation with the Borrowers, appoint a successor. If no such successor shall have been so appointed by the Required Lenders and shall have accepted such appointment within thirty (30) days (or such earlier day as shall be agreed by the Required Lenders) (the “</w:t>
      </w:r>
      <w:r>
        <w:rPr>
          <w:rFonts w:ascii="Times New Roman" w:cs="Times New Roman" w:eastAsia="Times New Roman" w:hAnsi="Times New Roman"/>
          <w:sz w:val="20"/>
          <w:szCs w:val="20"/>
          <w:u w:val="single" w:color="auto"/>
          <w:color w:val="auto"/>
        </w:rPr>
        <w:t>Removal Effective Date</w:t>
      </w:r>
      <w:r>
        <w:rPr>
          <w:rFonts w:ascii="Times New Roman" w:cs="Times New Roman" w:eastAsia="Times New Roman" w:hAnsi="Times New Roman"/>
          <w:sz w:val="20"/>
          <w:szCs w:val="20"/>
          <w:color w:val="auto"/>
        </w:rPr>
        <w:t>”), then such removal shall nonetheless become effective in accordance with such notice on the Removal Effective Date.</w:t>
      </w:r>
    </w:p>
    <w:p>
      <w:pPr>
        <w:spacing w:after="0" w:line="186" w:lineRule="exact"/>
        <w:rPr>
          <w:rFonts w:ascii="Times New Roman" w:cs="Times New Roman" w:eastAsia="Times New Roman" w:hAnsi="Times New Roman"/>
          <w:sz w:val="20"/>
          <w:szCs w:val="20"/>
          <w:color w:val="auto"/>
        </w:rPr>
      </w:pPr>
    </w:p>
    <w:p>
      <w:pPr>
        <w:jc w:val="both"/>
        <w:ind w:left="680" w:firstLine="646"/>
        <w:spacing w:after="0" w:line="246" w:lineRule="auto"/>
        <w:tabs>
          <w:tab w:leader="none" w:pos="1927" w:val="left"/>
        </w:tabs>
        <w:numPr>
          <w:ilvl w:val="1"/>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effect from the Resignation Effective Date or the Removal Effective Date (as applicable), (1) the retiring or removed Administrative Agent shall be discharged from its duties and obligations hereunder and under the other Loan Documents (except that in the case of any collateral security held by the Administrative Agent on behalf of the Lenders or the Issuing Lenders under any of the Loan Documents, the retiring or removed Administrative Agent shall continue to hold such collateral security until such time as a successor Administrative Agent is appointed) and (2) except for any indemnity payments or other amounts then owed to the retiring or removed Administrative Agent, all payments, communications and determinations provided to be made by, to or through the Administrative Agent shall instead be made by or to each Lender and each Issuing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owed to the retiring or removed Administrative Agent), and the retiring or removed Administrative Agent shall be discharged from all of its duties and obligations hereunder or under the other Loan Documents. The fees payable by the Borrowers to a successor Administrative Agent shall be the same as those payable to its predecessor unless otherwise agreed between the Borrowers and such successor. After the retiring or removed Administrative Agent’s resignation or removal hereunder and under the other Loan Documents, the provisions of this Article and </w:t>
      </w:r>
      <w:r>
        <w:rPr>
          <w:rFonts w:ascii="Times New Roman" w:cs="Times New Roman" w:eastAsia="Times New Roman" w:hAnsi="Times New Roman"/>
          <w:sz w:val="20"/>
          <w:szCs w:val="20"/>
          <w:u w:val="single" w:color="auto"/>
          <w:color w:val="auto"/>
        </w:rPr>
        <w:t>Section 12.3</w:t>
      </w:r>
      <w:r>
        <w:rPr>
          <w:rFonts w:ascii="Times New Roman" w:cs="Times New Roman" w:eastAsia="Times New Roman" w:hAnsi="Times New Roman"/>
          <w:sz w:val="20"/>
          <w:szCs w:val="20"/>
          <w:color w:val="auto"/>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 or relating to its duties as Administrative Agent that are carried out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72">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257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20"/>
          </w:cols>
          <w:pgMar w:left="320" w:top="1440" w:right="459" w:bottom="1440" w:gutter="0" w:footer="0" w:header="0"/>
        </w:sectPr>
      </w:pPr>
    </w:p>
    <w:bookmarkStart w:id="406" w:name="page407"/>
    <w:bookmarkEnd w:id="406"/>
    <w:p>
      <w:pPr>
        <w:spacing w:after="0" w:line="95" w:lineRule="exact"/>
        <w:rPr>
          <w:sz w:val="20"/>
          <w:szCs w:val="20"/>
          <w:color w:val="auto"/>
        </w:rPr>
      </w:pPr>
    </w:p>
    <w:p>
      <w:pPr>
        <w:ind w:left="680"/>
        <w:spacing w:after="0" w:line="263" w:lineRule="auto"/>
        <w:rPr>
          <w:sz w:val="20"/>
          <w:szCs w:val="20"/>
          <w:color w:val="auto"/>
        </w:rPr>
      </w:pPr>
      <w:r>
        <w:rPr>
          <w:rFonts w:ascii="Times New Roman" w:cs="Times New Roman" w:eastAsia="Times New Roman" w:hAnsi="Times New Roman"/>
          <w:sz w:val="20"/>
          <w:szCs w:val="20"/>
          <w:color w:val="auto"/>
        </w:rPr>
        <w:t>following its retirement or removal, including, without limitation, any actions taken with respect to acting as collateral agent or otherwise holding any Collateral on behalf of any of the Secured Parties 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73">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258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407" w:name="page408"/>
    <w:bookmarkEnd w:id="407"/>
    <w:p>
      <w:pPr>
        <w:spacing w:after="0" w:line="20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respect of any actions taken in connection with the transfer of agency to a replacement or successor Administrative Agent.</w:t>
      </w:r>
    </w:p>
    <w:p>
      <w:pPr>
        <w:spacing w:after="0" w:line="211" w:lineRule="exact"/>
        <w:rPr>
          <w:sz w:val="20"/>
          <w:szCs w:val="20"/>
          <w:color w:val="auto"/>
        </w:rPr>
      </w:pPr>
    </w:p>
    <w:p>
      <w:pPr>
        <w:jc w:val="both"/>
        <w:ind w:left="680" w:right="20" w:firstLine="646"/>
        <w:spacing w:after="0" w:line="248" w:lineRule="auto"/>
        <w:tabs>
          <w:tab w:leader="none" w:pos="1925" w:val="left"/>
        </w:tabs>
        <w:numPr>
          <w:ilvl w:val="0"/>
          <w:numId w:val="3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resignation by, or removal of, Wells Fargo as Administrative Agent pursuant to this Section shall also constitute its resignation as an Issuing Lender and Swingline Lender. Upon the acceptance of a successor’s appointment as Administrative Agent hereunder, (a) such successor shall succeed to and become vested with all of the rights, powers, privileges and duties of the retiring Issuing Lender, if in its sole discretion it elects to, and Swingline Lender, (b) the retiring Issuing Lender and Swingline Lender shall be discharged from all of their respective duties and obligations hereunder or under the other Loan Documents, and (c) the successor Issuing Lender, if in its sole discretion it elects to, shall issue letters of credit in substitution for the Letters of Credit, if any, outstanding at the time of such succession or make other arrangements satisfactory to the retiring Issuing Lender to effectively assume the obligations of the retiring Issuing Lender with respect to such Letters of Credit.</w:t>
      </w:r>
    </w:p>
    <w:p>
      <w:pPr>
        <w:spacing w:after="0" w:line="185" w:lineRule="exact"/>
        <w:rPr>
          <w:sz w:val="20"/>
          <w:szCs w:val="20"/>
          <w:color w:val="auto"/>
        </w:rPr>
      </w:pPr>
    </w:p>
    <w:p>
      <w:pPr>
        <w:jc w:val="both"/>
        <w:ind w:left="680" w:firstLine="642"/>
        <w:spacing w:after="0" w:line="259" w:lineRule="auto"/>
        <w:rPr>
          <w:sz w:val="20"/>
          <w:szCs w:val="20"/>
          <w:color w:val="auto"/>
        </w:rPr>
      </w:pPr>
      <w:r>
        <w:rPr>
          <w:rFonts w:ascii="Times New Roman" w:cs="Times New Roman" w:eastAsia="Times New Roman" w:hAnsi="Times New Roman"/>
          <w:sz w:val="19"/>
          <w:szCs w:val="19"/>
          <w:color w:val="auto"/>
        </w:rPr>
        <w:t xml:space="preserve">SECTION 11.7 </w:t>
      </w:r>
      <w:r>
        <w:rPr>
          <w:rFonts w:ascii="Times New Roman" w:cs="Times New Roman" w:eastAsia="Times New Roman" w:hAnsi="Times New Roman"/>
          <w:sz w:val="19"/>
          <w:szCs w:val="19"/>
          <w:u w:val="single" w:color="auto"/>
          <w:color w:val="auto"/>
        </w:rPr>
        <w:t>Non-Reliance on Administrative Agent and Other Lenders</w:t>
      </w:r>
      <w:r>
        <w:rPr>
          <w:rFonts w:ascii="Times New Roman" w:cs="Times New Roman" w:eastAsia="Times New Roman" w:hAnsi="Times New Roman"/>
          <w:sz w:val="19"/>
          <w:szCs w:val="19"/>
          <w:color w:val="auto"/>
        </w:rPr>
        <w:t xml:space="preserve">. Each Lender and each Issuing Lender expressly acknowledges that none of the Administrative Agent, any Arranger or any of their respective Related Parties has made any representations or warranties to it and that no act taken or failure to act by the Administrative Agent, any Arranger or any of their respective Related Parties, including any consent to, and acceptance of any assignment or review of the affairs of the Consolidated Companies and their Subsidiaries or Affiliates shall be deemed to constitute a representation or warranty of the Administrative Agent, any Arranger or any of their respective Related Parties to any Lender, any Issuing Lender or any other Secured Party as to any matter, including whether the Administrative Agent, any Arranger or any of their respective Related Parties have disclosed material information in their (or their respective Related Parties’) possession. Each Lender and each Issuing Lender expressly acknowledges, represents and warrants to the Administrative Agent and each Arranger that (a) the Loan Documents set forth the terms of a commercial lending facility, (b) it is engaged in making, acquiring, purchasing or holding commercial loans in the ordinary course and is entering into this Agreement and the other Loan Documents to which it is a party as a Lender for the purpose of making, acquiring, purchasing and/or holding the commercial loans set forth herein as may be applicable to it, and not for the purpose of making, acquiring, purchasing or holding any other type of financial instrument, (c) it is sophisticated with respect to decisions to make, acquire, purchase or hold the commercial loans applicable to it and either it or the Person exercising discretion in making its decisions to make, acquire, purchase or hold such commercial loans is experienced in making, acquiring, purchasing or holding commercial loans, (d) it has, independently and without reliance upon the Administrative Agent, any Arranger, any other Lender or any of their respective Related Parties and based on such documents and information as it has deemed appropriate, made its own credit analysis and appraisal of, and investigations into, the business, prospects, operations, property, assets, liabilities, financial and other condition and creditworthiness of the Consolidated Companies and their Subsidiaries, all applicable bank or other regulatory Applicable Laws relating to the Transactions and the transactions contemplated by this Agreement and the other Loan Documents and (e) it has made its own independent decision to enter into this Agreement and the other Loan Documents to which it is a party and to extend credit hereunder and thereunder. Each Lender and each Issuing Lender also acknowledges that (i) it will, independently and without reliance upon the Administrative Agent, any Arranger or any other Lender or any of their respective Related Parties (A) continue to make its own credit analysis, appraisals and decisions in taking or not taking action under or based upon this Agreement, any other Loan Document or any related agreement or any document furnished hereunder or thereunder based on such documents and information as it shall from time to time deem appropriate and its own independent investigations and (B) continue to make such investigations and inquiries as it deems necessary to inform itself as to the Consolidated Companies and their Subsidiaries and (ii) it will not assert any claim in contravention of this </w:t>
      </w:r>
      <w:r>
        <w:rPr>
          <w:rFonts w:ascii="Times New Roman" w:cs="Times New Roman" w:eastAsia="Times New Roman" w:hAnsi="Times New Roman"/>
          <w:sz w:val="19"/>
          <w:szCs w:val="19"/>
          <w:u w:val="single" w:color="auto"/>
          <w:color w:val="auto"/>
        </w:rPr>
        <w:t>Section 11.7</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74">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259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20"/>
          </w:cols>
          <w:pgMar w:left="320" w:top="1440" w:right="459" w:bottom="1440" w:gutter="0" w:footer="0" w:header="0"/>
        </w:sectPr>
      </w:pPr>
    </w:p>
    <w:bookmarkStart w:id="408" w:name="page409"/>
    <w:bookmarkEnd w:id="408"/>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75">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260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0139"/>
          </w:cols>
          <w:pgMar w:left="320" w:top="1440" w:right="1440" w:bottom="1440" w:gutter="0" w:footer="0" w:header="0"/>
        </w:sectPr>
      </w:pPr>
    </w:p>
    <w:bookmarkStart w:id="409" w:name="page410"/>
    <w:bookmarkEnd w:id="409"/>
    <w:p>
      <w:pPr>
        <w:spacing w:after="0" w:line="201" w:lineRule="exact"/>
        <w:rPr>
          <w:sz w:val="20"/>
          <w:szCs w:val="20"/>
          <w:color w:val="auto"/>
        </w:rPr>
      </w:pPr>
    </w:p>
    <w:p>
      <w:pPr>
        <w:jc w:val="both"/>
        <w:ind w:left="680" w:firstLine="642"/>
        <w:spacing w:after="0" w:line="250" w:lineRule="auto"/>
        <w:rPr>
          <w:sz w:val="20"/>
          <w:szCs w:val="20"/>
          <w:color w:val="auto"/>
        </w:rPr>
      </w:pPr>
      <w:r>
        <w:rPr>
          <w:rFonts w:ascii="Times New Roman" w:cs="Times New Roman" w:eastAsia="Times New Roman" w:hAnsi="Times New Roman"/>
          <w:sz w:val="20"/>
          <w:szCs w:val="20"/>
          <w:color w:val="auto"/>
        </w:rPr>
        <w:t xml:space="preserve">SECTION 11.8 </w:t>
      </w:r>
      <w:r>
        <w:rPr>
          <w:rFonts w:ascii="Times New Roman" w:cs="Times New Roman" w:eastAsia="Times New Roman" w:hAnsi="Times New Roman"/>
          <w:sz w:val="20"/>
          <w:szCs w:val="20"/>
          <w:u w:val="single" w:color="auto"/>
          <w:color w:val="auto"/>
        </w:rPr>
        <w:t>No Other Duties, Etc.</w:t>
      </w:r>
      <w:r>
        <w:rPr>
          <w:rFonts w:ascii="Times New Roman" w:cs="Times New Roman" w:eastAsia="Times New Roman" w:hAnsi="Times New Roman"/>
          <w:sz w:val="20"/>
          <w:szCs w:val="20"/>
          <w:color w:val="auto"/>
        </w:rPr>
        <w:t xml:space="preserve"> Anything herein to the contrary notwithstanding, none of the syndication agents, documentation agents, co-agents, arrangers or bookrunners listed on the cover page hereof shall have any powers, duties or responsibilities under this Agreement or any of the other Loan Documents, except in its capacity, as applicable, as the Administrative Agent, a Lender or an Issuing Lender hereunder, but each such Person shall have the benefit of the indemnities and exculpatory provisions hereof.</w:t>
      </w:r>
    </w:p>
    <w:p>
      <w:pPr>
        <w:spacing w:after="0" w:line="180" w:lineRule="exact"/>
        <w:rPr>
          <w:sz w:val="20"/>
          <w:szCs w:val="20"/>
          <w:color w:val="auto"/>
        </w:rPr>
      </w:pPr>
    </w:p>
    <w:p>
      <w:pPr>
        <w:ind w:left="1320"/>
        <w:spacing w:after="0"/>
        <w:tabs>
          <w:tab w:leader="none" w:pos="2720" w:val="left"/>
        </w:tabs>
        <w:rPr>
          <w:sz w:val="20"/>
          <w:szCs w:val="20"/>
          <w:color w:val="auto"/>
        </w:rPr>
      </w:pPr>
      <w:r>
        <w:rPr>
          <w:rFonts w:ascii="Times New Roman" w:cs="Times New Roman" w:eastAsia="Times New Roman" w:hAnsi="Times New Roman"/>
          <w:sz w:val="20"/>
          <w:szCs w:val="20"/>
          <w:color w:val="auto"/>
        </w:rPr>
        <w:t>SECTION 11.9</w:t>
      </w:r>
      <w:r>
        <w:rPr>
          <w:sz w:val="20"/>
          <w:szCs w:val="20"/>
          <w:color w:val="auto"/>
        </w:rPr>
        <w:tab/>
      </w:r>
      <w:r>
        <w:rPr>
          <w:rFonts w:ascii="Times New Roman" w:cs="Times New Roman" w:eastAsia="Times New Roman" w:hAnsi="Times New Roman"/>
          <w:sz w:val="19"/>
          <w:szCs w:val="19"/>
          <w:u w:val="single" w:color="auto"/>
          <w:color w:val="auto"/>
        </w:rPr>
        <w:t>Collateral and Guaranty Matters</w:t>
      </w:r>
      <w:r>
        <w:rPr>
          <w:rFonts w:ascii="Times New Roman" w:cs="Times New Roman" w:eastAsia="Times New Roman" w:hAnsi="Times New Roman"/>
          <w:sz w:val="19"/>
          <w:szCs w:val="19"/>
          <w:color w:val="auto"/>
        </w:rPr>
        <w:t>.</w:t>
      </w:r>
    </w:p>
    <w:p>
      <w:pPr>
        <w:spacing w:after="0" w:line="225" w:lineRule="exact"/>
        <w:rPr>
          <w:sz w:val="20"/>
          <w:szCs w:val="20"/>
          <w:color w:val="auto"/>
        </w:rPr>
      </w:pPr>
    </w:p>
    <w:p>
      <w:pPr>
        <w:ind w:left="680" w:right="60" w:firstLine="646"/>
        <w:spacing w:after="0" w:line="263" w:lineRule="auto"/>
        <w:tabs>
          <w:tab w:leader="none" w:pos="1927" w:val="left"/>
        </w:tabs>
        <w:numPr>
          <w:ilvl w:val="0"/>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Lenders (including in its or any of its Affiliate’s capacities as a holder of Secured Hedge Obligations and Secured Cash Management Obligations) irrevocably authorize the Administrative Agent:</w:t>
      </w:r>
    </w:p>
    <w:p>
      <w:pPr>
        <w:spacing w:after="0" w:line="178" w:lineRule="exact"/>
        <w:rPr>
          <w:rFonts w:ascii="Times New Roman" w:cs="Times New Roman" w:eastAsia="Times New Roman" w:hAnsi="Times New Roman"/>
          <w:sz w:val="20"/>
          <w:szCs w:val="20"/>
          <w:color w:val="auto"/>
        </w:rPr>
      </w:pPr>
    </w:p>
    <w:p>
      <w:pPr>
        <w:jc w:val="both"/>
        <w:ind w:left="1320" w:right="40" w:firstLine="648"/>
        <w:spacing w:after="0" w:line="247" w:lineRule="auto"/>
        <w:tabs>
          <w:tab w:leader="none" w:pos="2561" w:val="left"/>
        </w:tabs>
        <w:numPr>
          <w:ilvl w:val="1"/>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release any Lien on any Collateral granted to or held by the Administrative Agent, for the ratable benefit of the Secured Parties, under any Loan Document (A) upon the termination of the Revolving Credit Commitment and payment in full of all Secured Obligations (other than (1) contingent indemnification obligations and (2) Secured Cash Management Obligations or Secured Hedge Obligations) and the expiration or termination of all Letters of Credit (other than Letters of Credit which have been Cash Collateralized or as to which other arrangements satisfactory to the Administrative Agent and the applicable Issuing Lender shall have been made), (B) that is sold or otherwise disposed of or to be sold or otherwise disposed of as part of or in connection with any sale or other disposition to a Person other than a Credit Party permitted under the Loan Documents, as certified by Centuri, or (C) if approved, authorized or ratified in writing by the Required Lenders in accordance with </w:t>
      </w:r>
      <w:r>
        <w:rPr>
          <w:rFonts w:ascii="Times New Roman" w:cs="Times New Roman" w:eastAsia="Times New Roman" w:hAnsi="Times New Roman"/>
          <w:sz w:val="20"/>
          <w:szCs w:val="20"/>
          <w:u w:val="single" w:color="auto"/>
          <w:color w:val="auto"/>
        </w:rPr>
        <w:t>Section 12.2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release of all or substantially of the Collateral shall be subject to </w:t>
      </w:r>
      <w:r>
        <w:rPr>
          <w:rFonts w:ascii="Times New Roman" w:cs="Times New Roman" w:eastAsia="Times New Roman" w:hAnsi="Times New Roman"/>
          <w:sz w:val="20"/>
          <w:szCs w:val="20"/>
          <w:u w:val="single" w:color="auto"/>
          <w:color w:val="auto"/>
        </w:rPr>
        <w:t>Section 12.2(j)</w:t>
      </w:r>
      <w:r>
        <w:rPr>
          <w:rFonts w:ascii="Times New Roman" w:cs="Times New Roman" w:eastAsia="Times New Roman" w:hAnsi="Times New Roman"/>
          <w:sz w:val="20"/>
          <w:szCs w:val="20"/>
          <w:color w:val="auto"/>
        </w:rPr>
        <w:t>;</w:t>
      </w:r>
    </w:p>
    <w:p>
      <w:pPr>
        <w:spacing w:after="0" w:line="187" w:lineRule="exact"/>
        <w:rPr>
          <w:rFonts w:ascii="Times New Roman" w:cs="Times New Roman" w:eastAsia="Times New Roman" w:hAnsi="Times New Roman"/>
          <w:sz w:val="20"/>
          <w:szCs w:val="20"/>
          <w:color w:val="auto"/>
        </w:rPr>
      </w:pPr>
    </w:p>
    <w:p>
      <w:pPr>
        <w:jc w:val="both"/>
        <w:ind w:left="1320" w:right="40" w:firstLine="648"/>
        <w:spacing w:after="0" w:line="257" w:lineRule="auto"/>
        <w:tabs>
          <w:tab w:leader="none" w:pos="2562" w:val="left"/>
        </w:tabs>
        <w:numPr>
          <w:ilvl w:val="1"/>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subordinate any Lien on any Collateral granted to or held by the Administrative Agent under any Loan Document to the holder of any Lien permitted pursuant to </w:t>
      </w:r>
      <w:r>
        <w:rPr>
          <w:rFonts w:ascii="Times New Roman" w:cs="Times New Roman" w:eastAsia="Times New Roman" w:hAnsi="Times New Roman"/>
          <w:sz w:val="20"/>
          <w:szCs w:val="20"/>
          <w:u w:val="single" w:color="auto"/>
          <w:color w:val="auto"/>
        </w:rPr>
        <w:t>Section 9.2(h)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subordination of all or substantially all of the Collateral shall be subject to </w:t>
      </w:r>
      <w:r>
        <w:rPr>
          <w:rFonts w:ascii="Times New Roman" w:cs="Times New Roman" w:eastAsia="Times New Roman" w:hAnsi="Times New Roman"/>
          <w:sz w:val="20"/>
          <w:szCs w:val="20"/>
          <w:u w:val="single" w:color="auto"/>
          <w:color w:val="auto"/>
        </w:rPr>
        <w:t>Section 12.2(j)</w:t>
      </w:r>
      <w:r>
        <w:rPr>
          <w:rFonts w:ascii="Times New Roman" w:cs="Times New Roman" w:eastAsia="Times New Roman" w:hAnsi="Times New Roman"/>
          <w:sz w:val="20"/>
          <w:szCs w:val="20"/>
          <w:color w:val="auto"/>
        </w:rPr>
        <w:t>; and</w:t>
      </w:r>
    </w:p>
    <w:p>
      <w:pPr>
        <w:spacing w:after="0" w:line="170" w:lineRule="exact"/>
        <w:rPr>
          <w:rFonts w:ascii="Times New Roman" w:cs="Times New Roman" w:eastAsia="Times New Roman" w:hAnsi="Times New Roman"/>
          <w:sz w:val="20"/>
          <w:szCs w:val="20"/>
          <w:color w:val="auto"/>
        </w:rPr>
      </w:pPr>
    </w:p>
    <w:p>
      <w:pPr>
        <w:jc w:val="both"/>
        <w:ind w:left="1320" w:right="60" w:firstLine="648"/>
        <w:spacing w:after="0" w:line="255" w:lineRule="auto"/>
        <w:tabs>
          <w:tab w:leader="none" w:pos="2563" w:val="left"/>
        </w:tabs>
        <w:numPr>
          <w:ilvl w:val="1"/>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release any Subsidiary Guarantor from its obligations under any Loan Documents if such Person ceases to be a Subsidiary as a result of a transaction permitted under the Loan Documents, as certified by Centuri;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release of Subsidiary Guarantors comprising substantially all of the credit support for the Secured Obligations shall be subject to </w:t>
      </w:r>
      <w:r>
        <w:rPr>
          <w:rFonts w:ascii="Times New Roman" w:cs="Times New Roman" w:eastAsia="Times New Roman" w:hAnsi="Times New Roman"/>
          <w:sz w:val="20"/>
          <w:szCs w:val="20"/>
          <w:u w:val="single" w:color="auto"/>
          <w:color w:val="auto"/>
        </w:rPr>
        <w:t>Section 12.2(i)</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left="680" w:right="40"/>
        <w:spacing w:after="0" w:line="249" w:lineRule="auto"/>
        <w:rPr>
          <w:sz w:val="20"/>
          <w:szCs w:val="20"/>
          <w:color w:val="auto"/>
        </w:rPr>
      </w:pPr>
      <w:r>
        <w:rPr>
          <w:rFonts w:ascii="Times New Roman" w:cs="Times New Roman" w:eastAsia="Times New Roman" w:hAnsi="Times New Roman"/>
          <w:sz w:val="20"/>
          <w:szCs w:val="20"/>
          <w:color w:val="auto"/>
        </w:rPr>
        <w:t xml:space="preserve">Upon request by the Administrative Agent at any time, the Required Lenders will confirm in writing the Administrative Agent’s authority to release or subordinate its interest in particular types or items of property, or to release any Subsidiary Guarantor from its obligations under any Guaranty Agreement pursuant to this </w:t>
      </w:r>
      <w:r>
        <w:rPr>
          <w:rFonts w:ascii="Times New Roman" w:cs="Times New Roman" w:eastAsia="Times New Roman" w:hAnsi="Times New Roman"/>
          <w:sz w:val="20"/>
          <w:szCs w:val="20"/>
          <w:u w:val="single" w:color="auto"/>
          <w:color w:val="auto"/>
        </w:rPr>
        <w:t>Section 11.9</w:t>
      </w:r>
      <w:r>
        <w:rPr>
          <w:rFonts w:ascii="Times New Roman" w:cs="Times New Roman" w:eastAsia="Times New Roman" w:hAnsi="Times New Roman"/>
          <w:sz w:val="20"/>
          <w:szCs w:val="20"/>
          <w:color w:val="auto"/>
        </w:rPr>
        <w:t xml:space="preserve">. In each case as specified in this </w:t>
      </w:r>
      <w:r>
        <w:rPr>
          <w:rFonts w:ascii="Times New Roman" w:cs="Times New Roman" w:eastAsia="Times New Roman" w:hAnsi="Times New Roman"/>
          <w:sz w:val="20"/>
          <w:szCs w:val="20"/>
          <w:u w:val="single" w:color="auto"/>
          <w:color w:val="auto"/>
        </w:rPr>
        <w:t>Section 11.9</w:t>
      </w:r>
      <w:r>
        <w:rPr>
          <w:rFonts w:ascii="Times New Roman" w:cs="Times New Roman" w:eastAsia="Times New Roman" w:hAnsi="Times New Roman"/>
          <w:sz w:val="20"/>
          <w:szCs w:val="20"/>
          <w:color w:val="auto"/>
        </w:rPr>
        <w:t xml:space="preserve">, the Administrative Agent will, at the Borrowers’ expense, execute and deliver to the applicable Credit Party such documents as such Credit Party may reasonably request to evidence the release of such item of Collateral from the assignment and security interest granted under the Security Documents or to subordinate its interest in such item, or to release such Subsidiary Guarantor from its obligations under such Guaranty Agreement, in each case in accordance with the terms of the Loan Documents and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11.9</w:t>
      </w:r>
      <w:r>
        <w:rPr>
          <w:rFonts w:ascii="Times New Roman" w:cs="Times New Roman" w:eastAsia="Times New Roman" w:hAnsi="Times New Roman"/>
          <w:sz w:val="20"/>
          <w:szCs w:val="20"/>
          <w:color w:val="auto"/>
        </w:rPr>
        <w:t xml:space="preserve">. In the case of any such sale, transfer or disposal of any property constituting Collateral in a transaction constituting an Asset Disposition permitted pursuant to </w:t>
      </w:r>
      <w:r>
        <w:rPr>
          <w:rFonts w:ascii="Times New Roman" w:cs="Times New Roman" w:eastAsia="Times New Roman" w:hAnsi="Times New Roman"/>
          <w:sz w:val="20"/>
          <w:szCs w:val="20"/>
          <w:u w:val="single" w:color="auto"/>
          <w:color w:val="auto"/>
        </w:rPr>
        <w:t>Section 9.5</w:t>
      </w:r>
      <w:r>
        <w:rPr>
          <w:rFonts w:ascii="Times New Roman" w:cs="Times New Roman" w:eastAsia="Times New Roman" w:hAnsi="Times New Roman"/>
          <w:sz w:val="20"/>
          <w:szCs w:val="20"/>
          <w:color w:val="auto"/>
        </w:rPr>
        <w:t xml:space="preserve"> to a Person other than a Credit Party, the Liens created by any of the Security Documents on such property shall be automatically released without need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76">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261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20"/>
          </w:cols>
          <w:pgMar w:left="320" w:top="1440" w:right="459" w:bottom="1440" w:gutter="0" w:footer="0" w:header="0"/>
        </w:sectPr>
      </w:pPr>
    </w:p>
    <w:bookmarkStart w:id="410" w:name="page411"/>
    <w:bookmarkEnd w:id="410"/>
    <w:p>
      <w:pPr>
        <w:spacing w:after="0" w:line="94" w:lineRule="exact"/>
        <w:rPr>
          <w:sz w:val="20"/>
          <w:szCs w:val="20"/>
          <w:color w:val="auto"/>
        </w:rPr>
      </w:pPr>
    </w:p>
    <w:p>
      <w:pPr>
        <w:ind w:left="680"/>
        <w:spacing w:after="0" w:line="263" w:lineRule="auto"/>
        <w:rPr>
          <w:sz w:val="20"/>
          <w:szCs w:val="20"/>
          <w:color w:val="auto"/>
        </w:rPr>
      </w:pPr>
      <w:r>
        <w:rPr>
          <w:rFonts w:ascii="Times New Roman" w:cs="Times New Roman" w:eastAsia="Times New Roman" w:hAnsi="Times New Roman"/>
          <w:sz w:val="20"/>
          <w:szCs w:val="20"/>
          <w:color w:val="auto"/>
        </w:rPr>
        <w:t>for further action by any person. Notwithstanding anything to the contrary in this Agreement or in any other Loan Document, without the consent of the Required Lenders, no Credit Party shall be released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77">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262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060"/>
          </w:cols>
          <w:pgMar w:left="320" w:top="1440" w:right="519" w:bottom="1440" w:gutter="0" w:footer="0" w:header="0"/>
        </w:sectPr>
      </w:pPr>
    </w:p>
    <w:bookmarkStart w:id="411" w:name="page412"/>
    <w:bookmarkEnd w:id="411"/>
    <w:p>
      <w:pPr>
        <w:spacing w:after="0" w:line="202" w:lineRule="exact"/>
        <w:rPr>
          <w:sz w:val="20"/>
          <w:szCs w:val="20"/>
          <w:color w:val="auto"/>
        </w:rPr>
      </w:pPr>
    </w:p>
    <w:p>
      <w:pPr>
        <w:jc w:val="both"/>
        <w:ind w:left="680" w:right="40"/>
        <w:spacing w:after="0" w:line="250" w:lineRule="auto"/>
        <w:rPr>
          <w:sz w:val="20"/>
          <w:szCs w:val="20"/>
          <w:color w:val="auto"/>
        </w:rPr>
      </w:pPr>
      <w:r>
        <w:rPr>
          <w:rFonts w:ascii="Times New Roman" w:cs="Times New Roman" w:eastAsia="Times New Roman" w:hAnsi="Times New Roman"/>
          <w:sz w:val="20"/>
          <w:szCs w:val="20"/>
          <w:color w:val="auto"/>
        </w:rPr>
        <w:t xml:space="preserve">from its obligations under the Loan Documents if such Credit Party ceases to be a Wholly Owned Subsidiary solely by virtue of a disposition or issuance of Equity Interests, unless (x) such disposition or issuance is a good faith disposition or issuance to a bona-fide unaffiliated third party whose primary purpose is not the release of the Guarantee and obligations of such Credit Party under the Loan Documents and (y) the Investment of the Credit Parties in such Subsidiary shall be deemed a de novo Investment as at that time and such Investment shall be permitted under </w:t>
      </w:r>
      <w:r>
        <w:rPr>
          <w:rFonts w:ascii="Times New Roman" w:cs="Times New Roman" w:eastAsia="Times New Roman" w:hAnsi="Times New Roman"/>
          <w:sz w:val="20"/>
          <w:szCs w:val="20"/>
          <w:u w:val="single" w:color="auto"/>
          <w:color w:val="auto"/>
        </w:rPr>
        <w:t>Section 9.3</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left="680" w:right="40" w:firstLine="646"/>
        <w:spacing w:after="0" w:line="255" w:lineRule="auto"/>
        <w:tabs>
          <w:tab w:leader="none" w:pos="1925" w:val="left"/>
        </w:tabs>
        <w:numPr>
          <w:ilvl w:val="0"/>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Credit Party in connection therewith, nor shall the Administrative Agent be responsible or liable to the Lenders for any failure to monitor or maintain any portion of the Collateral.</w:t>
      </w:r>
    </w:p>
    <w:p>
      <w:pPr>
        <w:spacing w:after="0" w:line="173" w:lineRule="exact"/>
        <w:rPr>
          <w:sz w:val="20"/>
          <w:szCs w:val="20"/>
          <w:color w:val="auto"/>
        </w:rPr>
      </w:pPr>
    </w:p>
    <w:p>
      <w:pPr>
        <w:ind w:left="680" w:right="60" w:firstLine="642"/>
        <w:spacing w:after="0" w:line="263" w:lineRule="auto"/>
        <w:rPr>
          <w:sz w:val="20"/>
          <w:szCs w:val="20"/>
          <w:color w:val="auto"/>
        </w:rPr>
      </w:pPr>
      <w:r>
        <w:rPr>
          <w:rFonts w:ascii="Times New Roman" w:cs="Times New Roman" w:eastAsia="Times New Roman" w:hAnsi="Times New Roman"/>
          <w:sz w:val="19"/>
          <w:szCs w:val="19"/>
          <w:color w:val="auto"/>
        </w:rPr>
        <w:t xml:space="preserve">SECTION 11.10 </w:t>
      </w:r>
      <w:r>
        <w:rPr>
          <w:rFonts w:ascii="Times New Roman" w:cs="Times New Roman" w:eastAsia="Times New Roman" w:hAnsi="Times New Roman"/>
          <w:sz w:val="19"/>
          <w:szCs w:val="19"/>
          <w:u w:val="single" w:color="auto"/>
          <w:color w:val="auto"/>
        </w:rPr>
        <w:t>Secured Hedge Agreements and Secured Cash Management Agreements</w:t>
      </w:r>
      <w:r>
        <w:rPr>
          <w:rFonts w:ascii="Times New Roman" w:cs="Times New Roman" w:eastAsia="Times New Roman" w:hAnsi="Times New Roman"/>
          <w:sz w:val="19"/>
          <w:szCs w:val="19"/>
          <w:color w:val="auto"/>
        </w:rPr>
        <w:t xml:space="preserve">. No Cash Management Bank or Hedge Bank that obtains the benefits of </w:t>
      </w:r>
      <w:r>
        <w:rPr>
          <w:rFonts w:ascii="Times New Roman" w:cs="Times New Roman" w:eastAsia="Times New Roman" w:hAnsi="Times New Roman"/>
          <w:sz w:val="19"/>
          <w:szCs w:val="19"/>
          <w:u w:val="single" w:color="auto"/>
          <w:color w:val="auto"/>
        </w:rPr>
        <w:t>Section 10.4</w:t>
      </w:r>
      <w:r>
        <w:rPr>
          <w:rFonts w:ascii="Times New Roman" w:cs="Times New Roman" w:eastAsia="Times New Roman" w:hAnsi="Times New Roman"/>
          <w:sz w:val="19"/>
          <w:szCs w:val="19"/>
          <w:color w:val="auto"/>
        </w:rPr>
        <w:t xml:space="preserve"> or any Collateral by virtue of the provisions hereof or of any Security Document shall have any right to notice of any action or to consent to, direct or object to any action hereunder or under any other Loan Document or otherwise in respect of the Collateral (including the release or impairment of any Collateral), or to notice of or to consent to any amendment, waiver or modification of the provisions hereof or of any Guarantee or any Security Document, other than in its capacity as a Lender and, in such case, only to the extent expressly provided in the Loan Documents. Except as expressly provided in </w:t>
      </w:r>
      <w:r>
        <w:rPr>
          <w:rFonts w:ascii="Times New Roman" w:cs="Times New Roman" w:eastAsia="Times New Roman" w:hAnsi="Times New Roman"/>
          <w:sz w:val="19"/>
          <w:szCs w:val="19"/>
          <w:u w:val="single" w:color="auto"/>
          <w:color w:val="auto"/>
        </w:rPr>
        <w:t>Section 10.4</w:t>
      </w:r>
      <w:r>
        <w:rPr>
          <w:rFonts w:ascii="Times New Roman" w:cs="Times New Roman" w:eastAsia="Times New Roman" w:hAnsi="Times New Roman"/>
          <w:sz w:val="19"/>
          <w:szCs w:val="19"/>
          <w:color w:val="auto"/>
        </w:rPr>
        <w:t>, the Administrative Agent shall not be required to verify the payment of, or that other satisfactory arrangements have been made with respect to, Secured Cash Management Agreements and Secured Hedge Agreements.</w:t>
      </w:r>
    </w:p>
    <w:p>
      <w:pPr>
        <w:spacing w:after="0" w:line="171" w:lineRule="exact"/>
        <w:rPr>
          <w:sz w:val="20"/>
          <w:szCs w:val="20"/>
          <w:color w:val="auto"/>
        </w:rPr>
      </w:pPr>
    </w:p>
    <w:p>
      <w:pPr>
        <w:ind w:left="1320"/>
        <w:spacing w:after="0"/>
        <w:tabs>
          <w:tab w:leader="none" w:pos="2800" w:val="left"/>
        </w:tabs>
        <w:rPr>
          <w:sz w:val="20"/>
          <w:szCs w:val="20"/>
          <w:color w:val="auto"/>
        </w:rPr>
      </w:pPr>
      <w:r>
        <w:rPr>
          <w:rFonts w:ascii="Times New Roman" w:cs="Times New Roman" w:eastAsia="Times New Roman" w:hAnsi="Times New Roman"/>
          <w:sz w:val="20"/>
          <w:szCs w:val="20"/>
          <w:color w:val="auto"/>
        </w:rPr>
        <w:t>SECTION 11.11</w:t>
      </w:r>
      <w:r>
        <w:rPr>
          <w:sz w:val="20"/>
          <w:szCs w:val="20"/>
          <w:color w:val="auto"/>
        </w:rPr>
        <w:tab/>
      </w:r>
      <w:r>
        <w:rPr>
          <w:rFonts w:ascii="Times New Roman" w:cs="Times New Roman" w:eastAsia="Times New Roman" w:hAnsi="Times New Roman"/>
          <w:sz w:val="19"/>
          <w:szCs w:val="19"/>
          <w:u w:val="single" w:color="auto"/>
          <w:color w:val="auto"/>
        </w:rPr>
        <w:t>Erroneous Payments</w:t>
      </w:r>
      <w:r>
        <w:rPr>
          <w:rFonts w:ascii="Times New Roman" w:cs="Times New Roman" w:eastAsia="Times New Roman" w:hAnsi="Times New Roman"/>
          <w:sz w:val="19"/>
          <w:szCs w:val="19"/>
          <w:color w:val="auto"/>
        </w:rPr>
        <w:t>.</w:t>
      </w:r>
    </w:p>
    <w:p>
      <w:pPr>
        <w:spacing w:after="0" w:line="225" w:lineRule="exact"/>
        <w:rPr>
          <w:sz w:val="20"/>
          <w:szCs w:val="20"/>
          <w:color w:val="auto"/>
        </w:rPr>
      </w:pPr>
    </w:p>
    <w:p>
      <w:pPr>
        <w:jc w:val="both"/>
        <w:ind w:left="680" w:firstLine="646"/>
        <w:spacing w:after="0" w:line="246" w:lineRule="auto"/>
        <w:tabs>
          <w:tab w:leader="none" w:pos="1927" w:val="left"/>
        </w:tabs>
        <w:numPr>
          <w:ilvl w:val="0"/>
          <w:numId w:val="3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each Issuing Lender, each other Secured Party and any other party hereto hereby severally agrees that if (i) the Administrative Agent notifies (which such notice shall be conclusive absent manifest error) such Lender or Issuing Lender or any other Secured Party (or the Lender Affiliate of a Secured Party) or any other Person that has received funds from the Administrative Agent or any of its Affiliates, either for its own account or on behalf of a Lender, Issuing Lender or other Secured Party (each such recipient, a “</w:t>
      </w:r>
      <w:r>
        <w:rPr>
          <w:rFonts w:ascii="Times New Roman" w:cs="Times New Roman" w:eastAsia="Times New Roman" w:hAnsi="Times New Roman"/>
          <w:sz w:val="20"/>
          <w:szCs w:val="20"/>
          <w:u w:val="single" w:color="auto"/>
          <w:color w:val="auto"/>
        </w:rPr>
        <w:t>Payment Recipient</w:t>
      </w:r>
      <w:r>
        <w:rPr>
          <w:rFonts w:ascii="Times New Roman" w:cs="Times New Roman" w:eastAsia="Times New Roman" w:hAnsi="Times New Roman"/>
          <w:sz w:val="20"/>
          <w:szCs w:val="20"/>
          <w:color w:val="auto"/>
        </w:rPr>
        <w:t xml:space="preserve">”) that the Administrative Agent has determined in its reasonable discretion that any funds received by such Payment Recipient were erroneously transmitted to, or otherwise erroneously or mistakenly received by, such Payment Recipient (whether or not known to such Payment Recipient) or (ii) any Payment Recipient receives any payment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as applicable, (y) that was not preceded or accompanied by a notice of payment, prepayment or repayment sent by the Administrative Agent (or any of its Affiliates) with respect to such payment, prepayment or repayment, as applicable, or (z) that such Payment Recipient otherwise becomes aware was transmitted or received in error or by mistake (in whole or in part) then, in each case, (A) an error in payment shall be presumed to have been made (any such amounts specified in clauses (i) or (ii) of this </w:t>
      </w:r>
      <w:r>
        <w:rPr>
          <w:rFonts w:ascii="Times New Roman" w:cs="Times New Roman" w:eastAsia="Times New Roman" w:hAnsi="Times New Roman"/>
          <w:sz w:val="20"/>
          <w:szCs w:val="20"/>
          <w:u w:val="single" w:color="auto"/>
          <w:color w:val="auto"/>
        </w:rPr>
        <w:t>Section 11.11(a),</w:t>
      </w:r>
      <w:r>
        <w:rPr>
          <w:rFonts w:ascii="Times New Roman" w:cs="Times New Roman" w:eastAsia="Times New Roman" w:hAnsi="Times New Roman"/>
          <w:sz w:val="20"/>
          <w:szCs w:val="20"/>
          <w:color w:val="auto"/>
        </w:rPr>
        <w:t xml:space="preserve"> whether received as a payment, prepayment or repayment of principal, interest, fees, distribution or otherwise; individually and collectively, an “</w:t>
      </w:r>
      <w:r>
        <w:rPr>
          <w:rFonts w:ascii="Times New Roman" w:cs="Times New Roman" w:eastAsia="Times New Roman" w:hAnsi="Times New Roman"/>
          <w:sz w:val="20"/>
          <w:szCs w:val="20"/>
          <w:u w:val="single" w:color="auto"/>
          <w:color w:val="auto"/>
        </w:rPr>
        <w:t>Erroneous Payment</w:t>
      </w:r>
      <w:r>
        <w:rPr>
          <w:rFonts w:ascii="Times New Roman" w:cs="Times New Roman" w:eastAsia="Times New Roman" w:hAnsi="Times New Roman"/>
          <w:sz w:val="20"/>
          <w:szCs w:val="20"/>
          <w:color w:val="auto"/>
        </w:rPr>
        <w:t xml:space="preserve">”), and (B) such Payment Recipient is deemed to have knowledge of such error at the time of its receipt of such Erroneous Payment;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nothing in this Section shall require the Administrative Agent to provide any of the notices specified in clauses (i) or (ii) above. Each Payment Recipient agrees that it shall not assert any right or claim to any Erroneous Payment, and hereby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78">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263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20"/>
          </w:cols>
          <w:pgMar w:left="320" w:top="1440" w:right="459" w:bottom="1440" w:gutter="0" w:footer="0" w:header="0"/>
        </w:sectPr>
      </w:pPr>
    </w:p>
    <w:bookmarkStart w:id="412" w:name="page413"/>
    <w:bookmarkEnd w:id="412"/>
    <w:p>
      <w:pPr>
        <w:spacing w:after="0" w:line="95" w:lineRule="exact"/>
        <w:rPr>
          <w:sz w:val="20"/>
          <w:szCs w:val="20"/>
          <w:color w:val="auto"/>
        </w:rPr>
      </w:pPr>
    </w:p>
    <w:p>
      <w:pPr>
        <w:ind w:left="680"/>
        <w:spacing w:after="0" w:line="277" w:lineRule="auto"/>
        <w:rPr>
          <w:sz w:val="20"/>
          <w:szCs w:val="20"/>
          <w:color w:val="auto"/>
        </w:rPr>
      </w:pPr>
      <w:r>
        <w:rPr>
          <w:rFonts w:ascii="Times New Roman" w:cs="Times New Roman" w:eastAsia="Times New Roman" w:hAnsi="Times New Roman"/>
          <w:sz w:val="20"/>
          <w:szCs w:val="20"/>
          <w:color w:val="auto"/>
        </w:rPr>
        <w:t>waives any claim, counterclaim, defense or right of set-off or recoupment with respect to any demand, claim or counterclaim by the Administrative Agent for the return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79">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264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20"/>
          </w:cols>
          <w:pgMar w:left="320" w:top="1440" w:right="459" w:bottom="1440" w:gutter="0" w:footer="0" w:header="0"/>
        </w:sectPr>
      </w:pPr>
    </w:p>
    <w:bookmarkStart w:id="413" w:name="page414"/>
    <w:bookmarkEnd w:id="413"/>
    <w:p>
      <w:pPr>
        <w:spacing w:after="0" w:line="20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Erroneous Payments, including without limitation waiver of any defense based on “discharge for value” or any similar doctrine.</w:t>
      </w:r>
    </w:p>
    <w:p>
      <w:pPr>
        <w:spacing w:after="0" w:line="211" w:lineRule="exact"/>
        <w:rPr>
          <w:sz w:val="20"/>
          <w:szCs w:val="20"/>
          <w:color w:val="auto"/>
        </w:rPr>
      </w:pPr>
    </w:p>
    <w:p>
      <w:pPr>
        <w:ind w:left="1920" w:hanging="594"/>
        <w:spacing w:after="0"/>
        <w:tabs>
          <w:tab w:leader="none" w:pos="1920" w:val="left"/>
        </w:tabs>
        <w:numPr>
          <w:ilvl w:val="1"/>
          <w:numId w:val="3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limiting the immediately preceding clause (a), each Payment Recipient agrees that, in the case of clause (a)</w:t>
      </w:r>
    </w:p>
    <w:p>
      <w:pPr>
        <w:spacing w:after="0" w:line="36" w:lineRule="exact"/>
        <w:rPr>
          <w:rFonts w:ascii="Times New Roman" w:cs="Times New Roman" w:eastAsia="Times New Roman" w:hAnsi="Times New Roman"/>
          <w:sz w:val="19"/>
          <w:szCs w:val="19"/>
          <w:color w:val="auto"/>
        </w:rPr>
      </w:pPr>
    </w:p>
    <w:p>
      <w:pPr>
        <w:ind w:left="980" w:hanging="296"/>
        <w:spacing w:after="0"/>
        <w:tabs>
          <w:tab w:leader="none" w:pos="980" w:val="left"/>
        </w:tabs>
        <w:numPr>
          <w:ilvl w:val="0"/>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above, it shall promptly notify the Administrative Agent in writing of such occurrence.</w:t>
      </w:r>
    </w:p>
    <w:p>
      <w:pPr>
        <w:spacing w:after="0" w:line="197" w:lineRule="exact"/>
        <w:rPr>
          <w:rFonts w:ascii="Times New Roman" w:cs="Times New Roman" w:eastAsia="Times New Roman" w:hAnsi="Times New Roman"/>
          <w:sz w:val="20"/>
          <w:szCs w:val="20"/>
          <w:color w:val="auto"/>
        </w:rPr>
      </w:pPr>
    </w:p>
    <w:p>
      <w:pPr>
        <w:jc w:val="both"/>
        <w:ind w:left="680" w:right="40" w:firstLine="646"/>
        <w:spacing w:after="0" w:line="249" w:lineRule="auto"/>
        <w:tabs>
          <w:tab w:leader="none" w:pos="1927" w:val="left"/>
        </w:tabs>
        <w:numPr>
          <w:ilvl w:val="1"/>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either clause (a)(i) or (a)(ii) above, such Erroneous Payment shall at all times remain the property of the Administrative Agent and shall be segregated by the Payment Recipient and held in trust for the benefit of the Administrative Agent, and upon demand from the Administrative Agent such Payment Recipient shall (or, shall cause any Person who received any portion of an Erroneous Payment on its behalf to), promptly, but in all events no later than two Business Days thereafter (or such later date as the Administrative Agent may, in its sole discretion, specify in writing), return to the Administrative Agent the amount of any such Erroneous Payment (or portion thereof) as to which such a demand was made in Same Day Funds and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at the Overnight Rate.</w:t>
      </w:r>
    </w:p>
    <w:p>
      <w:pPr>
        <w:spacing w:after="0" w:line="179" w:lineRule="exact"/>
        <w:rPr>
          <w:rFonts w:ascii="Times New Roman" w:cs="Times New Roman" w:eastAsia="Times New Roman" w:hAnsi="Times New Roman"/>
          <w:sz w:val="20"/>
          <w:szCs w:val="20"/>
          <w:color w:val="auto"/>
        </w:rPr>
      </w:pPr>
    </w:p>
    <w:p>
      <w:pPr>
        <w:jc w:val="both"/>
        <w:ind w:left="680" w:firstLine="646"/>
        <w:spacing w:after="0" w:line="246" w:lineRule="auto"/>
        <w:tabs>
          <w:tab w:leader="none" w:pos="1925" w:val="left"/>
        </w:tabs>
        <w:numPr>
          <w:ilvl w:val="1"/>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an Erroneous Payment (or portion thereof) is not recovered by the Administrative Agent for any reason, after demand therefor by the Administrative Agent in accordance with immediately preceding clause (c), from any Lender that is a Payment Recipient or an Affiliate of a Payment Recipient (such unrecovered amount as to such Lender, an “</w:t>
      </w:r>
      <w:r>
        <w:rPr>
          <w:rFonts w:ascii="Times New Roman" w:cs="Times New Roman" w:eastAsia="Times New Roman" w:hAnsi="Times New Roman"/>
          <w:sz w:val="20"/>
          <w:szCs w:val="20"/>
          <w:u w:val="single" w:color="auto"/>
          <w:color w:val="auto"/>
        </w:rPr>
        <w:t>Erroneous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Payment Return Deficiency</w:t>
      </w:r>
      <w:r>
        <w:rPr>
          <w:rFonts w:ascii="Times New Roman" w:cs="Times New Roman" w:eastAsia="Times New Roman" w:hAnsi="Times New Roman"/>
          <w:sz w:val="20"/>
          <w:szCs w:val="20"/>
          <w:color w:val="auto"/>
        </w:rPr>
        <w:t>”), then at the sole discretion of the Administrative Agent and upon the Administrative Agent’s written notice to such Lender (i) such Lender shall be deemed to have made a cashless assignment of the full face amount of the portion of its Loans (but not its Commitments) of the relevant Class with respect to which such Erroneous Payment was made (the “</w:t>
      </w:r>
      <w:r>
        <w:rPr>
          <w:rFonts w:ascii="Times New Roman" w:cs="Times New Roman" w:eastAsia="Times New Roman" w:hAnsi="Times New Roman"/>
          <w:sz w:val="20"/>
          <w:szCs w:val="20"/>
          <w:u w:val="single" w:color="auto"/>
          <w:color w:val="auto"/>
        </w:rPr>
        <w:t>Erroneous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Payment Impacted Class</w:t>
      </w:r>
      <w:r>
        <w:rPr>
          <w:rFonts w:ascii="Times New Roman" w:cs="Times New Roman" w:eastAsia="Times New Roman" w:hAnsi="Times New Roman"/>
          <w:sz w:val="20"/>
          <w:szCs w:val="20"/>
          <w:color w:val="auto"/>
        </w:rPr>
        <w:t>”) to the Administrative Agent or, at the option of the Administrative Agent, the Administrative Agent’s applicable lending affiliate in an amount that is equal to the Erroneous Payment Return Deficiency (or such lesser amount as the Administrative Agent may specify) (such assignment of the Loans (but not Commitments) of the Erroneous Payment Impacted Class, the “</w:t>
      </w:r>
      <w:r>
        <w:rPr>
          <w:rFonts w:ascii="Times New Roman" w:cs="Times New Roman" w:eastAsia="Times New Roman" w:hAnsi="Times New Roman"/>
          <w:sz w:val="20"/>
          <w:szCs w:val="20"/>
          <w:u w:val="single" w:color="auto"/>
          <w:color w:val="auto"/>
        </w:rPr>
        <w:t>Erroneous Payment Deficiency Assignment</w:t>
      </w:r>
      <w:r>
        <w:rPr>
          <w:rFonts w:ascii="Times New Roman" w:cs="Times New Roman" w:eastAsia="Times New Roman" w:hAnsi="Times New Roman"/>
          <w:sz w:val="20"/>
          <w:szCs w:val="20"/>
          <w:color w:val="auto"/>
        </w:rPr>
        <w:t xml:space="preserve">”) plus any accrued and unpaid interest on such assigned amount, without further consent or approval of any party hereto and without any payment by the Administrative Agent or its applicable lending affiliate as the assignee of such Erroneous Payment Deficiency Assignment. Without limitation of its rights hereunder, the Administrative Agent may cancel any Erroneous Payment Deficiency Assignment at any time by written notice to the applicable assigning Lender and upon such revocation all of the Loans assigned pursuant to such Erroneous Payment Deficiency Assignment shall be reassigned to such Lender without any requirement for payment or other consideration. The parties hereto acknowledge and agree that (1) any assignment contemplated in this clause (d) shall be made without any requirement for any payment or other consideration paid by the applicable assignee or received by the assignor, (2) the provisions of this clause (d) shall govern in the event of any conflict with the terms and conditions of </w:t>
      </w:r>
      <w:r>
        <w:rPr>
          <w:rFonts w:ascii="Times New Roman" w:cs="Times New Roman" w:eastAsia="Times New Roman" w:hAnsi="Times New Roman"/>
          <w:sz w:val="20"/>
          <w:szCs w:val="20"/>
          <w:u w:val="single" w:color="auto"/>
          <w:color w:val="auto"/>
        </w:rPr>
        <w:t>Section 12.9</w:t>
      </w:r>
      <w:r>
        <w:rPr>
          <w:rFonts w:ascii="Times New Roman" w:cs="Times New Roman" w:eastAsia="Times New Roman" w:hAnsi="Times New Roman"/>
          <w:sz w:val="20"/>
          <w:szCs w:val="20"/>
          <w:color w:val="auto"/>
        </w:rPr>
        <w:t xml:space="preserve"> and (3) the Administrative Agent may reflect such assignments in the Register without further consent or action by any other Person.</w:t>
      </w:r>
    </w:p>
    <w:p>
      <w:pPr>
        <w:spacing w:after="0" w:line="175" w:lineRule="exact"/>
        <w:rPr>
          <w:rFonts w:ascii="Times New Roman" w:cs="Times New Roman" w:eastAsia="Times New Roman" w:hAnsi="Times New Roman"/>
          <w:sz w:val="20"/>
          <w:szCs w:val="20"/>
          <w:color w:val="auto"/>
        </w:rPr>
      </w:pPr>
    </w:p>
    <w:p>
      <w:pPr>
        <w:jc w:val="both"/>
        <w:ind w:left="680" w:right="40" w:firstLine="646"/>
        <w:spacing w:after="0" w:line="254" w:lineRule="auto"/>
        <w:tabs>
          <w:tab w:leader="none" w:pos="1927" w:val="left"/>
        </w:tabs>
        <w:numPr>
          <w:ilvl w:val="1"/>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hereto hereby agrees that (x) in the event an Erroneous Payment (or portion thereof) is not recovered from any Payment Recipient that has received such Erroneous Payment (or portion thereof) for any reason, the Administrative Agent (1) shall be subrogated to all the rights of such Payment Recipient with respect to such amount and (2) is authorized to set off, net and apply any and all amounts at any time owing to such Payment Recipient under any Loan Document, or otherwise payable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80">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265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20"/>
          </w:cols>
          <w:pgMar w:left="320" w:top="1440" w:right="459" w:bottom="1440" w:gutter="0" w:footer="0" w:header="0"/>
        </w:sectPr>
      </w:pPr>
    </w:p>
    <w:bookmarkStart w:id="414" w:name="page415"/>
    <w:bookmarkEnd w:id="414"/>
    <w:p>
      <w:pPr>
        <w:spacing w:after="0" w:line="81" w:lineRule="exact"/>
        <w:rPr>
          <w:sz w:val="20"/>
          <w:szCs w:val="20"/>
          <w:color w:val="auto"/>
        </w:rPr>
      </w:pPr>
    </w:p>
    <w:p>
      <w:pPr>
        <w:ind w:left="680"/>
        <w:spacing w:after="0" w:line="263" w:lineRule="auto"/>
        <w:rPr>
          <w:sz w:val="20"/>
          <w:szCs w:val="20"/>
          <w:color w:val="auto"/>
        </w:rPr>
      </w:pPr>
      <w:r>
        <w:rPr>
          <w:rFonts w:ascii="Times New Roman" w:cs="Times New Roman" w:eastAsia="Times New Roman" w:hAnsi="Times New Roman"/>
          <w:sz w:val="20"/>
          <w:szCs w:val="20"/>
          <w:color w:val="auto"/>
        </w:rPr>
        <w:t xml:space="preserve">or distributable by the Administrative Agent to such Payment Recipient from any source, against any amount due to the Administrative Agent under this </w:t>
      </w:r>
      <w:r>
        <w:rPr>
          <w:rFonts w:ascii="Times New Roman" w:cs="Times New Roman" w:eastAsia="Times New Roman" w:hAnsi="Times New Roman"/>
          <w:sz w:val="20"/>
          <w:szCs w:val="20"/>
          <w:u w:val="single" w:color="auto"/>
          <w:color w:val="auto"/>
        </w:rPr>
        <w:t>Section 11.11</w:t>
      </w:r>
      <w:r>
        <w:rPr>
          <w:rFonts w:ascii="Times New Roman" w:cs="Times New Roman" w:eastAsia="Times New Roman" w:hAnsi="Times New Roman"/>
          <w:sz w:val="20"/>
          <w:szCs w:val="20"/>
          <w:color w:val="auto"/>
        </w:rPr>
        <w:t xml:space="preserve"> or under the indemnification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81">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266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080"/>
          </w:cols>
          <w:pgMar w:left="320" w:top="1440" w:right="499" w:bottom="1440" w:gutter="0" w:footer="0" w:header="0"/>
        </w:sectPr>
      </w:pPr>
    </w:p>
    <w:bookmarkStart w:id="415" w:name="page416"/>
    <w:bookmarkEnd w:id="415"/>
    <w:p>
      <w:pPr>
        <w:spacing w:after="0" w:line="202" w:lineRule="exact"/>
        <w:rPr>
          <w:sz w:val="20"/>
          <w:szCs w:val="20"/>
          <w:color w:val="auto"/>
        </w:rPr>
      </w:pPr>
    </w:p>
    <w:p>
      <w:pPr>
        <w:jc w:val="both"/>
        <w:ind w:left="680" w:right="20"/>
        <w:spacing w:after="0" w:line="248" w:lineRule="auto"/>
        <w:rPr>
          <w:sz w:val="20"/>
          <w:szCs w:val="20"/>
          <w:color w:val="auto"/>
        </w:rPr>
      </w:pPr>
      <w:r>
        <w:rPr>
          <w:rFonts w:ascii="Times New Roman" w:cs="Times New Roman" w:eastAsia="Times New Roman" w:hAnsi="Times New Roman"/>
          <w:sz w:val="20"/>
          <w:szCs w:val="20"/>
          <w:color w:val="auto"/>
        </w:rPr>
        <w:t>of this Agreement, (y) the receipt of an Erroneous Payment by a Payment Recipient shall not for the purpose of this Agreement be treated as a payment, prepayment, repayment, discharge or other satisfaction of any Obligations owed by the Borrowers or any other Credit Party, except, in each case, to the extent such Erroneous Payment is, and solely with respect to the amount of such Erroneous Payment that is, comprised of funds received by the Administrative Agent from the Borrowers or any other Credit Party for the purpose of making for a payment on the Obligations and (z) to the extent that an Erroneous Payment was in any way or at any time credited as payment or satisfaction of any of the Obligations, the Obligations or any part thereof that were so credited, and all rights of the Payment Recipient, as the case may be, shall be reinstated and continue in full force and effect as if such payment or satisfaction had never been received.</w:t>
      </w:r>
    </w:p>
    <w:p>
      <w:pPr>
        <w:spacing w:after="0" w:line="185" w:lineRule="exact"/>
        <w:rPr>
          <w:sz w:val="20"/>
          <w:szCs w:val="20"/>
          <w:color w:val="auto"/>
        </w:rPr>
      </w:pPr>
    </w:p>
    <w:p>
      <w:pPr>
        <w:jc w:val="both"/>
        <w:ind w:left="680" w:right="40" w:firstLine="646"/>
        <w:spacing w:after="0" w:line="257" w:lineRule="auto"/>
        <w:tabs>
          <w:tab w:leader="none" w:pos="1919" w:val="left"/>
        </w:tabs>
        <w:numPr>
          <w:ilvl w:val="0"/>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party’s obligations under this </w:t>
      </w:r>
      <w:r>
        <w:rPr>
          <w:rFonts w:ascii="Times New Roman" w:cs="Times New Roman" w:eastAsia="Times New Roman" w:hAnsi="Times New Roman"/>
          <w:sz w:val="20"/>
          <w:szCs w:val="20"/>
          <w:u w:val="single" w:color="auto"/>
          <w:color w:val="auto"/>
        </w:rPr>
        <w:t>Section 11.11</w:t>
      </w:r>
      <w:r>
        <w:rPr>
          <w:rFonts w:ascii="Times New Roman" w:cs="Times New Roman" w:eastAsia="Times New Roman" w:hAnsi="Times New Roman"/>
          <w:sz w:val="20"/>
          <w:szCs w:val="20"/>
          <w:color w:val="auto"/>
        </w:rPr>
        <w:t xml:space="preserve"> shall survive the resignation or replacement of the Administrative Agent or any transfer of right or obligations by, or the replacement of, a Lender, the termination of the Commitments or the repayment, satisfaction or discharge of all Obligations (or any portion thereof) under any Loan Document.</w:t>
      </w:r>
    </w:p>
    <w:p>
      <w:pPr>
        <w:spacing w:after="0" w:line="170" w:lineRule="exact"/>
        <w:rPr>
          <w:rFonts w:ascii="Times New Roman" w:cs="Times New Roman" w:eastAsia="Times New Roman" w:hAnsi="Times New Roman"/>
          <w:sz w:val="20"/>
          <w:szCs w:val="20"/>
          <w:color w:val="auto"/>
        </w:rPr>
      </w:pPr>
    </w:p>
    <w:p>
      <w:pPr>
        <w:ind w:left="680" w:firstLine="646"/>
        <w:spacing w:after="0" w:line="277" w:lineRule="auto"/>
        <w:tabs>
          <w:tab w:leader="none" w:pos="1925" w:val="left"/>
        </w:tabs>
        <w:numPr>
          <w:ilvl w:val="0"/>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Nothing in this </w:t>
      </w:r>
      <w:r>
        <w:rPr>
          <w:rFonts w:ascii="Times New Roman" w:cs="Times New Roman" w:eastAsia="Times New Roman" w:hAnsi="Times New Roman"/>
          <w:sz w:val="20"/>
          <w:szCs w:val="20"/>
          <w:u w:val="single" w:color="auto"/>
          <w:color w:val="auto"/>
        </w:rPr>
        <w:t>Section 11.11</w:t>
      </w:r>
      <w:r>
        <w:rPr>
          <w:rFonts w:ascii="Times New Roman" w:cs="Times New Roman" w:eastAsia="Times New Roman" w:hAnsi="Times New Roman"/>
          <w:sz w:val="20"/>
          <w:szCs w:val="20"/>
          <w:color w:val="auto"/>
        </w:rPr>
        <w:t xml:space="preserve"> will constitute a waiver or release of any claim of any party hereunder arising from any Payment Recipient’s receipt of an Erroneous Payment.</w:t>
      </w:r>
    </w:p>
    <w:p>
      <w:pPr>
        <w:spacing w:after="0" w:line="2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ARTICLE XII MISCELLANEOUS</w:t>
      </w:r>
    </w:p>
    <w:p>
      <w:pPr>
        <w:spacing w:after="0" w:line="118" w:lineRule="exact"/>
        <w:rPr>
          <w:sz w:val="20"/>
          <w:szCs w:val="20"/>
          <w:color w:val="auto"/>
        </w:rPr>
      </w:pPr>
    </w:p>
    <w:p>
      <w:pPr>
        <w:ind w:left="1320"/>
        <w:spacing w:after="0"/>
        <w:tabs>
          <w:tab w:leader="none" w:pos="2720" w:val="left"/>
        </w:tabs>
        <w:rPr>
          <w:sz w:val="20"/>
          <w:szCs w:val="20"/>
          <w:color w:val="auto"/>
        </w:rPr>
      </w:pPr>
      <w:r>
        <w:rPr>
          <w:rFonts w:ascii="Times New Roman" w:cs="Times New Roman" w:eastAsia="Times New Roman" w:hAnsi="Times New Roman"/>
          <w:sz w:val="20"/>
          <w:szCs w:val="20"/>
          <w:color w:val="auto"/>
        </w:rPr>
        <w:t>SECTION 12.1</w:t>
      </w:r>
      <w:r>
        <w:rPr>
          <w:sz w:val="20"/>
          <w:szCs w:val="20"/>
          <w:color w:val="auto"/>
        </w:rPr>
        <w:tab/>
      </w: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w:t>
      </w:r>
    </w:p>
    <w:p>
      <w:pPr>
        <w:spacing w:after="0" w:line="198" w:lineRule="exact"/>
        <w:rPr>
          <w:sz w:val="20"/>
          <w:szCs w:val="20"/>
          <w:color w:val="auto"/>
        </w:rPr>
      </w:pPr>
    </w:p>
    <w:p>
      <w:pPr>
        <w:jc w:val="both"/>
        <w:ind w:left="680" w:right="20" w:firstLine="646"/>
        <w:spacing w:after="0" w:line="255" w:lineRule="auto"/>
        <w:tabs>
          <w:tab w:leader="none" w:pos="1927" w:val="left"/>
        </w:tabs>
        <w:numPr>
          <w:ilvl w:val="0"/>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 Generally</w:t>
      </w:r>
      <w:r>
        <w:rPr>
          <w:rFonts w:ascii="Times New Roman" w:cs="Times New Roman" w:eastAsia="Times New Roman" w:hAnsi="Times New Roman"/>
          <w:sz w:val="20"/>
          <w:szCs w:val="20"/>
          <w:color w:val="auto"/>
        </w:rPr>
        <w:t>. Except in the case of notices and other communications expressly permitted to be given by telephone (and except as provided in paragraph (b) below), all notices and other communications provided for herein shall be in writing and shall be delivered by hand or overnight courier service, mailed by certified or registered mail or sent by facsimile as follows:</w:t>
      </w:r>
    </w:p>
    <w:p>
      <w:pPr>
        <w:spacing w:after="0" w:line="173"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color w:val="auto"/>
        </w:rPr>
        <w:t>If to the Borrowers:</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color w:val="auto"/>
        </w:rPr>
        <w:t>Centuri Group, Inc.</w:t>
      </w:r>
    </w:p>
    <w:p>
      <w:pPr>
        <w:spacing w:after="0" w:line="1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color w:val="auto"/>
        </w:rPr>
        <w:t>19820 North 7</w:t>
      </w:r>
      <w:r>
        <w:rPr>
          <w:rFonts w:ascii="Times New Roman" w:cs="Times New Roman" w:eastAsia="Times New Roman" w:hAnsi="Times New Roman"/>
          <w:sz w:val="12"/>
          <w:szCs w:val="12"/>
          <w:color w:val="auto"/>
        </w:rPr>
        <w:t>th</w:t>
      </w:r>
      <w:r>
        <w:rPr>
          <w:rFonts w:ascii="Times New Roman" w:cs="Times New Roman" w:eastAsia="Times New Roman" w:hAnsi="Times New Roman"/>
          <w:sz w:val="20"/>
          <w:szCs w:val="20"/>
          <w:color w:val="auto"/>
        </w:rPr>
        <w:t xml:space="preserve"> Avenue, #120</w:t>
      </w:r>
    </w:p>
    <w:p>
      <w:pPr>
        <w:spacing w:after="0" w:line="3"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color w:val="auto"/>
        </w:rPr>
        <w:t>Phoenix, Arizona 85027</w:t>
      </w:r>
    </w:p>
    <w:p>
      <w:pPr>
        <w:spacing w:after="0" w:line="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color w:val="auto"/>
        </w:rPr>
        <w:t>Attention of: Jason Wilcock, Executive Vice President/General Counsel and Corporate Secretary</w:t>
      </w:r>
    </w:p>
    <w:p>
      <w:pPr>
        <w:spacing w:after="0" w:line="3"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color w:val="auto"/>
        </w:rPr>
        <w:t>Telephone No.: (623) 582-1235</w:t>
      </w:r>
    </w:p>
    <w:p>
      <w:pPr>
        <w:spacing w:after="0" w:line="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color w:val="auto"/>
        </w:rPr>
        <w:t>Facsimile No.: (623) 582-6853</w:t>
      </w:r>
    </w:p>
    <w:p>
      <w:pPr>
        <w:spacing w:after="0" w:line="6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color w:val="auto"/>
        </w:rPr>
        <w:t>E-mail: jwilcock@NextCenturi.com With copies to:</w:t>
      </w:r>
    </w:p>
    <w:p>
      <w:pPr>
        <w:spacing w:after="0" w:line="10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color w:val="auto"/>
        </w:rPr>
        <w:t>Southwest Gas Holdings, Inc. 5241 Spring Mountain</w:t>
      </w:r>
    </w:p>
    <w:p>
      <w:pPr>
        <w:spacing w:after="0" w:line="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color w:val="auto"/>
        </w:rPr>
        <w:t>Road Las Vegas, NV 89150</w:t>
      </w:r>
    </w:p>
    <w:p>
      <w:pPr>
        <w:spacing w:after="0" w:line="1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color w:val="auto"/>
        </w:rPr>
        <w:t>Attention of: Karen S. Haller, General Counsel Telephone No.: (702) 364-3191</w:t>
      </w:r>
    </w:p>
    <w:p>
      <w:pPr>
        <w:spacing w:after="0" w:line="3"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color w:val="auto"/>
        </w:rPr>
        <w:t>Facsimile No.: (702) 364-3452</w:t>
      </w:r>
    </w:p>
    <w:p>
      <w:pPr>
        <w:ind w:left="3260"/>
        <w:spacing w:after="0"/>
        <w:rPr>
          <w:sz w:val="20"/>
          <w:szCs w:val="20"/>
          <w:color w:val="auto"/>
        </w:rPr>
      </w:pPr>
      <w:r>
        <w:rPr>
          <w:rFonts w:ascii="Times New Roman" w:cs="Times New Roman" w:eastAsia="Times New Roman" w:hAnsi="Times New Roman"/>
          <w:sz w:val="20"/>
          <w:szCs w:val="20"/>
          <w:color w:val="auto"/>
        </w:rPr>
        <w:t>E-mail: karen.haller@swgas.com</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82">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267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416" w:name="page417"/>
    <w:bookmarkEnd w:id="416"/>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83">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268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0139"/>
          </w:cols>
          <w:pgMar w:left="320" w:top="1440" w:right="1440" w:bottom="1440" w:gutter="0" w:footer="0" w:header="0"/>
        </w:sectPr>
      </w:pPr>
    </w:p>
    <w:bookmarkStart w:id="417" w:name="page418"/>
    <w:bookmarkEnd w:id="417"/>
    <w:p>
      <w:pPr>
        <w:spacing w:after="0" w:line="20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color w:val="auto"/>
        </w:rPr>
        <w:t>and</w:t>
      </w:r>
    </w:p>
    <w:p>
      <w:pPr>
        <w:spacing w:after="0" w:line="21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color w:val="auto"/>
        </w:rPr>
        <w:t>Foley &amp; Lardner LLP</w:t>
      </w:r>
    </w:p>
    <w:p>
      <w:pPr>
        <w:spacing w:after="0" w:line="1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color w:val="auto"/>
        </w:rPr>
        <w:t>777 East Wisconsin Avenue Milwaukee, WI 53202-5306</w:t>
      </w:r>
    </w:p>
    <w:p>
      <w:pPr>
        <w:spacing w:after="0" w:line="3"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color w:val="auto"/>
        </w:rPr>
        <w:t>Attention of: Heidi M. Furlong Telephone No.: (414) 297-</w:t>
      </w:r>
    </w:p>
    <w:p>
      <w:pPr>
        <w:spacing w:after="0" w:line="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color w:val="auto"/>
        </w:rPr>
        <w:t>5620</w:t>
      </w:r>
    </w:p>
    <w:p>
      <w:pPr>
        <w:ind w:left="3260"/>
        <w:spacing w:after="0" w:line="234" w:lineRule="auto"/>
        <w:rPr>
          <w:sz w:val="20"/>
          <w:szCs w:val="20"/>
          <w:color w:val="auto"/>
        </w:rPr>
      </w:pPr>
      <w:r>
        <w:rPr>
          <w:rFonts w:ascii="Times New Roman" w:cs="Times New Roman" w:eastAsia="Times New Roman" w:hAnsi="Times New Roman"/>
          <w:sz w:val="20"/>
          <w:szCs w:val="20"/>
          <w:color w:val="auto"/>
        </w:rPr>
        <w:t>Facsimile: (414) 297-4900</w:t>
      </w:r>
    </w:p>
    <w:p>
      <w:pPr>
        <w:spacing w:after="0" w:line="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color w:val="auto"/>
        </w:rPr>
        <w:t>E-mail: HFurlong@foley.com</w:t>
      </w:r>
    </w:p>
    <w:p>
      <w:pPr>
        <w:spacing w:after="0" w:line="203"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color w:val="auto"/>
        </w:rPr>
        <w:t>If to Wells Fargo as Administrative Agent:</w:t>
      </w:r>
    </w:p>
    <w:p>
      <w:pPr>
        <w:spacing w:after="0" w:line="21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color w:val="auto"/>
        </w:rPr>
        <w:t>Wells Fargo Bank, National Association MAC D1109-019</w:t>
      </w:r>
    </w:p>
    <w:p>
      <w:pPr>
        <w:spacing w:after="0" w:line="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color w:val="auto"/>
        </w:rPr>
        <w:t>1525 West W.T. Harris Blvd. Charlotte, NC 28262</w:t>
      </w:r>
    </w:p>
    <w:p>
      <w:pPr>
        <w:spacing w:after="0" w:line="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color w:val="auto"/>
        </w:rPr>
        <w:t>Attention of: Syndication Agency Services Telephone No.: (704) 590-</w:t>
      </w:r>
    </w:p>
    <w:p>
      <w:pPr>
        <w:spacing w:after="0" w:line="3"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color w:val="auto"/>
        </w:rPr>
        <w:t>2703</w:t>
      </w:r>
    </w:p>
    <w:p>
      <w:pPr>
        <w:spacing w:after="0" w:line="10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color w:val="auto"/>
        </w:rPr>
        <w:t>Facsimile No.: (704) 715-0092 With copies to:</w:t>
      </w:r>
    </w:p>
    <w:p>
      <w:pPr>
        <w:spacing w:after="0" w:line="10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color w:val="auto"/>
        </w:rPr>
        <w:t>Wells Fargo Bank, National Association 100 W. Washington Street,</w:t>
      </w:r>
    </w:p>
    <w:p>
      <w:pPr>
        <w:spacing w:after="0" w:line="1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color w:val="auto"/>
        </w:rPr>
        <w:t>25</w:t>
      </w:r>
      <w:r>
        <w:rPr>
          <w:rFonts w:ascii="Times New Roman" w:cs="Times New Roman" w:eastAsia="Times New Roman" w:hAnsi="Times New Roman"/>
          <w:sz w:val="12"/>
          <w:szCs w:val="12"/>
          <w:color w:val="auto"/>
        </w:rPr>
        <w:t>th</w:t>
      </w:r>
      <w:r>
        <w:rPr>
          <w:rFonts w:ascii="Times New Roman" w:cs="Times New Roman" w:eastAsia="Times New Roman" w:hAnsi="Times New Roman"/>
          <w:sz w:val="20"/>
          <w:szCs w:val="20"/>
          <w:color w:val="auto"/>
        </w:rPr>
        <w:t xml:space="preserve"> Floor Phoenix, AZ 85003</w:t>
      </w:r>
    </w:p>
    <w:p>
      <w:pPr>
        <w:spacing w:after="0" w:line="3"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color w:val="auto"/>
        </w:rPr>
        <w:t>MAC S4101-251</w:t>
      </w:r>
    </w:p>
    <w:p>
      <w:pPr>
        <w:spacing w:after="0" w:line="3"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color w:val="auto"/>
        </w:rPr>
        <w:t>Attention of: Aaron Lemke Telephone No.: (602) 378-6629</w:t>
      </w:r>
    </w:p>
    <w:p>
      <w:pPr>
        <w:ind w:left="3260"/>
        <w:spacing w:after="0"/>
        <w:rPr>
          <w:sz w:val="20"/>
          <w:szCs w:val="20"/>
          <w:color w:val="auto"/>
        </w:rPr>
      </w:pPr>
      <w:r>
        <w:rPr>
          <w:rFonts w:ascii="Times New Roman" w:cs="Times New Roman" w:eastAsia="Times New Roman" w:hAnsi="Times New Roman"/>
          <w:sz w:val="20"/>
          <w:szCs w:val="20"/>
          <w:color w:val="auto"/>
        </w:rPr>
        <w:t>Facsimile No.: (602) 378-1360</w:t>
      </w:r>
    </w:p>
    <w:p>
      <w:pPr>
        <w:spacing w:after="0" w:line="8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color w:val="auto"/>
        </w:rPr>
        <w:t>E-mail: aaron.k.lemke@wellsfargo.com If to any Lender:</w:t>
      </w:r>
    </w:p>
    <w:p>
      <w:pPr>
        <w:spacing w:after="0" w:line="10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color w:val="auto"/>
        </w:rPr>
        <w:t>To the address of such Lender set forth on the Register</w:t>
      </w:r>
    </w:p>
    <w:p>
      <w:pPr>
        <w:spacing w:after="0" w:line="211" w:lineRule="exact"/>
        <w:rPr>
          <w:sz w:val="20"/>
          <w:szCs w:val="20"/>
          <w:color w:val="auto"/>
        </w:rPr>
      </w:pPr>
    </w:p>
    <w:p>
      <w:pPr>
        <w:jc w:val="both"/>
        <w:ind w:left="680" w:right="60"/>
        <w:spacing w:after="0" w:line="254" w:lineRule="auto"/>
        <w:rPr>
          <w:sz w:val="20"/>
          <w:szCs w:val="20"/>
          <w:color w:val="auto"/>
        </w:rPr>
      </w:pPr>
      <w:r>
        <w:rPr>
          <w:rFonts w:ascii="Times New Roman" w:cs="Times New Roman" w:eastAsia="Times New Roman" w:hAnsi="Times New Roman"/>
          <w:sz w:val="20"/>
          <w:szCs w:val="20"/>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paragraph (b) below, shall be effective as provided in said paragraph (b).</w:t>
      </w:r>
    </w:p>
    <w:p>
      <w:pPr>
        <w:spacing w:after="0" w:line="174" w:lineRule="exact"/>
        <w:rPr>
          <w:sz w:val="20"/>
          <w:szCs w:val="20"/>
          <w:color w:val="auto"/>
        </w:rPr>
      </w:pPr>
    </w:p>
    <w:p>
      <w:pPr>
        <w:jc w:val="both"/>
        <w:ind w:left="680" w:firstLine="646"/>
        <w:spacing w:after="0" w:line="250" w:lineRule="auto"/>
        <w:tabs>
          <w:tab w:leader="none" w:pos="1925" w:val="left"/>
        </w:tabs>
        <w:numPr>
          <w:ilvl w:val="0"/>
          <w:numId w:val="3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Communications</w:t>
      </w:r>
      <w:r>
        <w:rPr>
          <w:rFonts w:ascii="Times New Roman" w:cs="Times New Roman" w:eastAsia="Times New Roman" w:hAnsi="Times New Roman"/>
          <w:sz w:val="20"/>
          <w:szCs w:val="20"/>
          <w:color w:val="auto"/>
        </w:rPr>
        <w:t xml:space="preserve">. Notices and other communications to the Lenders and the Issuing Lenders hereunder may be delivered or furnished by electronic communication (including e-mail and Internet or intranet websites) pursuant to procedures approved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apply to notices to any Lender or any Issuing Lender pursuant to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if such Lender or such Issuing Lender, as applicable, has notified the Administrative Agent that is incapable of receiving notices under such Article by electronic communication. The Administrative Agent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84">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269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20"/>
          </w:cols>
          <w:pgMar w:left="320" w:top="1440" w:right="459" w:bottom="1440" w:gutter="0" w:footer="0" w:header="0"/>
        </w:sectPr>
      </w:pPr>
    </w:p>
    <w:bookmarkStart w:id="418" w:name="page419"/>
    <w:bookmarkEnd w:id="418"/>
    <w:p>
      <w:pPr>
        <w:spacing w:after="0" w:line="94" w:lineRule="exact"/>
        <w:rPr>
          <w:sz w:val="20"/>
          <w:szCs w:val="20"/>
          <w:color w:val="auto"/>
        </w:rPr>
      </w:pPr>
    </w:p>
    <w:p>
      <w:pPr>
        <w:ind w:left="680"/>
        <w:spacing w:after="0" w:line="263" w:lineRule="auto"/>
        <w:rPr>
          <w:sz w:val="20"/>
          <w:szCs w:val="20"/>
          <w:color w:val="auto"/>
        </w:rPr>
      </w:pPr>
      <w:r>
        <w:rPr>
          <w:rFonts w:ascii="Times New Roman" w:cs="Times New Roman" w:eastAsia="Times New Roman" w:hAnsi="Times New Roman"/>
          <w:sz w:val="20"/>
          <w:szCs w:val="20"/>
          <w:color w:val="auto"/>
        </w:rPr>
        <w:t xml:space="preserve">or a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approval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85">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270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20"/>
          </w:cols>
          <w:pgMar w:left="320" w:top="1440" w:right="459" w:bottom="1440" w:gutter="0" w:footer="0" w:header="0"/>
        </w:sectPr>
      </w:pPr>
    </w:p>
    <w:bookmarkStart w:id="419" w:name="page420"/>
    <w:bookmarkEnd w:id="419"/>
    <w:p>
      <w:pPr>
        <w:spacing w:after="0" w:line="202" w:lineRule="exact"/>
        <w:rPr>
          <w:sz w:val="20"/>
          <w:szCs w:val="20"/>
          <w:color w:val="auto"/>
        </w:rPr>
      </w:pPr>
    </w:p>
    <w:p>
      <w:pPr>
        <w:jc w:val="both"/>
        <w:ind w:left="680" w:right="20"/>
        <w:spacing w:after="0" w:line="263" w:lineRule="auto"/>
        <w:rPr>
          <w:sz w:val="20"/>
          <w:szCs w:val="20"/>
          <w:color w:val="auto"/>
        </w:rPr>
      </w:pPr>
      <w:r>
        <w:rPr>
          <w:rFonts w:ascii="Times New Roman" w:cs="Times New Roman" w:eastAsia="Times New Roman" w:hAnsi="Times New Roman"/>
          <w:sz w:val="19"/>
          <w:szCs w:val="19"/>
          <w:color w:val="auto"/>
        </w:rPr>
        <w:t xml:space="preserve">such procedures may be limited to particular notices or communications.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for both clauses (i) and (ii) above, if such notice, email or other communication is not sent during the normal business hours of the recipient, such notice, email or other communication shall be deemed to have been sent at the opening of business on the next business day for the recipient.</w:t>
      </w:r>
    </w:p>
    <w:p>
      <w:pPr>
        <w:spacing w:after="0" w:line="171" w:lineRule="exact"/>
        <w:rPr>
          <w:sz w:val="20"/>
          <w:szCs w:val="20"/>
          <w:color w:val="auto"/>
        </w:rPr>
      </w:pPr>
    </w:p>
    <w:p>
      <w:pPr>
        <w:jc w:val="both"/>
        <w:ind w:left="680" w:right="40" w:firstLine="646"/>
        <w:spacing w:after="0" w:line="250" w:lineRule="auto"/>
        <w:tabs>
          <w:tab w:leader="none" w:pos="1927" w:val="left"/>
        </w:tabs>
        <w:numPr>
          <w:ilvl w:val="0"/>
          <w:numId w:val="3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Administrative Agent’s Office</w:t>
      </w:r>
      <w:r>
        <w:rPr>
          <w:rFonts w:ascii="Times New Roman" w:cs="Times New Roman" w:eastAsia="Times New Roman" w:hAnsi="Times New Roman"/>
          <w:sz w:val="20"/>
          <w:szCs w:val="20"/>
          <w:color w:val="auto"/>
        </w:rPr>
        <w:t>. The Administrative Agent hereby designates its office located at the address set forth above, or any subsequent office which shall have been specified for such purpose by written notice to Centuri and Lenders, as the Administrative Agent’s Office referred to herein, to which payments due are to be made and at which Loans will be disbursed and Letters of Credit requested.</w:t>
      </w:r>
    </w:p>
    <w:p>
      <w:pPr>
        <w:spacing w:after="0" w:line="191" w:lineRule="exact"/>
        <w:rPr>
          <w:rFonts w:ascii="Times New Roman" w:cs="Times New Roman" w:eastAsia="Times New Roman" w:hAnsi="Times New Roman"/>
          <w:sz w:val="20"/>
          <w:szCs w:val="20"/>
          <w:color w:val="auto"/>
        </w:rPr>
      </w:pPr>
    </w:p>
    <w:p>
      <w:pPr>
        <w:jc w:val="both"/>
        <w:ind w:left="680" w:right="20" w:firstLine="646"/>
        <w:spacing w:after="0" w:line="250" w:lineRule="auto"/>
        <w:tabs>
          <w:tab w:leader="none" w:pos="1925" w:val="left"/>
        </w:tabs>
        <w:numPr>
          <w:ilvl w:val="0"/>
          <w:numId w:val="3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of Address, Etc.</w:t>
      </w:r>
      <w:r>
        <w:rPr>
          <w:rFonts w:ascii="Times New Roman" w:cs="Times New Roman" w:eastAsia="Times New Roman" w:hAnsi="Times New Roman"/>
          <w:sz w:val="20"/>
          <w:szCs w:val="20"/>
          <w:color w:val="auto"/>
        </w:rPr>
        <w:t xml:space="preserve"> Each of the Borrowers, the Administrative Agent, any Issuing Lender or any Swingline Lender may change its address or facsimile number for notices and other communications hereunder by notice to the other parties hereto. Any Lender may change its address or facsimile number for notices and other communications hereunder by notice to Centuri, the Administrative Agent, each Issuing Lender and each Swingline Lender.</w:t>
      </w:r>
    </w:p>
    <w:p>
      <w:pPr>
        <w:spacing w:after="0" w:line="191" w:lineRule="exact"/>
        <w:rPr>
          <w:rFonts w:ascii="Times New Roman" w:cs="Times New Roman" w:eastAsia="Times New Roman" w:hAnsi="Times New Roman"/>
          <w:sz w:val="20"/>
          <w:szCs w:val="20"/>
          <w:color w:val="auto"/>
        </w:rPr>
      </w:pPr>
    </w:p>
    <w:p>
      <w:pPr>
        <w:ind w:left="1960" w:hanging="633"/>
        <w:spacing w:after="0"/>
        <w:tabs>
          <w:tab w:leader="none" w:pos="1960" w:val="left"/>
        </w:tabs>
        <w:numPr>
          <w:ilvl w:val="0"/>
          <w:numId w:val="3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w:t>
      </w:r>
    </w:p>
    <w:p>
      <w:pPr>
        <w:spacing w:after="0" w:line="211" w:lineRule="exact"/>
        <w:rPr>
          <w:rFonts w:ascii="Times New Roman" w:cs="Times New Roman" w:eastAsia="Times New Roman" w:hAnsi="Times New Roman"/>
          <w:sz w:val="20"/>
          <w:szCs w:val="20"/>
          <w:color w:val="auto"/>
        </w:rPr>
      </w:pPr>
    </w:p>
    <w:p>
      <w:pPr>
        <w:jc w:val="both"/>
        <w:ind w:left="1320" w:right="20" w:firstLine="648"/>
        <w:spacing w:after="0" w:line="257" w:lineRule="auto"/>
        <w:tabs>
          <w:tab w:leader="none" w:pos="2561" w:val="left"/>
        </w:tabs>
        <w:numPr>
          <w:ilvl w:val="1"/>
          <w:numId w:val="3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agrees that the Administrative Agent may, but shall not be obligated to, make the Borrower Materials available to the Issuing Lenders and the other Lenders by posting the Borrower Materials on the Platform.</w:t>
      </w:r>
    </w:p>
    <w:p>
      <w:pPr>
        <w:spacing w:after="0" w:line="183" w:lineRule="exact"/>
        <w:rPr>
          <w:rFonts w:ascii="Times New Roman" w:cs="Times New Roman" w:eastAsia="Times New Roman" w:hAnsi="Times New Roman"/>
          <w:sz w:val="20"/>
          <w:szCs w:val="20"/>
          <w:color w:val="auto"/>
        </w:rPr>
      </w:pPr>
    </w:p>
    <w:p>
      <w:pPr>
        <w:jc w:val="both"/>
        <w:ind w:left="1320" w:firstLine="648"/>
        <w:spacing w:after="0" w:line="247" w:lineRule="auto"/>
        <w:tabs>
          <w:tab w:leader="none" w:pos="2562" w:val="left"/>
        </w:tabs>
        <w:numPr>
          <w:ilvl w:val="1"/>
          <w:numId w:val="3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Platform is provided “as is” and “as available.” The Agent Parties (as defined below) do not warrant the accuracy or completeness of the Borrower Materials or the adequacy of the Platform, and expressly disclaim liability for errors or omissions in the Borrower Materials.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Borrower Materials or the Platform. In no event shall the Administrative Agent or any of its Related Parties (collectively, the “</w:t>
      </w:r>
      <w:r>
        <w:rPr>
          <w:rFonts w:ascii="Times New Roman" w:cs="Times New Roman" w:eastAsia="Times New Roman" w:hAnsi="Times New Roman"/>
          <w:sz w:val="20"/>
          <w:szCs w:val="20"/>
          <w:u w:val="single" w:color="auto"/>
          <w:color w:val="auto"/>
        </w:rPr>
        <w:t>Agent Parties</w:t>
      </w:r>
      <w:r>
        <w:rPr>
          <w:rFonts w:ascii="Times New Roman" w:cs="Times New Roman" w:eastAsia="Times New Roman" w:hAnsi="Times New Roman"/>
          <w:sz w:val="20"/>
          <w:szCs w:val="20"/>
          <w:color w:val="auto"/>
        </w:rPr>
        <w:t xml:space="preserve">”) have any liability to any Credit Party, any Lender or any other Person or entity for losses, claims, damages, liabilities or expenses of any kind (whether in tort, contract or otherwise) arising out of any Credit Party’s or the Administrative Agent’s transmission of communications through the Internet (including, without limitation, the Platform), except to the extent that such losses, claims, damages, liabilities or expenses are determined by a court of competent jurisdiction by final and nonappealable judgment to have resulted from the gross negligence or willful misconduct of such Agent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no event shall any Agent Party have any liability to any Credit Party, any Lender, the Issuing Lender or any other Person for indirect, special, incidental, consequential or punitive damages, losses or expenses (as opposed to actual damages, losses or expenses).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86">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271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420" w:name="page421"/>
    <w:bookmarkEnd w:id="420"/>
    <w:p>
      <w:pPr>
        <w:spacing w:after="0" w:line="81" w:lineRule="exact"/>
        <w:rPr>
          <w:sz w:val="20"/>
          <w:szCs w:val="20"/>
          <w:color w:val="auto"/>
        </w:rPr>
      </w:pPr>
    </w:p>
    <w:p>
      <w:pPr>
        <w:jc w:val="both"/>
        <w:ind w:left="680" w:firstLine="646"/>
        <w:spacing w:after="0" w:line="257" w:lineRule="auto"/>
        <w:tabs>
          <w:tab w:leader="none" w:pos="1919" w:val="left"/>
        </w:tabs>
        <w:numPr>
          <w:ilvl w:val="0"/>
          <w:numId w:val="3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Private Side Designation</w:t>
      </w:r>
      <w:r>
        <w:rPr>
          <w:rFonts w:ascii="Times New Roman" w:cs="Times New Roman" w:eastAsia="Times New Roman" w:hAnsi="Times New Roman"/>
          <w:sz w:val="20"/>
          <w:szCs w:val="20"/>
          <w:color w:val="auto"/>
        </w:rPr>
        <w:t>. Each Public Lender agrees to cause at least one individual at or on behalf of such Public Lender to at all times have selected the “Private Side Information” or similar designation on the content declaration screen of the Platform in order to enable such Public Lender or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87">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272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060"/>
          </w:cols>
          <w:pgMar w:left="320" w:top="1440" w:right="519" w:bottom="1440" w:gutter="0" w:footer="0" w:header="0"/>
        </w:sectPr>
      </w:pPr>
    </w:p>
    <w:bookmarkStart w:id="421" w:name="page422"/>
    <w:bookmarkEnd w:id="421"/>
    <w:p>
      <w:pPr>
        <w:spacing w:after="0" w:line="201" w:lineRule="exact"/>
        <w:rPr>
          <w:sz w:val="20"/>
          <w:szCs w:val="20"/>
          <w:color w:val="auto"/>
        </w:rPr>
      </w:pPr>
    </w:p>
    <w:p>
      <w:pPr>
        <w:jc w:val="both"/>
        <w:ind w:left="680" w:right="20"/>
        <w:spacing w:after="0" w:line="250" w:lineRule="auto"/>
        <w:rPr>
          <w:sz w:val="20"/>
          <w:szCs w:val="20"/>
          <w:color w:val="auto"/>
        </w:rPr>
      </w:pPr>
      <w:r>
        <w:rPr>
          <w:rFonts w:ascii="Times New Roman" w:cs="Times New Roman" w:eastAsia="Times New Roman" w:hAnsi="Times New Roman"/>
          <w:sz w:val="20"/>
          <w:szCs w:val="20"/>
          <w:color w:val="auto"/>
        </w:rPr>
        <w:t>delegate, in accordance with such Public Lender’s compliance procedures and Applicable Law, including United States Federal and state securities Applicable Laws, to make reference to Borrower Materials that are not made available through the “Public Side Information” portion of the Platform and that may contain material non-public information with respect to the Borrowers or their respective securities for purposes of United States Federal or state securities Applicable Laws.</w:t>
      </w:r>
    </w:p>
    <w:p>
      <w:pPr>
        <w:spacing w:after="0" w:line="192" w:lineRule="exact"/>
        <w:rPr>
          <w:sz w:val="20"/>
          <w:szCs w:val="20"/>
          <w:color w:val="auto"/>
        </w:rPr>
      </w:pPr>
    </w:p>
    <w:p>
      <w:pPr>
        <w:jc w:val="both"/>
        <w:ind w:left="680" w:right="60" w:firstLine="642"/>
        <w:spacing w:after="0" w:line="248" w:lineRule="auto"/>
        <w:rPr>
          <w:sz w:val="20"/>
          <w:szCs w:val="20"/>
          <w:color w:val="auto"/>
        </w:rPr>
      </w:pPr>
      <w:r>
        <w:rPr>
          <w:rFonts w:ascii="Times New Roman" w:cs="Times New Roman" w:eastAsia="Times New Roman" w:hAnsi="Times New Roman"/>
          <w:sz w:val="20"/>
          <w:szCs w:val="20"/>
          <w:color w:val="auto"/>
        </w:rPr>
        <w:t xml:space="preserve">SECTION 12.2 </w:t>
      </w:r>
      <w:r>
        <w:rPr>
          <w:rFonts w:ascii="Times New Roman" w:cs="Times New Roman" w:eastAsia="Times New Roman" w:hAnsi="Times New Roman"/>
          <w:sz w:val="20"/>
          <w:szCs w:val="20"/>
          <w:u w:val="single" w:color="auto"/>
          <w:color w:val="auto"/>
        </w:rPr>
        <w:t>Amendments, Waivers and Consents</w:t>
      </w:r>
      <w:r>
        <w:rPr>
          <w:rFonts w:ascii="Times New Roman" w:cs="Times New Roman" w:eastAsia="Times New Roman" w:hAnsi="Times New Roman"/>
          <w:sz w:val="20"/>
          <w:szCs w:val="20"/>
          <w:color w:val="auto"/>
        </w:rPr>
        <w:t xml:space="preserve">. Except as set forth below or as specifically provided in any Loan Document, any term, covenant, agreement or condition of this Agreement or any of the other Loan Documents may be amended or waived by the Lenders, and any consent given by the Lenders, if, but only if, such amendment, waiver or consent is in writing signed by the Required Lenders (or in the case of any amendment which directly affects only one Class under the Credit Facility, the Required Facility Lenders, and not the Required Lenders or the Required Facility Lenders, as applicable) (or by the Administrative Agent with the consent of the Required Lenders) and delivered to the Administrative Agent and, in the case of an amendment, signed by the Borrowers;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 amendment, waiver or consent shall:</w:t>
      </w:r>
    </w:p>
    <w:p>
      <w:pPr>
        <w:spacing w:after="0" w:line="182" w:lineRule="exact"/>
        <w:rPr>
          <w:sz w:val="20"/>
          <w:szCs w:val="20"/>
          <w:color w:val="auto"/>
        </w:rPr>
      </w:pPr>
    </w:p>
    <w:p>
      <w:pPr>
        <w:jc w:val="both"/>
        <w:ind w:left="680" w:right="20" w:firstLine="646"/>
        <w:spacing w:after="0" w:line="250" w:lineRule="auto"/>
        <w:tabs>
          <w:tab w:leader="none" w:pos="1927" w:val="left"/>
        </w:tabs>
        <w:numPr>
          <w:ilvl w:val="0"/>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the prior written consent of the Required Revolving Credit Lenders, amend, modify or waive (i)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or any other provision of this Agreement if the effect of such amendment, modification or waiver is to require the Revolving Credit Lenders (pursuant to, in the case of any such amendment to a provision hereof other than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any substantially concurrent request by any Borrower for a borrowing of Revolving Credit Loans or issuance of Letters of Credit) to make Revolving Credit Loans when such Revolving Credit Lenders would not otherwise be required to do so, (ii) the amount of the Swingline Commitment or (iii) the amount of the L/C Sublimit;</w:t>
      </w:r>
    </w:p>
    <w:p>
      <w:pPr>
        <w:spacing w:after="0" w:line="180" w:lineRule="exact"/>
        <w:rPr>
          <w:rFonts w:ascii="Times New Roman" w:cs="Times New Roman" w:eastAsia="Times New Roman" w:hAnsi="Times New Roman"/>
          <w:sz w:val="20"/>
          <w:szCs w:val="20"/>
          <w:color w:val="auto"/>
        </w:rPr>
      </w:pPr>
    </w:p>
    <w:p>
      <w:pPr>
        <w:ind w:left="680" w:right="60" w:firstLine="646"/>
        <w:spacing w:after="0" w:line="277" w:lineRule="auto"/>
        <w:tabs>
          <w:tab w:leader="none" w:pos="1925" w:val="left"/>
        </w:tabs>
        <w:numPr>
          <w:ilvl w:val="0"/>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increase the Commitment of any Lender (or reinstate any Commitment terminated pursuant to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or the amount of Loans of any Lender, in any case, without the written consent of such Lender;</w:t>
      </w:r>
    </w:p>
    <w:p>
      <w:pPr>
        <w:spacing w:after="0" w:line="151" w:lineRule="exact"/>
        <w:rPr>
          <w:rFonts w:ascii="Times New Roman" w:cs="Times New Roman" w:eastAsia="Times New Roman" w:hAnsi="Times New Roman"/>
          <w:sz w:val="20"/>
          <w:szCs w:val="20"/>
          <w:color w:val="auto"/>
        </w:rPr>
      </w:pPr>
    </w:p>
    <w:p>
      <w:pPr>
        <w:jc w:val="both"/>
        <w:ind w:left="680" w:firstLine="646"/>
        <w:spacing w:after="0" w:line="254" w:lineRule="auto"/>
        <w:tabs>
          <w:tab w:leader="none" w:pos="1927" w:val="left"/>
        </w:tabs>
        <w:numPr>
          <w:ilvl w:val="0"/>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waive, extend or postpone any date fixed by this Agreement or any other Loan Document for any payment or prepayment of principal (it being understood that a waiver of a mandatory prepayment under </w:t>
      </w:r>
      <w:r>
        <w:rPr>
          <w:rFonts w:ascii="Times New Roman" w:cs="Times New Roman" w:eastAsia="Times New Roman" w:hAnsi="Times New Roman"/>
          <w:sz w:val="20"/>
          <w:szCs w:val="20"/>
          <w:u w:val="single" w:color="auto"/>
          <w:color w:val="auto"/>
        </w:rPr>
        <w:t>Section 4.4(b)</w:t>
      </w:r>
      <w:r>
        <w:rPr>
          <w:rFonts w:ascii="Times New Roman" w:cs="Times New Roman" w:eastAsia="Times New Roman" w:hAnsi="Times New Roman"/>
          <w:sz w:val="20"/>
          <w:szCs w:val="20"/>
          <w:color w:val="auto"/>
        </w:rPr>
        <w:t xml:space="preserve"> shall only require the consent of the Required Term Loan Lenders), interest, fees or other amounts due to the Lenders (or any of them) hereunder or under any other Loan Document without the written consent of each Lender directly and adversely affected thereby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waiver of a mandatory prepayment under </w:t>
      </w:r>
      <w:r>
        <w:rPr>
          <w:rFonts w:ascii="Times New Roman" w:cs="Times New Roman" w:eastAsia="Times New Roman" w:hAnsi="Times New Roman"/>
          <w:sz w:val="20"/>
          <w:szCs w:val="20"/>
          <w:u w:val="single" w:color="auto"/>
          <w:color w:val="auto"/>
        </w:rPr>
        <w:t>Section 4.4(b)</w:t>
      </w:r>
      <w:r>
        <w:rPr>
          <w:rFonts w:ascii="Times New Roman" w:cs="Times New Roman" w:eastAsia="Times New Roman" w:hAnsi="Times New Roman"/>
          <w:sz w:val="20"/>
          <w:szCs w:val="20"/>
          <w:color w:val="auto"/>
        </w:rPr>
        <w:t xml:space="preserve"> shall only require the consent of Required Lenders);</w:t>
      </w:r>
    </w:p>
    <w:p>
      <w:pPr>
        <w:spacing w:after="0" w:line="173" w:lineRule="exact"/>
        <w:rPr>
          <w:rFonts w:ascii="Times New Roman" w:cs="Times New Roman" w:eastAsia="Times New Roman" w:hAnsi="Times New Roman"/>
          <w:sz w:val="20"/>
          <w:szCs w:val="20"/>
          <w:color w:val="auto"/>
        </w:rPr>
      </w:pPr>
    </w:p>
    <w:p>
      <w:pPr>
        <w:jc w:val="both"/>
        <w:ind w:left="680" w:firstLine="646"/>
        <w:spacing w:after="0" w:line="248" w:lineRule="auto"/>
        <w:tabs>
          <w:tab w:leader="none" w:pos="1925" w:val="left"/>
        </w:tabs>
        <w:numPr>
          <w:ilvl w:val="0"/>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reduce the principal of, or the rate of interest specified herein on, any Loan or Reimbursement Obligation, or (subject to clause (iv) of the proviso set forth in the paragraph below) any fees or other amounts payable hereunder or under any other Loan Document without the written consent of each Lender directly and adversely affected thereby;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only the consent of the Required Lenders shall be necessary (i) to waive any obligation of the Borrowers to pay interest at the rate set forth in </w:t>
      </w:r>
      <w:r>
        <w:rPr>
          <w:rFonts w:ascii="Times New Roman" w:cs="Times New Roman" w:eastAsia="Times New Roman" w:hAnsi="Times New Roman"/>
          <w:sz w:val="20"/>
          <w:szCs w:val="20"/>
          <w:u w:val="single" w:color="auto"/>
          <w:color w:val="auto"/>
        </w:rPr>
        <w:t>Section 5.1(b)</w:t>
      </w:r>
      <w:r>
        <w:rPr>
          <w:rFonts w:ascii="Times New Roman" w:cs="Times New Roman" w:eastAsia="Times New Roman" w:hAnsi="Times New Roman"/>
          <w:sz w:val="20"/>
          <w:szCs w:val="20"/>
          <w:color w:val="auto"/>
        </w:rPr>
        <w:t xml:space="preserve"> during the continuance of an Event of Default or (ii) to amend any financial covenant hereunder (or any defined term used therein) even if the effect of such amendment would be to reduce the rate of interest on any Loan or L/C Obligation or to reduce any fee payable hereunder;</w:t>
      </w:r>
    </w:p>
    <w:p>
      <w:pPr>
        <w:spacing w:after="0" w:line="182" w:lineRule="exact"/>
        <w:rPr>
          <w:rFonts w:ascii="Times New Roman" w:cs="Times New Roman" w:eastAsia="Times New Roman" w:hAnsi="Times New Roman"/>
          <w:sz w:val="20"/>
          <w:szCs w:val="20"/>
          <w:color w:val="auto"/>
        </w:rPr>
      </w:pPr>
    </w:p>
    <w:p>
      <w:pPr>
        <w:ind w:left="680" w:right="60" w:firstLine="646"/>
        <w:spacing w:after="0" w:line="277" w:lineRule="auto"/>
        <w:tabs>
          <w:tab w:leader="none" w:pos="1927" w:val="left"/>
        </w:tabs>
        <w:numPr>
          <w:ilvl w:val="0"/>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change </w:t>
      </w:r>
      <w:r>
        <w:rPr>
          <w:rFonts w:ascii="Times New Roman" w:cs="Times New Roman" w:eastAsia="Times New Roman" w:hAnsi="Times New Roman"/>
          <w:sz w:val="20"/>
          <w:szCs w:val="20"/>
          <w:u w:val="single" w:color="auto"/>
          <w:color w:val="auto"/>
        </w:rPr>
        <w:t>Section 5.6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10.4</w:t>
      </w:r>
      <w:r>
        <w:rPr>
          <w:rFonts w:ascii="Times New Roman" w:cs="Times New Roman" w:eastAsia="Times New Roman" w:hAnsi="Times New Roman"/>
          <w:sz w:val="20"/>
          <w:szCs w:val="20"/>
          <w:color w:val="auto"/>
        </w:rPr>
        <w:t xml:space="preserve"> in a manner that would alter the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sharing of payments or order of application required thereby without the written consent of each Lender directly and adversely affected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88">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273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20"/>
          </w:cols>
          <w:pgMar w:left="320" w:top="1440" w:right="459" w:bottom="1440" w:gutter="0" w:footer="0" w:header="0"/>
        </w:sectPr>
      </w:pPr>
    </w:p>
    <w:bookmarkStart w:id="422" w:name="page423"/>
    <w:bookmarkEnd w:id="422"/>
    <w:p>
      <w:pPr>
        <w:spacing w:after="0" w:line="201" w:lineRule="exact"/>
        <w:rPr>
          <w:sz w:val="20"/>
          <w:szCs w:val="20"/>
          <w:color w:val="auto"/>
        </w:rPr>
      </w:pPr>
    </w:p>
    <w:p>
      <w:pPr>
        <w:ind w:left="680" w:right="20" w:firstLine="646"/>
        <w:spacing w:after="0" w:line="263" w:lineRule="auto"/>
        <w:tabs>
          <w:tab w:leader="none" w:pos="1919" w:val="left"/>
        </w:tabs>
        <w:numPr>
          <w:ilvl w:val="0"/>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change </w:t>
      </w:r>
      <w:r>
        <w:rPr>
          <w:rFonts w:ascii="Times New Roman" w:cs="Times New Roman" w:eastAsia="Times New Roman" w:hAnsi="Times New Roman"/>
          <w:sz w:val="20"/>
          <w:szCs w:val="20"/>
          <w:u w:val="single" w:color="auto"/>
          <w:color w:val="auto"/>
        </w:rPr>
        <w:t>Section 4.4(b)(v)</w:t>
      </w:r>
      <w:r>
        <w:rPr>
          <w:rFonts w:ascii="Times New Roman" w:cs="Times New Roman" w:eastAsia="Times New Roman" w:hAnsi="Times New Roman"/>
          <w:sz w:val="20"/>
          <w:szCs w:val="20"/>
          <w:color w:val="auto"/>
        </w:rPr>
        <w:t xml:space="preserve"> in a manner that would alter the order of application of amounts prepaid pursuant thereto without the written consent of each Lender directly and adversely affected thereby;</w:t>
      </w:r>
    </w:p>
    <w:p>
      <w:pPr>
        <w:spacing w:after="0" w:line="178" w:lineRule="exact"/>
        <w:rPr>
          <w:rFonts w:ascii="Times New Roman" w:cs="Times New Roman" w:eastAsia="Times New Roman" w:hAnsi="Times New Roman"/>
          <w:sz w:val="20"/>
          <w:szCs w:val="20"/>
          <w:color w:val="auto"/>
        </w:rPr>
      </w:pPr>
    </w:p>
    <w:p>
      <w:pPr>
        <w:jc w:val="both"/>
        <w:ind w:left="680" w:right="20" w:firstLine="646"/>
        <w:spacing w:after="0" w:line="250" w:lineRule="auto"/>
        <w:tabs>
          <w:tab w:leader="none" w:pos="1925" w:val="left"/>
        </w:tabs>
        <w:numPr>
          <w:ilvl w:val="0"/>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otherwise permitted by this </w:t>
      </w:r>
      <w:r>
        <w:rPr>
          <w:rFonts w:ascii="Times New Roman" w:cs="Times New Roman" w:eastAsia="Times New Roman" w:hAnsi="Times New Roman"/>
          <w:sz w:val="20"/>
          <w:szCs w:val="20"/>
          <w:u w:val="single" w:color="auto"/>
          <w:color w:val="auto"/>
        </w:rPr>
        <w:t>Section 12.2</w:t>
      </w:r>
      <w:r>
        <w:rPr>
          <w:rFonts w:ascii="Times New Roman" w:cs="Times New Roman" w:eastAsia="Times New Roman" w:hAnsi="Times New Roman"/>
          <w:sz w:val="20"/>
          <w:szCs w:val="20"/>
          <w:color w:val="auto"/>
        </w:rPr>
        <w:t xml:space="preserve"> change any provision of this Section or reduce the percentages specified in the definitions of “Required Lenders,” “Required Revolving Credit Lenders”, “Required Facility Lenders” or “Required Term Loan Lenders” or any other provision hereof specifying the number or percentage of Lenders required to amend, waive or otherwise modify any rights hereunder or make any determination or grant any consent hereunder, without the written consent of each Lender directly and adversely affected thereby;</w:t>
      </w:r>
    </w:p>
    <w:p>
      <w:pPr>
        <w:spacing w:after="0" w:line="179" w:lineRule="exact"/>
        <w:rPr>
          <w:rFonts w:ascii="Times New Roman" w:cs="Times New Roman" w:eastAsia="Times New Roman" w:hAnsi="Times New Roman"/>
          <w:sz w:val="20"/>
          <w:szCs w:val="20"/>
          <w:color w:val="auto"/>
        </w:rPr>
      </w:pPr>
    </w:p>
    <w:p>
      <w:pPr>
        <w:ind w:left="680" w:right="60" w:firstLine="646"/>
        <w:spacing w:after="0" w:line="277" w:lineRule="auto"/>
        <w:tabs>
          <w:tab w:leader="none" w:pos="1925" w:val="left"/>
        </w:tabs>
        <w:numPr>
          <w:ilvl w:val="0"/>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any greater restriction on the ability of any Lender under any Class to assign any of its rights or obligations hereunder without the written consent of the Required Facility Lenders under such Class;</w:t>
      </w:r>
    </w:p>
    <w:p>
      <w:pPr>
        <w:spacing w:after="0" w:line="151" w:lineRule="exact"/>
        <w:rPr>
          <w:rFonts w:ascii="Times New Roman" w:cs="Times New Roman" w:eastAsia="Times New Roman" w:hAnsi="Times New Roman"/>
          <w:sz w:val="20"/>
          <w:szCs w:val="20"/>
          <w:color w:val="auto"/>
        </w:rPr>
      </w:pPr>
    </w:p>
    <w:p>
      <w:pPr>
        <w:jc w:val="both"/>
        <w:ind w:left="680" w:right="60" w:firstLine="646"/>
        <w:spacing w:after="0" w:line="257" w:lineRule="auto"/>
        <w:tabs>
          <w:tab w:leader="none" w:pos="1922" w:val="left"/>
        </w:tabs>
        <w:numPr>
          <w:ilvl w:val="0"/>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consent to the assignment or transfer by any Credit Party of such Credit Party’s rights and obligations under any Loan Document to which it is a party (except as permitted pursuant to </w:t>
      </w:r>
      <w:r>
        <w:rPr>
          <w:rFonts w:ascii="Times New Roman" w:cs="Times New Roman" w:eastAsia="Times New Roman" w:hAnsi="Times New Roman"/>
          <w:sz w:val="20"/>
          <w:szCs w:val="20"/>
          <w:u w:val="single" w:color="auto"/>
          <w:color w:val="auto"/>
        </w:rPr>
        <w:t>Section 9.4</w:t>
      </w:r>
      <w:r>
        <w:rPr>
          <w:rFonts w:ascii="Times New Roman" w:cs="Times New Roman" w:eastAsia="Times New Roman" w:hAnsi="Times New Roman"/>
          <w:sz w:val="20"/>
          <w:szCs w:val="20"/>
          <w:color w:val="auto"/>
        </w:rPr>
        <w:t>), in each case, without the written consent of each Lender;</w:t>
      </w:r>
    </w:p>
    <w:p>
      <w:pPr>
        <w:spacing w:after="0" w:line="183" w:lineRule="exact"/>
        <w:rPr>
          <w:rFonts w:ascii="Times New Roman" w:cs="Times New Roman" w:eastAsia="Times New Roman" w:hAnsi="Times New Roman"/>
          <w:sz w:val="20"/>
          <w:szCs w:val="20"/>
          <w:color w:val="auto"/>
        </w:rPr>
      </w:pPr>
    </w:p>
    <w:p>
      <w:pPr>
        <w:jc w:val="both"/>
        <w:ind w:left="680" w:right="60" w:firstLine="646"/>
        <w:spacing w:after="0" w:line="257" w:lineRule="auto"/>
        <w:tabs>
          <w:tab w:leader="none" w:pos="1922" w:val="left"/>
        </w:tabs>
        <w:numPr>
          <w:ilvl w:val="0"/>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release (i) all of the Subsidiary Guarantors or (ii) Subsidiary Guarantors comprising all or substantially all of the credit support for the Secured Obligations, in any case, from any Guaranty Agreement (other than as authorized in </w:t>
      </w:r>
      <w:r>
        <w:rPr>
          <w:rFonts w:ascii="Times New Roman" w:cs="Times New Roman" w:eastAsia="Times New Roman" w:hAnsi="Times New Roman"/>
          <w:sz w:val="20"/>
          <w:szCs w:val="20"/>
          <w:u w:val="single" w:color="auto"/>
          <w:color w:val="auto"/>
        </w:rPr>
        <w:t>Section 11.9</w:t>
      </w:r>
      <w:r>
        <w:rPr>
          <w:rFonts w:ascii="Times New Roman" w:cs="Times New Roman" w:eastAsia="Times New Roman" w:hAnsi="Times New Roman"/>
          <w:sz w:val="20"/>
          <w:szCs w:val="20"/>
          <w:color w:val="auto"/>
        </w:rPr>
        <w:t>), without the written consent of each Lender;</w:t>
      </w:r>
    </w:p>
    <w:p>
      <w:pPr>
        <w:spacing w:after="0" w:line="170" w:lineRule="exact"/>
        <w:rPr>
          <w:rFonts w:ascii="Times New Roman" w:cs="Times New Roman" w:eastAsia="Times New Roman" w:hAnsi="Times New Roman"/>
          <w:sz w:val="20"/>
          <w:szCs w:val="20"/>
          <w:color w:val="auto"/>
        </w:rPr>
      </w:pPr>
    </w:p>
    <w:p>
      <w:pPr>
        <w:jc w:val="both"/>
        <w:ind w:left="680" w:right="60" w:firstLine="646"/>
        <w:spacing w:after="0" w:line="264" w:lineRule="auto"/>
        <w:tabs>
          <w:tab w:leader="none" w:pos="1925" w:val="left"/>
        </w:tabs>
        <w:numPr>
          <w:ilvl w:val="0"/>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release or subordinate all or substantially all of the Collateral or release or subordinate any Security Document (or any Lien created thereby) (other than as authorized in </w:t>
      </w:r>
      <w:r>
        <w:rPr>
          <w:rFonts w:ascii="Times New Roman" w:cs="Times New Roman" w:eastAsia="Times New Roman" w:hAnsi="Times New Roman"/>
          <w:sz w:val="20"/>
          <w:szCs w:val="20"/>
          <w:u w:val="single" w:color="auto"/>
          <w:color w:val="auto"/>
        </w:rPr>
        <w:t>Section 11.9</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11.9(a)(i)(C)</w:t>
      </w:r>
      <w:r>
        <w:rPr>
          <w:rFonts w:ascii="Times New Roman" w:cs="Times New Roman" w:eastAsia="Times New Roman" w:hAnsi="Times New Roman"/>
          <w:sz w:val="20"/>
          <w:szCs w:val="20"/>
          <w:color w:val="auto"/>
        </w:rPr>
        <w:t>) or as otherwise specifically permitted or contemplated in this Agreement or the applicable Security Document) without the written consent of each Lender;</w:t>
      </w:r>
    </w:p>
    <w:p>
      <w:pPr>
        <w:spacing w:after="0" w:line="163" w:lineRule="exact"/>
        <w:rPr>
          <w:rFonts w:ascii="Times New Roman" w:cs="Times New Roman" w:eastAsia="Times New Roman" w:hAnsi="Times New Roman"/>
          <w:sz w:val="20"/>
          <w:szCs w:val="20"/>
          <w:color w:val="auto"/>
        </w:rPr>
      </w:pPr>
    </w:p>
    <w:p>
      <w:pPr>
        <w:jc w:val="both"/>
        <w:ind w:left="680" w:right="40" w:firstLine="646"/>
        <w:spacing w:after="0" w:line="255" w:lineRule="auto"/>
        <w:tabs>
          <w:tab w:leader="none" w:pos="1921" w:val="left"/>
        </w:tabs>
        <w:numPr>
          <w:ilvl w:val="0"/>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amend, waive or otherwise modify any provision of </w:t>
      </w:r>
      <w:r>
        <w:rPr>
          <w:rFonts w:ascii="Times New Roman" w:cs="Times New Roman" w:eastAsia="Times New Roman" w:hAnsi="Times New Roman"/>
          <w:sz w:val="20"/>
          <w:szCs w:val="20"/>
          <w:u w:val="single" w:color="auto"/>
          <w:color w:val="auto"/>
        </w:rPr>
        <w:t>Section 9.13</w:t>
      </w:r>
      <w:r>
        <w:rPr>
          <w:rFonts w:ascii="Times New Roman" w:cs="Times New Roman" w:eastAsia="Times New Roman" w:hAnsi="Times New Roman"/>
          <w:sz w:val="20"/>
          <w:szCs w:val="20"/>
          <w:color w:val="auto"/>
        </w:rPr>
        <w:t xml:space="preserve"> (or any defined terms used therein, but only for purposes of </w:t>
      </w:r>
      <w:r>
        <w:rPr>
          <w:rFonts w:ascii="Times New Roman" w:cs="Times New Roman" w:eastAsia="Times New Roman" w:hAnsi="Times New Roman"/>
          <w:sz w:val="20"/>
          <w:szCs w:val="20"/>
          <w:u w:val="single" w:color="auto"/>
          <w:color w:val="auto"/>
        </w:rPr>
        <w:t>Section 9.13</w:t>
      </w:r>
      <w:r>
        <w:rPr>
          <w:rFonts w:ascii="Times New Roman" w:cs="Times New Roman" w:eastAsia="Times New Roman" w:hAnsi="Times New Roman"/>
          <w:sz w:val="20"/>
          <w:szCs w:val="20"/>
          <w:color w:val="auto"/>
        </w:rPr>
        <w:t xml:space="preserve"> and not for any other purposes, including, without limitation, any pro forma compliance or incurrence tests) or waive any Event of Default resulting from a breach of the financial covenants set forth in </w:t>
      </w:r>
      <w:r>
        <w:rPr>
          <w:rFonts w:ascii="Times New Roman" w:cs="Times New Roman" w:eastAsia="Times New Roman" w:hAnsi="Times New Roman"/>
          <w:sz w:val="20"/>
          <w:szCs w:val="20"/>
          <w:u w:val="single" w:color="auto"/>
          <w:color w:val="auto"/>
        </w:rPr>
        <w:t>Section 9.13</w:t>
      </w:r>
      <w:r>
        <w:rPr>
          <w:rFonts w:ascii="Times New Roman" w:cs="Times New Roman" w:eastAsia="Times New Roman" w:hAnsi="Times New Roman"/>
          <w:sz w:val="20"/>
          <w:szCs w:val="20"/>
          <w:color w:val="auto"/>
        </w:rPr>
        <w:t>, in each case without the written consent of the Required Revolving Credit Lenders; or</w:t>
      </w:r>
    </w:p>
    <w:p>
      <w:pPr>
        <w:spacing w:after="0" w:line="172" w:lineRule="exact"/>
        <w:rPr>
          <w:rFonts w:ascii="Times New Roman" w:cs="Times New Roman" w:eastAsia="Times New Roman" w:hAnsi="Times New Roman"/>
          <w:sz w:val="20"/>
          <w:szCs w:val="20"/>
          <w:color w:val="auto"/>
        </w:rPr>
      </w:pPr>
    </w:p>
    <w:p>
      <w:pPr>
        <w:jc w:val="both"/>
        <w:ind w:left="680" w:right="40" w:firstLine="646"/>
        <w:spacing w:after="0" w:line="257" w:lineRule="auto"/>
        <w:tabs>
          <w:tab w:leader="none" w:pos="1926" w:val="left"/>
        </w:tabs>
        <w:numPr>
          <w:ilvl w:val="0"/>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subordinate any of the Obligations owed to the Lenders under a particular Credit Facility in right of payment or otherwise adversely affect the priority of payment of any of such Obligations without the consent of each Lender directly and adversely affected thereby;</w:t>
      </w:r>
    </w:p>
    <w:p>
      <w:pPr>
        <w:spacing w:after="0" w:line="171" w:lineRule="exact"/>
        <w:rPr>
          <w:sz w:val="20"/>
          <w:szCs w:val="20"/>
          <w:color w:val="auto"/>
        </w:rPr>
      </w:pPr>
    </w:p>
    <w:p>
      <w:pPr>
        <w:jc w:val="both"/>
        <w:ind w:left="680"/>
        <w:spacing w:after="0" w:line="249" w:lineRule="auto"/>
        <w:rPr>
          <w:sz w:val="20"/>
          <w:szCs w:val="20"/>
          <w:color w:val="auto"/>
        </w:rPr>
      </w:pP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that (i) no amendment, waiver or consent shall, unless in writing and signed by each affected Issuing Lender in addition to the Lenders required above, affect the rights or duties of such Issuing Lender under this Agreement or any Letter of Credit Application relating to any Letter of Credit issued or to be issued by it; (ii) no amendment, waiver or consent shall, unless in writing and signed by the applicable Swingline Lender in addition to the Lenders required above, affect the rights or duties of such Swingline Lender under this Agreement; (iii) no amendment, waiver or consent shall, unless in writing and signed by the Administrative Agent in addition to the Lenders required above, affect the rights or duties of the Administrative Agent under this Agreement or any other Loan Document; (iv) each Fee Letter may be amended, or rights or privileges thereunder waived, in a writing executed only by the parties thereto, (v) any waiver, amendment or modification of this Agreement that by its terms affects the rights or duties under this Agreement of Lenders holding Loans or Commitments of a particular Class (but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89">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274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20"/>
          </w:cols>
          <w:pgMar w:left="320" w:top="1440" w:right="459" w:bottom="1440" w:gutter="0" w:footer="0" w:header="0"/>
        </w:sectPr>
      </w:pPr>
    </w:p>
    <w:bookmarkStart w:id="423" w:name="page424"/>
    <w:bookmarkEnd w:id="423"/>
    <w:p>
      <w:pPr>
        <w:spacing w:after="0" w:line="94" w:lineRule="exact"/>
        <w:rPr>
          <w:sz w:val="20"/>
          <w:szCs w:val="20"/>
          <w:color w:val="auto"/>
        </w:rPr>
      </w:pPr>
    </w:p>
    <w:p>
      <w:pPr>
        <w:ind w:left="680"/>
        <w:spacing w:after="0" w:line="277" w:lineRule="auto"/>
        <w:rPr>
          <w:sz w:val="20"/>
          <w:szCs w:val="20"/>
          <w:color w:val="auto"/>
        </w:rPr>
      </w:pPr>
      <w:r>
        <w:rPr>
          <w:rFonts w:ascii="Times New Roman" w:cs="Times New Roman" w:eastAsia="Times New Roman" w:hAnsi="Times New Roman"/>
          <w:sz w:val="20"/>
          <w:szCs w:val="20"/>
          <w:color w:val="auto"/>
        </w:rPr>
        <w:t>not the Lenders holding Loans or Commitments of any other Class) may be effected by an agreement or agreements in writing entered into by the Borrowers and the requisite percentage in interest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90">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275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424" w:name="page425"/>
    <w:bookmarkEnd w:id="424"/>
    <w:p>
      <w:pPr>
        <w:spacing w:after="0" w:line="201" w:lineRule="exact"/>
        <w:rPr>
          <w:sz w:val="20"/>
          <w:szCs w:val="20"/>
          <w:color w:val="auto"/>
        </w:rPr>
      </w:pPr>
    </w:p>
    <w:p>
      <w:pPr>
        <w:jc w:val="both"/>
        <w:ind w:left="680"/>
        <w:spacing w:after="0" w:line="247" w:lineRule="auto"/>
        <w:rPr>
          <w:sz w:val="20"/>
          <w:szCs w:val="20"/>
          <w:color w:val="auto"/>
        </w:rPr>
      </w:pPr>
      <w:r>
        <w:rPr>
          <w:rFonts w:ascii="Times New Roman" w:cs="Times New Roman" w:eastAsia="Times New Roman" w:hAnsi="Times New Roman"/>
          <w:sz w:val="20"/>
          <w:szCs w:val="20"/>
          <w:color w:val="auto"/>
        </w:rPr>
        <w:t xml:space="preserve">affected Class of Lenders that would be required to consent thereto under this Section if such Class of Lenders were the only Class of Lenders hereunder at the time, (vi) each Letter of Credit Application may be amended, or rights or privileges thereunder waived, in a writing executed only by the parties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copy of such amended Letter of Credit Application shall be promptly delivered to the Administrative Agent upon such amendment or waiver, (vii) the Administrative Agent and the Borrowers shall be permitted to amend any provision of the Loan Documents (and such amendment shall become effective without any further action or consent of any other party to any Loan Document) if the Administrative Agent and the Borrowers shall have jointly identified an obvious error or any error, ambiguity, defect or inconsistency, or omission of a technical or immaterial nature in any such provision;</w:t>
      </w:r>
    </w:p>
    <w:p>
      <w:pPr>
        <w:spacing w:after="0" w:line="1" w:lineRule="exact"/>
        <w:rPr>
          <w:sz w:val="20"/>
          <w:szCs w:val="20"/>
          <w:color w:val="auto"/>
        </w:rPr>
      </w:pPr>
    </w:p>
    <w:p>
      <w:pPr>
        <w:jc w:val="both"/>
        <w:ind w:left="680" w:right="40" w:firstLine="4"/>
        <w:spacing w:after="0" w:line="246" w:lineRule="auto"/>
        <w:tabs>
          <w:tab w:leader="none" w:pos="1286" w:val="left"/>
        </w:tabs>
        <w:numPr>
          <w:ilvl w:val="0"/>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(and, if applicable, the Borrowers) may, without the consent of any Lender, enter into amendments or modifications to this Agreement or any of the other Loan Documents or to enter into additional Loan Documents in order to implement any Benchmark Replacement or any Benchmark Replacement Conforming Changes or otherwise effectuate the terms of </w:t>
      </w:r>
      <w:r>
        <w:rPr>
          <w:rFonts w:ascii="Times New Roman" w:cs="Times New Roman" w:eastAsia="Times New Roman" w:hAnsi="Times New Roman"/>
          <w:sz w:val="20"/>
          <w:szCs w:val="20"/>
          <w:u w:val="single" w:color="auto"/>
          <w:color w:val="auto"/>
        </w:rPr>
        <w:t>Section 5.8(c)</w:t>
      </w:r>
      <w:r>
        <w:rPr>
          <w:rFonts w:ascii="Times New Roman" w:cs="Times New Roman" w:eastAsia="Times New Roman" w:hAnsi="Times New Roman"/>
          <w:sz w:val="20"/>
          <w:szCs w:val="20"/>
          <w:color w:val="auto"/>
        </w:rPr>
        <w:t xml:space="preserve"> in accordance with the terms of </w:t>
      </w:r>
      <w:r>
        <w:rPr>
          <w:rFonts w:ascii="Times New Roman" w:cs="Times New Roman" w:eastAsia="Times New Roman" w:hAnsi="Times New Roman"/>
          <w:sz w:val="20"/>
          <w:szCs w:val="20"/>
          <w:u w:val="single" w:color="auto"/>
          <w:color w:val="auto"/>
        </w:rPr>
        <w:t>Section 5.8(c)</w:t>
      </w:r>
      <w:r>
        <w:rPr>
          <w:rFonts w:ascii="Times New Roman" w:cs="Times New Roman" w:eastAsia="Times New Roman" w:hAnsi="Times New Roman"/>
          <w:sz w:val="20"/>
          <w:szCs w:val="20"/>
          <w:color w:val="auto"/>
        </w:rPr>
        <w:t xml:space="preserve">; and (ix) the Required Revolving Credit Lenders may (x) amend or otherwise modify the financial covenants set forth in </w:t>
      </w:r>
      <w:r>
        <w:rPr>
          <w:rFonts w:ascii="Times New Roman" w:cs="Times New Roman" w:eastAsia="Times New Roman" w:hAnsi="Times New Roman"/>
          <w:sz w:val="20"/>
          <w:szCs w:val="20"/>
          <w:u w:val="single" w:color="auto"/>
          <w:color w:val="auto"/>
        </w:rPr>
        <w:t>Section 9.13</w:t>
      </w:r>
      <w:r>
        <w:rPr>
          <w:rFonts w:ascii="Times New Roman" w:cs="Times New Roman" w:eastAsia="Times New Roman" w:hAnsi="Times New Roman"/>
          <w:sz w:val="20"/>
          <w:szCs w:val="20"/>
          <w:color w:val="auto"/>
        </w:rPr>
        <w:t xml:space="preserve"> or, solely for purposes of such financial covenants, the defined terms used, directly or indirectly, therein, or (y) waive any noncompliance with the financial covenants set forth in </w:t>
      </w:r>
      <w:r>
        <w:rPr>
          <w:rFonts w:ascii="Times New Roman" w:cs="Times New Roman" w:eastAsia="Times New Roman" w:hAnsi="Times New Roman"/>
          <w:sz w:val="20"/>
          <w:szCs w:val="20"/>
          <w:u w:val="single" w:color="auto"/>
          <w:color w:val="auto"/>
        </w:rPr>
        <w:t>Section 9.13</w:t>
      </w:r>
      <w:r>
        <w:rPr>
          <w:rFonts w:ascii="Times New Roman" w:cs="Times New Roman" w:eastAsia="Times New Roman" w:hAnsi="Times New Roman"/>
          <w:sz w:val="20"/>
          <w:szCs w:val="20"/>
          <w:color w:val="auto"/>
        </w:rPr>
        <w:t xml:space="preserve"> or any Event of Default resulting from any such noncompliance, in each case without the consent of any other Lenders. Notwithstanding anything to the contrary herein, no Defaulting Lender shall have any right to approve or disapprove any amendment, waiver or consent hereunder, except that (A) the Revolving Credit Commitment of such Lender may not be increased or extended without the consent of such Lender, and (B) any amendment, waiver or consent hereunder which requires the consent of all Lenders or each affected Lenders that by its terms disproportionately and adversely affects any such Defaulting Lender relative to other affected Lenders shall require the consent of such Defaulting Lender.</w:t>
      </w:r>
    </w:p>
    <w:p>
      <w:pPr>
        <w:spacing w:after="0" w:line="172" w:lineRule="exact"/>
        <w:rPr>
          <w:sz w:val="20"/>
          <w:szCs w:val="20"/>
          <w:color w:val="auto"/>
        </w:rPr>
      </w:pPr>
    </w:p>
    <w:p>
      <w:pPr>
        <w:jc w:val="both"/>
        <w:ind w:left="680" w:right="20"/>
        <w:spacing w:after="0" w:line="260" w:lineRule="auto"/>
        <w:rPr>
          <w:sz w:val="20"/>
          <w:szCs w:val="20"/>
          <w:color w:val="auto"/>
        </w:rPr>
      </w:pPr>
      <w:r>
        <w:rPr>
          <w:rFonts w:ascii="Times New Roman" w:cs="Times New Roman" w:eastAsia="Times New Roman" w:hAnsi="Times New Roman"/>
          <w:sz w:val="19"/>
          <w:szCs w:val="19"/>
          <w:color w:val="auto"/>
        </w:rPr>
        <w:t xml:space="preserve">Notwithstanding anything in this Agreement to the contrary, each Lender hereby irrevocably authorizes the Administrative Agent on its behalf, and without further consent, to enter into amendments or modifications to this Agreement (including, without limitation, amendments to this </w:t>
      </w:r>
      <w:r>
        <w:rPr>
          <w:rFonts w:ascii="Times New Roman" w:cs="Times New Roman" w:eastAsia="Times New Roman" w:hAnsi="Times New Roman"/>
          <w:sz w:val="19"/>
          <w:szCs w:val="19"/>
          <w:u w:val="single" w:color="auto"/>
          <w:color w:val="auto"/>
        </w:rPr>
        <w:t>Section 12.2</w:t>
      </w:r>
      <w:r>
        <w:rPr>
          <w:rFonts w:ascii="Times New Roman" w:cs="Times New Roman" w:eastAsia="Times New Roman" w:hAnsi="Times New Roman"/>
          <w:sz w:val="19"/>
          <w:szCs w:val="19"/>
          <w:color w:val="auto"/>
        </w:rPr>
        <w:t xml:space="preserve">) or any of the other Loan Documents or enter into additional Loan Documents as the Administrative Agent reasonably deems appropriate in order to effectuate the terms of </w:t>
      </w:r>
      <w:r>
        <w:rPr>
          <w:rFonts w:ascii="Times New Roman" w:cs="Times New Roman" w:eastAsia="Times New Roman" w:hAnsi="Times New Roman"/>
          <w:sz w:val="19"/>
          <w:szCs w:val="19"/>
          <w:u w:val="single" w:color="auto"/>
          <w:color w:val="auto"/>
        </w:rPr>
        <w:t>Section 5.13</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5.18</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5.19</w:t>
      </w:r>
      <w:r>
        <w:rPr>
          <w:rFonts w:ascii="Times New Roman" w:cs="Times New Roman" w:eastAsia="Times New Roman" w:hAnsi="Times New Roman"/>
          <w:sz w:val="19"/>
          <w:szCs w:val="19"/>
          <w:color w:val="auto"/>
        </w:rPr>
        <w:t xml:space="preserve"> (including, without limitation, as applicable, (1) to permit the Incremental Term Loans, Extended Term Loans, Incremental Revolving Credit Facility Increases, extended Revolving Credit Commitments or Extended Revolving Credit Loans, as applicable, to share ratably in the benefits of this Agreement and the other Loan Documents, (2) to include the Incremental Term Loan Commitments, the Incremental Revolving Credit Facility Increase or the Extended Revolving Credit Commitments, as applicable, or outstanding Incremental Term Loans, outstanding Incremental Revolving Credit Facility Increase, outstanding Extended Revolving Credit Loans or outstanding Extended Term Loans, as applicable, in any determination of (i) Required Lenders or Required Revolving Credit Lenders, as applicable or (ii) similar required lender terms applicable thereto);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amendment or modification shall result in any increase in the amount of any Lender’s Commitment or any increase in any Lender’s Commitment Percentage, in each case, without the written consent of such affected Lender, (3) amend and restate this Agreement if, upon giving effect to such amendment and restatement, such Lender shall no longer be a party to this Agreement (as so amended and restated), the Commitments of such Lender shall have terminated, such Lender shall have no other commitment or other obligation hereunder and shall have been paid in full all principal, interest and other amounts owing to it or accrued for its account under this Agreement and the other Loan Documents and (4) to make amendments to any outstanding tranche of Term Loans to permit any Incremental Term Loans or Commitments relating thereto to be “fungible” (including, without limitation, for purposes of the Code) with such tranche of Term Loans, including, without limitation, increases in the Applicable Margin or any fees payable to such outstanding</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91">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276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425" w:name="page426"/>
    <w:bookmarkEnd w:id="425"/>
    <w:p>
      <w:pPr>
        <w:spacing w:after="0" w:line="81" w:lineRule="exact"/>
        <w:rPr>
          <w:sz w:val="20"/>
          <w:szCs w:val="20"/>
          <w:color w:val="auto"/>
        </w:rPr>
      </w:pPr>
    </w:p>
    <w:p>
      <w:pPr>
        <w:ind w:left="680"/>
        <w:spacing w:after="0" w:line="263" w:lineRule="auto"/>
        <w:rPr>
          <w:sz w:val="20"/>
          <w:szCs w:val="20"/>
          <w:color w:val="auto"/>
        </w:rPr>
      </w:pPr>
      <w:r>
        <w:rPr>
          <w:rFonts w:ascii="Times New Roman" w:cs="Times New Roman" w:eastAsia="Times New Roman" w:hAnsi="Times New Roman"/>
          <w:sz w:val="20"/>
          <w:szCs w:val="20"/>
          <w:color w:val="auto"/>
        </w:rPr>
        <w:t>tranche of Term Loans or providing such outstanding tranche of Term Loans with the benefit of any call protection or covenants that are applicable to the proposed Incremental Term Loans or Commitments relating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92">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277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080"/>
          </w:cols>
          <w:pgMar w:left="320" w:top="1440" w:right="499" w:bottom="1440" w:gutter="0" w:footer="0" w:header="0"/>
        </w:sectPr>
      </w:pPr>
    </w:p>
    <w:bookmarkStart w:id="426" w:name="page427"/>
    <w:bookmarkEnd w:id="426"/>
    <w:p>
      <w:pPr>
        <w:spacing w:after="0" w:line="201" w:lineRule="exact"/>
        <w:rPr>
          <w:sz w:val="20"/>
          <w:szCs w:val="20"/>
          <w:color w:val="auto"/>
        </w:rPr>
      </w:pPr>
    </w:p>
    <w:p>
      <w:pPr>
        <w:ind w:left="680" w:right="60"/>
        <w:spacing w:after="0" w:line="263" w:lineRule="auto"/>
        <w:rPr>
          <w:sz w:val="20"/>
          <w:szCs w:val="20"/>
          <w:color w:val="auto"/>
        </w:rPr>
      </w:pPr>
      <w:r>
        <w:rPr>
          <w:rFonts w:ascii="Times New Roman" w:cs="Times New Roman" w:eastAsia="Times New Roman" w:hAnsi="Times New Roman"/>
          <w:sz w:val="20"/>
          <w:szCs w:val="20"/>
          <w:color w:val="auto"/>
        </w:rPr>
        <w:t xml:space="preserve">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amendments or modifications to such outstanding tranche of Term Loans shall not directly adversely affect the Lenders holding such tranche of Term Loans without their consent.</w:t>
      </w:r>
    </w:p>
    <w:p>
      <w:pPr>
        <w:spacing w:after="0" w:line="178" w:lineRule="exact"/>
        <w:rPr>
          <w:sz w:val="20"/>
          <w:szCs w:val="20"/>
          <w:color w:val="auto"/>
        </w:rPr>
      </w:pPr>
    </w:p>
    <w:p>
      <w:pPr>
        <w:ind w:left="1320"/>
        <w:spacing w:after="0"/>
        <w:tabs>
          <w:tab w:leader="none" w:pos="2720" w:val="left"/>
        </w:tabs>
        <w:rPr>
          <w:sz w:val="20"/>
          <w:szCs w:val="20"/>
          <w:color w:val="auto"/>
        </w:rPr>
      </w:pPr>
      <w:r>
        <w:rPr>
          <w:rFonts w:ascii="Times New Roman" w:cs="Times New Roman" w:eastAsia="Times New Roman" w:hAnsi="Times New Roman"/>
          <w:sz w:val="20"/>
          <w:szCs w:val="20"/>
          <w:color w:val="auto"/>
        </w:rPr>
        <w:t>SECTION 12.3</w:t>
      </w:r>
      <w:r>
        <w:rPr>
          <w:sz w:val="20"/>
          <w:szCs w:val="20"/>
          <w:color w:val="auto"/>
        </w:rPr>
        <w:tab/>
      </w:r>
      <w:r>
        <w:rPr>
          <w:rFonts w:ascii="Times New Roman" w:cs="Times New Roman" w:eastAsia="Times New Roman" w:hAnsi="Times New Roman"/>
          <w:sz w:val="19"/>
          <w:szCs w:val="19"/>
          <w:u w:val="single" w:color="auto"/>
          <w:color w:val="auto"/>
        </w:rPr>
        <w:t>Expenses; Indemnity</w:t>
      </w:r>
      <w:r>
        <w:rPr>
          <w:rFonts w:ascii="Times New Roman" w:cs="Times New Roman" w:eastAsia="Times New Roman" w:hAnsi="Times New Roman"/>
          <w:sz w:val="19"/>
          <w:szCs w:val="19"/>
          <w:color w:val="auto"/>
        </w:rPr>
        <w:t>.</w:t>
      </w:r>
    </w:p>
    <w:p>
      <w:pPr>
        <w:spacing w:after="0" w:line="211" w:lineRule="exact"/>
        <w:rPr>
          <w:sz w:val="20"/>
          <w:szCs w:val="20"/>
          <w:color w:val="auto"/>
        </w:rPr>
      </w:pPr>
    </w:p>
    <w:p>
      <w:pPr>
        <w:jc w:val="both"/>
        <w:ind w:left="680" w:right="40" w:firstLine="646"/>
        <w:spacing w:after="0" w:line="262" w:lineRule="auto"/>
        <w:tabs>
          <w:tab w:leader="none" w:pos="1927" w:val="left"/>
        </w:tabs>
        <w:numPr>
          <w:ilvl w:val="0"/>
          <w:numId w:val="3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Costs and Expenses</w:t>
      </w:r>
      <w:r>
        <w:rPr>
          <w:rFonts w:ascii="Times New Roman" w:cs="Times New Roman" w:eastAsia="Times New Roman" w:hAnsi="Times New Roman"/>
          <w:sz w:val="19"/>
          <w:szCs w:val="19"/>
          <w:color w:val="auto"/>
        </w:rPr>
        <w:t>. The Borrowers shall pay, (i) all reasonable out of pocket expenses incurred by the Administrative Agent and its Affiliates (including the reasonable fees, charges and disbursements of counsel for the Administrative Agent),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 of pocket expenses incurred by any Issuing Lender in connection with the issuance, amendment, renewal or extension of any Letter of Credit or any demand for payment thereunder and (iii) all reasonable out of pocket expenses incurred by the Administrative Agent, any Lender or any Issuing Lender (including the reasonable fees, charges and disbursements of any counsel for the Administrative Agent, any Lender or any Issuing Lender) in connection with the enforcement or protection of its rights (A) in connection with this Agreement and the other Loan Documents, including its rights under this Section, or (B) in connection with the Loans made or Letters of Credit issued hereunder, including all such out of pocket expenses incurred during any workout, restructuring or negotiations in respect of such Loans or Letters of Credit.</w:t>
      </w:r>
    </w:p>
    <w:p>
      <w:pPr>
        <w:spacing w:after="0" w:line="171" w:lineRule="exact"/>
        <w:rPr>
          <w:rFonts w:ascii="Times New Roman" w:cs="Times New Roman" w:eastAsia="Times New Roman" w:hAnsi="Times New Roman"/>
          <w:sz w:val="19"/>
          <w:szCs w:val="19"/>
          <w:color w:val="auto"/>
        </w:rPr>
      </w:pPr>
    </w:p>
    <w:p>
      <w:pPr>
        <w:jc w:val="both"/>
        <w:ind w:left="680" w:firstLine="646"/>
        <w:spacing w:after="0" w:line="260" w:lineRule="auto"/>
        <w:tabs>
          <w:tab w:leader="none" w:pos="1925" w:val="left"/>
        </w:tabs>
        <w:numPr>
          <w:ilvl w:val="0"/>
          <w:numId w:val="3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Indemnification by the Borrowers</w:t>
      </w:r>
      <w:r>
        <w:rPr>
          <w:rFonts w:ascii="Times New Roman" w:cs="Times New Roman" w:eastAsia="Times New Roman" w:hAnsi="Times New Roman"/>
          <w:sz w:val="19"/>
          <w:szCs w:val="19"/>
          <w:color w:val="auto"/>
        </w:rPr>
        <w:t>. The Borrowers shall indemnify the Administrative Agent (and any sub-agent thereof), each Arranger, each Lender and each Issuing Lender, and each Related Party of any of the foregoing Persons (each such Person being called an “</w:t>
      </w:r>
      <w:r>
        <w:rPr>
          <w:rFonts w:ascii="Times New Roman" w:cs="Times New Roman" w:eastAsia="Times New Roman" w:hAnsi="Times New Roman"/>
          <w:sz w:val="19"/>
          <w:szCs w:val="19"/>
          <w:u w:val="single" w:color="auto"/>
          <w:color w:val="auto"/>
        </w:rPr>
        <w:t>Indemnitee</w:t>
      </w:r>
      <w:r>
        <w:rPr>
          <w:rFonts w:ascii="Times New Roman" w:cs="Times New Roman" w:eastAsia="Times New Roman" w:hAnsi="Times New Roman"/>
          <w:sz w:val="19"/>
          <w:szCs w:val="19"/>
          <w:color w:val="auto"/>
        </w:rPr>
        <w:t>”) against, and hold each Indemnitee harmless from, and shall pay or reimburse any such Indemnitee for, any and all losses, claims (including, without limitation, any Environmental Claims), penalties, damages, liabilities and related expenses (including the reasonable fees, charges and disbursements of any counsel for any Indemnitee), incurred by any Indemnitee or asserted against any Indemnitee by any Person (including the Borrowers or any other Credit Party), arising out of, in connection with, or as a result of (i) the execution or delivery of this Agreement, any other Loan Document or any agreement or instrument contemplated hereby or thereby, the performance by the parties hereto of their respective obligations hereunder or</w:t>
      </w:r>
    </w:p>
    <w:p>
      <w:pPr>
        <w:spacing w:after="0" w:line="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auto"/>
        </w:rPr>
        <w:t>thereunder or the consummation of the transactions contemplated hereby or thereby (including, without limitation, the Transactions),</w:t>
      </w:r>
    </w:p>
    <w:p>
      <w:pPr>
        <w:spacing w:after="0" w:line="17" w:lineRule="exact"/>
        <w:rPr>
          <w:sz w:val="20"/>
          <w:szCs w:val="20"/>
          <w:color w:val="auto"/>
        </w:rPr>
      </w:pPr>
    </w:p>
    <w:p>
      <w:pPr>
        <w:jc w:val="both"/>
        <w:ind w:left="680" w:firstLine="4"/>
        <w:spacing w:after="0" w:line="259" w:lineRule="auto"/>
        <w:tabs>
          <w:tab w:leader="none" w:pos="977" w:val="left"/>
        </w:tabs>
        <w:numPr>
          <w:ilvl w:val="0"/>
          <w:numId w:val="3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Loan or Letter of Credit or the use or proposed use of the proceeds therefrom (including any refusal by any Issuing Lender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any Credit Party or any Subsidiary thereof, or any Environmental Claim related in any way to any Credit Party or any Subsidiary, (iv) any actual or prospective claim, litigation, investigation or proceeding relating to any of the foregoing, whether based on contract, tort or any other theory, whether brought by a third party or by any Credit Party or any Subsidiary thereof, and regardless of whether any Indemnitee is a party thereto, or (v) any claim (including, without limitation, any Environmental Claims), investigation, litigation or other proceeding (whether or not the Administrative Agent or any Lender is a party thereto) and the prosecution and defense thereof, arising out of or in any way connected with the Loans, this Agreement, any other Loan Document, or any documents contemplated by or referred to herein or therein or the transactions contemplated hereby or thereby, including without limitation, reasonable attorneys and consultant’s fees,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indemnity shall not, as to any Indemnitee, be available to the extent that such losses, claims, damages, liabilities or related expenses (A) are determined by a court of competent jurisdiction by final and nonappealable judgment to have resulted from the gross negligence or willful misconduct of such Indemnitee or (B) result from a claim brought by any Credit Party or any Subsidiary thereof against an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93">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278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20"/>
          </w:cols>
          <w:pgMar w:left="320" w:top="1440" w:right="459" w:bottom="1440" w:gutter="0" w:footer="0" w:header="0"/>
        </w:sectPr>
      </w:pPr>
    </w:p>
    <w:bookmarkStart w:id="427" w:name="page428"/>
    <w:bookmarkEnd w:id="427"/>
    <w:p>
      <w:pPr>
        <w:spacing w:after="0" w:line="81" w:lineRule="exact"/>
        <w:rPr>
          <w:sz w:val="20"/>
          <w:szCs w:val="20"/>
          <w:color w:val="auto"/>
        </w:rPr>
      </w:pPr>
    </w:p>
    <w:p>
      <w:pPr>
        <w:ind w:left="680"/>
        <w:spacing w:after="0" w:line="277" w:lineRule="auto"/>
        <w:rPr>
          <w:sz w:val="20"/>
          <w:szCs w:val="20"/>
          <w:color w:val="auto"/>
        </w:rPr>
      </w:pPr>
      <w:r>
        <w:rPr>
          <w:rFonts w:ascii="Times New Roman" w:cs="Times New Roman" w:eastAsia="Times New Roman" w:hAnsi="Times New Roman"/>
          <w:sz w:val="20"/>
          <w:szCs w:val="20"/>
          <w:color w:val="auto"/>
        </w:rPr>
        <w:t>Indemnitee for breach in bad faith of such Indemnitee’s obligations hereunder or under any other Loan Document, if such Credit Party or such Subsidiary has obtained a final and nonappealable judgment in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94">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279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20"/>
          </w:cols>
          <w:pgMar w:left="320" w:top="1440" w:right="459" w:bottom="1440" w:gutter="0" w:footer="0" w:header="0"/>
        </w:sectPr>
      </w:pPr>
    </w:p>
    <w:bookmarkStart w:id="428" w:name="page429"/>
    <w:bookmarkEnd w:id="428"/>
    <w:p>
      <w:pPr>
        <w:spacing w:after="0" w:line="202" w:lineRule="exact"/>
        <w:rPr>
          <w:sz w:val="20"/>
          <w:szCs w:val="20"/>
          <w:color w:val="auto"/>
        </w:rPr>
      </w:pPr>
    </w:p>
    <w:p>
      <w:pPr>
        <w:ind w:left="680" w:right="20"/>
        <w:spacing w:after="0" w:line="263" w:lineRule="auto"/>
        <w:rPr>
          <w:sz w:val="20"/>
          <w:szCs w:val="20"/>
          <w:color w:val="auto"/>
        </w:rPr>
      </w:pPr>
      <w:r>
        <w:rPr>
          <w:rFonts w:ascii="Times New Roman" w:cs="Times New Roman" w:eastAsia="Times New Roman" w:hAnsi="Times New Roman"/>
          <w:sz w:val="20"/>
          <w:szCs w:val="20"/>
          <w:color w:val="auto"/>
        </w:rPr>
        <w:t xml:space="preserve">favor on such claim as determined by a court of competent jurisdiction. This </w:t>
      </w:r>
      <w:r>
        <w:rPr>
          <w:rFonts w:ascii="Times New Roman" w:cs="Times New Roman" w:eastAsia="Times New Roman" w:hAnsi="Times New Roman"/>
          <w:sz w:val="20"/>
          <w:szCs w:val="20"/>
          <w:u w:val="single" w:color="auto"/>
          <w:color w:val="auto"/>
        </w:rPr>
        <w:t>Section 12.3(b)</w:t>
      </w:r>
      <w:r>
        <w:rPr>
          <w:rFonts w:ascii="Times New Roman" w:cs="Times New Roman" w:eastAsia="Times New Roman" w:hAnsi="Times New Roman"/>
          <w:sz w:val="20"/>
          <w:szCs w:val="20"/>
          <w:color w:val="auto"/>
        </w:rPr>
        <w:t xml:space="preserve"> shall not apply with respect to Taxes other than any Taxes that represent losses, claims, damages, etc. arising from any non-Tax claim.</w:t>
      </w:r>
    </w:p>
    <w:p>
      <w:pPr>
        <w:spacing w:after="0" w:line="178" w:lineRule="exact"/>
        <w:rPr>
          <w:sz w:val="20"/>
          <w:szCs w:val="20"/>
          <w:color w:val="auto"/>
        </w:rPr>
      </w:pPr>
    </w:p>
    <w:p>
      <w:pPr>
        <w:jc w:val="both"/>
        <w:ind w:left="680" w:firstLine="646"/>
        <w:spacing w:after="0" w:line="246" w:lineRule="auto"/>
        <w:tabs>
          <w:tab w:leader="none" w:pos="1927" w:val="left"/>
        </w:tabs>
        <w:numPr>
          <w:ilvl w:val="0"/>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Reimbursement by Lenders</w:t>
      </w:r>
      <w:r>
        <w:rPr>
          <w:rFonts w:ascii="Times New Roman" w:cs="Times New Roman" w:eastAsia="Times New Roman" w:hAnsi="Times New Roman"/>
          <w:sz w:val="20"/>
          <w:szCs w:val="20"/>
          <w:color w:val="auto"/>
        </w:rPr>
        <w:t xml:space="preserve">. To the extent that the Borrowers for any reason fail to indefeasibly pay any amount required under clause (a) or (b) of this Section to be paid by it to the Administrative Agent (or any sub-agent thereof), any Arranger, any Issuing Lender, any Swingline Lender or any Related Party of any of the foregoing, each Lender severally agrees to pay to the Administrative Agent (or any such sub-agent), such Issuing Lender, such Swingline Lender or such Related Party, as the case may be, such Lender’s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share (determined as of the time that the applicable unreimbursed expense or indemnity payment is sought based on each Lender’s share of the Total Credit Exposure at such time, or if the Total Credit Exposure has been reduced to zero, then based on such Lender’s share of the Total Credit Exposure immediately prior to such reduction) of such unpaid amount (including any such unpaid amount in respect of a claim asserted by such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such unpaid amounts owed to any Issuing Lender or any Swingline Lender solely in its capacity as such, only the Revolving Credit Lenders shall be required to pay such unpaid amounts, such payment to be made severally among them based on such Revolving Credit Lenders’ Revolving Credit Commitment Percentage (determined as of the time that the applicable unreimbursed expense or indemnity payment is sought or, if the Revolving Credit Commitment has been reduced to zero as of such time, determined immediately prior to such reduction);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the unreimbursed expense or indemnified loss, claim, damage, liability or related expense, as the case may be, was incurred by or asserted against the Administrative Agent (or any such sub-agent), such Issuing Lender or such Swingline Lender in its capacity as such, or against any Related Party of any of the foregoing acting for the Administrative Agent (or any such sub-agent), such Issuing Lender or such Swingline Lender in connection with such capacity. The obligations of the Lenders under this clause (c) are subject to the provisions of </w:t>
      </w:r>
      <w:r>
        <w:rPr>
          <w:rFonts w:ascii="Times New Roman" w:cs="Times New Roman" w:eastAsia="Times New Roman" w:hAnsi="Times New Roman"/>
          <w:sz w:val="20"/>
          <w:szCs w:val="20"/>
          <w:u w:val="single" w:color="auto"/>
          <w:color w:val="auto"/>
        </w:rPr>
        <w:t>Section 5.7</w:t>
      </w:r>
      <w:r>
        <w:rPr>
          <w:rFonts w:ascii="Times New Roman" w:cs="Times New Roman" w:eastAsia="Times New Roman" w:hAnsi="Times New Roman"/>
          <w:sz w:val="20"/>
          <w:szCs w:val="20"/>
          <w:color w:val="auto"/>
        </w:rPr>
        <w:t>.</w:t>
      </w:r>
    </w:p>
    <w:p>
      <w:pPr>
        <w:spacing w:after="0" w:line="178" w:lineRule="exact"/>
        <w:rPr>
          <w:rFonts w:ascii="Times New Roman" w:cs="Times New Roman" w:eastAsia="Times New Roman" w:hAnsi="Times New Roman"/>
          <w:sz w:val="20"/>
          <w:szCs w:val="20"/>
          <w:color w:val="auto"/>
        </w:rPr>
      </w:pPr>
    </w:p>
    <w:p>
      <w:pPr>
        <w:jc w:val="both"/>
        <w:ind w:left="680" w:firstLine="646"/>
        <w:spacing w:after="0" w:line="248" w:lineRule="auto"/>
        <w:tabs>
          <w:tab w:leader="none" w:pos="1925" w:val="left"/>
        </w:tabs>
        <w:numPr>
          <w:ilvl w:val="0"/>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Consequential Damages, Etc.</w:t>
      </w:r>
      <w:r>
        <w:rPr>
          <w:rFonts w:ascii="Times New Roman" w:cs="Times New Roman" w:eastAsia="Times New Roman" w:hAnsi="Times New Roman"/>
          <w:sz w:val="20"/>
          <w:szCs w:val="20"/>
          <w:color w:val="auto"/>
        </w:rPr>
        <w:t xml:space="preserve"> To the fullest extent permitted by Applicable Law, each Borrower and each other Credit Party shall not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clause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185" w:lineRule="exact"/>
        <w:rPr>
          <w:rFonts w:ascii="Times New Roman" w:cs="Times New Roman" w:eastAsia="Times New Roman" w:hAnsi="Times New Roman"/>
          <w:sz w:val="20"/>
          <w:szCs w:val="20"/>
          <w:color w:val="auto"/>
        </w:rPr>
      </w:pPr>
    </w:p>
    <w:p>
      <w:pPr>
        <w:ind w:left="1940" w:hanging="614"/>
        <w:spacing w:after="0"/>
        <w:tabs>
          <w:tab w:leader="none" w:pos="1940" w:val="left"/>
        </w:tabs>
        <w:numPr>
          <w:ilvl w:val="0"/>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All amounts due under this Section shall be payable promptly after written demand therefor.</w:t>
      </w:r>
    </w:p>
    <w:p>
      <w:pPr>
        <w:spacing w:after="0" w:line="224" w:lineRule="exact"/>
        <w:rPr>
          <w:rFonts w:ascii="Times New Roman" w:cs="Times New Roman" w:eastAsia="Times New Roman" w:hAnsi="Times New Roman"/>
          <w:sz w:val="20"/>
          <w:szCs w:val="20"/>
          <w:color w:val="auto"/>
        </w:rPr>
      </w:pPr>
    </w:p>
    <w:p>
      <w:pPr>
        <w:ind w:left="680" w:right="40" w:firstLine="646"/>
        <w:spacing w:after="0" w:line="263" w:lineRule="auto"/>
        <w:tabs>
          <w:tab w:leader="none" w:pos="1919" w:val="left"/>
        </w:tabs>
        <w:numPr>
          <w:ilvl w:val="0"/>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Each party’s obligations under this Section shall survive the termination of the Loan Documents and payment of the obligations hereunder.</w:t>
      </w:r>
    </w:p>
    <w:p>
      <w:pPr>
        <w:spacing w:after="0" w:line="178" w:lineRule="exact"/>
        <w:rPr>
          <w:sz w:val="20"/>
          <w:szCs w:val="20"/>
          <w:color w:val="auto"/>
        </w:rPr>
      </w:pPr>
    </w:p>
    <w:p>
      <w:pPr>
        <w:jc w:val="both"/>
        <w:ind w:left="680" w:firstLine="642"/>
        <w:spacing w:after="0" w:line="272" w:lineRule="auto"/>
        <w:rPr>
          <w:sz w:val="20"/>
          <w:szCs w:val="20"/>
          <w:color w:val="auto"/>
        </w:rPr>
      </w:pPr>
      <w:r>
        <w:rPr>
          <w:rFonts w:ascii="Times New Roman" w:cs="Times New Roman" w:eastAsia="Times New Roman" w:hAnsi="Times New Roman"/>
          <w:sz w:val="19"/>
          <w:szCs w:val="19"/>
          <w:color w:val="auto"/>
        </w:rPr>
        <w:t xml:space="preserve">SECTION 12.4 </w:t>
      </w:r>
      <w:r>
        <w:rPr>
          <w:rFonts w:ascii="Times New Roman" w:cs="Times New Roman" w:eastAsia="Times New Roman" w:hAnsi="Times New Roman"/>
          <w:sz w:val="19"/>
          <w:szCs w:val="19"/>
          <w:u w:val="single" w:color="auto"/>
          <w:color w:val="auto"/>
        </w:rPr>
        <w:t>Right of Setoff</w:t>
      </w:r>
      <w:r>
        <w:rPr>
          <w:rFonts w:ascii="Times New Roman" w:cs="Times New Roman" w:eastAsia="Times New Roman" w:hAnsi="Times New Roman"/>
          <w:sz w:val="19"/>
          <w:szCs w:val="19"/>
          <w:color w:val="auto"/>
        </w:rPr>
        <w:t>. If an Event of Default shall have occurred and be continuing, each Lender, each Issuing Lender, each Swingline Lender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95">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280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429" w:name="page430"/>
    <w:bookmarkEnd w:id="429"/>
    <w:p>
      <w:pPr>
        <w:spacing w:after="0" w:line="95" w:lineRule="exact"/>
        <w:rPr>
          <w:sz w:val="20"/>
          <w:szCs w:val="20"/>
          <w:color w:val="auto"/>
        </w:rPr>
      </w:pPr>
    </w:p>
    <w:p>
      <w:pPr>
        <w:ind w:left="680"/>
        <w:spacing w:after="0" w:line="277" w:lineRule="auto"/>
        <w:rPr>
          <w:sz w:val="20"/>
          <w:szCs w:val="20"/>
          <w:color w:val="auto"/>
        </w:rPr>
      </w:pPr>
      <w:r>
        <w:rPr>
          <w:rFonts w:ascii="Times New Roman" w:cs="Times New Roman" w:eastAsia="Times New Roman" w:hAnsi="Times New Roman"/>
          <w:sz w:val="20"/>
          <w:szCs w:val="20"/>
          <w:color w:val="auto"/>
        </w:rPr>
        <w:t>Lender, such Issuing Lender, such Swingline Lender or any such Affiliate to or for the credit or the account of the Borrowers or any other Credit Party against any and all of the obligations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96">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281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430" w:name="page431"/>
    <w:bookmarkEnd w:id="430"/>
    <w:p>
      <w:pPr>
        <w:spacing w:after="0" w:line="201" w:lineRule="exact"/>
        <w:rPr>
          <w:sz w:val="20"/>
          <w:szCs w:val="20"/>
          <w:color w:val="auto"/>
        </w:rPr>
      </w:pPr>
    </w:p>
    <w:p>
      <w:pPr>
        <w:jc w:val="both"/>
        <w:ind w:left="680"/>
        <w:spacing w:after="0" w:line="246" w:lineRule="auto"/>
        <w:rPr>
          <w:sz w:val="20"/>
          <w:szCs w:val="20"/>
          <w:color w:val="auto"/>
        </w:rPr>
      </w:pPr>
      <w:r>
        <w:rPr>
          <w:rFonts w:ascii="Times New Roman" w:cs="Times New Roman" w:eastAsia="Times New Roman" w:hAnsi="Times New Roman"/>
          <w:sz w:val="20"/>
          <w:szCs w:val="20"/>
          <w:color w:val="auto"/>
        </w:rPr>
        <w:t xml:space="preserve">the Borrowers or such Credit Party now or hereafter existing under this Agreement or any other Loan Document to such Lender, such Issuing Lender or such Swingline Lender or any of their respective Affiliates, irrespective of whether or not such Lender, such Issuing Lender, such Swingline Lender or any such Affiliate shall have made any demand under this Agreement or any other Loan Document and although such obligations of the Borrowers or such Credit Party may be contingent or unmatured or are owed to a branch or office of such Lender, such Issuing Lender, such Swingline Lender or such Affiliate different from the branch, office or Affiliate holding such deposit or obligated on such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event that any Defaulting Lender or any Affiliate thereof shall exercise any such right of setoff, (x) all amounts so set off shall be paid over immediately to the Administrative Agent for further application in accordance with the provisions of </w:t>
      </w:r>
      <w:r>
        <w:rPr>
          <w:rFonts w:ascii="Times New Roman" w:cs="Times New Roman" w:eastAsia="Times New Roman" w:hAnsi="Times New Roman"/>
          <w:sz w:val="20"/>
          <w:szCs w:val="20"/>
          <w:u w:val="single" w:color="auto"/>
          <w:color w:val="auto"/>
        </w:rPr>
        <w:t>Section 10.4</w:t>
      </w:r>
      <w:r>
        <w:rPr>
          <w:rFonts w:ascii="Times New Roman" w:cs="Times New Roman" w:eastAsia="Times New Roman" w:hAnsi="Times New Roman"/>
          <w:sz w:val="20"/>
          <w:szCs w:val="20"/>
          <w:color w:val="auto"/>
        </w:rPr>
        <w:t xml:space="preserve"> and, pending such payment, shall be segregated by such Defaulting Lender or Affiliate of a Defaulting Lender from its other funds and deemed held in trust for the benefit of the Administrative Agent, the Issuing Lenders, the Swingline Lenders and the Lenders, and (y) the Defaulting Lender or its Affiliate shall provide promptly to the Administrative Agent a statement describing in reasonable detail the Secured Obligations owing to such Defaulting Lender or any of its Affiliates as to which it exercised such right of setoff. The rights of each Lender, each Issuing Lender, each Swingline Lender and their respective Affiliates under this Section are in addition to other rights and remedies (including other rights of setoff) that such Lender, such Issuing Lender, such Swingline Lender or their respective Affiliates may have. Each Lender, such Issuing Lender and such Swingline Lender agree to notify the Borrowers and the Administrative Agent promptly after any such setoff and application;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to give such notice shall not affect the validity of such setoff and application.</w:t>
      </w:r>
    </w:p>
    <w:p>
      <w:pPr>
        <w:spacing w:after="0" w:line="179" w:lineRule="exact"/>
        <w:rPr>
          <w:sz w:val="20"/>
          <w:szCs w:val="20"/>
          <w:color w:val="auto"/>
        </w:rPr>
      </w:pPr>
    </w:p>
    <w:p>
      <w:pPr>
        <w:ind w:left="1320"/>
        <w:spacing w:after="0"/>
        <w:tabs>
          <w:tab w:leader="none" w:pos="2720" w:val="left"/>
        </w:tabs>
        <w:rPr>
          <w:sz w:val="20"/>
          <w:szCs w:val="20"/>
          <w:color w:val="auto"/>
        </w:rPr>
      </w:pPr>
      <w:r>
        <w:rPr>
          <w:rFonts w:ascii="Times New Roman" w:cs="Times New Roman" w:eastAsia="Times New Roman" w:hAnsi="Times New Roman"/>
          <w:sz w:val="20"/>
          <w:szCs w:val="20"/>
          <w:color w:val="auto"/>
        </w:rPr>
        <w:t>SECTION 12.5</w:t>
      </w:r>
      <w:r>
        <w:rPr>
          <w:sz w:val="20"/>
          <w:szCs w:val="20"/>
          <w:color w:val="auto"/>
        </w:rPr>
        <w:tab/>
      </w:r>
      <w:r>
        <w:rPr>
          <w:rFonts w:ascii="Times New Roman" w:cs="Times New Roman" w:eastAsia="Times New Roman" w:hAnsi="Times New Roman"/>
          <w:sz w:val="19"/>
          <w:szCs w:val="19"/>
          <w:u w:val="single" w:color="auto"/>
          <w:color w:val="auto"/>
        </w:rPr>
        <w:t>Governing Law; Jurisdiction, Etc.</w:t>
      </w:r>
    </w:p>
    <w:p>
      <w:pPr>
        <w:spacing w:after="0" w:line="225" w:lineRule="exact"/>
        <w:rPr>
          <w:sz w:val="20"/>
          <w:szCs w:val="20"/>
          <w:color w:val="auto"/>
        </w:rPr>
      </w:pPr>
    </w:p>
    <w:p>
      <w:pPr>
        <w:jc w:val="both"/>
        <w:ind w:left="680" w:right="40" w:firstLine="646"/>
        <w:spacing w:after="0" w:line="255" w:lineRule="auto"/>
        <w:tabs>
          <w:tab w:leader="none" w:pos="1927" w:val="left"/>
        </w:tabs>
        <w:numPr>
          <w:ilvl w:val="0"/>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and the other Loan Documents and any claim,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72" w:lineRule="exact"/>
        <w:rPr>
          <w:rFonts w:ascii="Times New Roman" w:cs="Times New Roman" w:eastAsia="Times New Roman" w:hAnsi="Times New Roman"/>
          <w:sz w:val="20"/>
          <w:szCs w:val="20"/>
          <w:color w:val="auto"/>
        </w:rPr>
      </w:pPr>
    </w:p>
    <w:p>
      <w:pPr>
        <w:jc w:val="both"/>
        <w:ind w:left="680" w:firstLine="646"/>
        <w:spacing w:after="0" w:line="261" w:lineRule="auto"/>
        <w:tabs>
          <w:tab w:leader="none" w:pos="1925" w:val="left"/>
        </w:tabs>
        <w:numPr>
          <w:ilvl w:val="0"/>
          <w:numId w:val="3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Submission to Jurisdiction</w:t>
      </w:r>
      <w:r>
        <w:rPr>
          <w:rFonts w:ascii="Times New Roman" w:cs="Times New Roman" w:eastAsia="Times New Roman" w:hAnsi="Times New Roman"/>
          <w:sz w:val="19"/>
          <w:szCs w:val="19"/>
          <w:color w:val="auto"/>
        </w:rPr>
        <w:t>. The Borrowers and each other Credit Party irrevocably and unconditionally agrees that it will not commence any action, litigation or proceeding of any kind or description, whether in law or equity, whether in contract or in tort or otherwise, against the Administrative Agent, any Lender, any Issuing Lender, any Swingline Lender,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exclusive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any Issuing Lender or any Swingline Lender may otherwise have to bring any action or proceeding relating to this Agreement or any other Loan Document against the Borrowers or any other Credit Party or its properties in the courts of any jurisdiction.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97">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282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431" w:name="page432"/>
    <w:bookmarkEnd w:id="431"/>
    <w:p>
      <w:pPr>
        <w:spacing w:after="0" w:line="81" w:lineRule="exact"/>
        <w:rPr>
          <w:sz w:val="20"/>
          <w:szCs w:val="20"/>
          <w:color w:val="auto"/>
        </w:rPr>
      </w:pPr>
    </w:p>
    <w:p>
      <w:pPr>
        <w:jc w:val="both"/>
        <w:ind w:left="680" w:firstLine="646"/>
        <w:spacing w:after="0" w:line="257" w:lineRule="auto"/>
        <w:tabs>
          <w:tab w:leader="none" w:pos="1927" w:val="left"/>
        </w:tabs>
        <w:numPr>
          <w:ilvl w:val="0"/>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Venue</w:t>
      </w:r>
      <w:r>
        <w:rPr>
          <w:rFonts w:ascii="Times New Roman" w:cs="Times New Roman" w:eastAsia="Times New Roman" w:hAnsi="Times New Roman"/>
          <w:sz w:val="20"/>
          <w:szCs w:val="20"/>
          <w:color w:val="auto"/>
        </w:rPr>
        <w:t>. The Borrowers and each other Credit Party irrevocably and unconditionally waives, to the fullest extent permitted by Applicable Law, any objection that it may now or hereafter have to the laying of venue of any action or proceeding arising out of or relating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98">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283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060"/>
          </w:cols>
          <w:pgMar w:left="320" w:top="1440" w:right="519" w:bottom="1440" w:gutter="0" w:footer="0" w:header="0"/>
        </w:sectPr>
      </w:pPr>
    </w:p>
    <w:bookmarkStart w:id="432" w:name="page433"/>
    <w:bookmarkEnd w:id="432"/>
    <w:p>
      <w:pPr>
        <w:spacing w:after="0" w:line="201" w:lineRule="exact"/>
        <w:rPr>
          <w:sz w:val="20"/>
          <w:szCs w:val="20"/>
          <w:color w:val="auto"/>
        </w:rPr>
      </w:pPr>
    </w:p>
    <w:p>
      <w:pPr>
        <w:jc w:val="both"/>
        <w:ind w:left="680" w:right="20"/>
        <w:spacing w:after="0" w:line="257" w:lineRule="auto"/>
        <w:rPr>
          <w:sz w:val="20"/>
          <w:szCs w:val="20"/>
          <w:color w:val="auto"/>
        </w:rPr>
      </w:pPr>
      <w:r>
        <w:rPr>
          <w:rFonts w:ascii="Times New Roman" w:cs="Times New Roman" w:eastAsia="Times New Roman" w:hAnsi="Times New Roman"/>
          <w:sz w:val="20"/>
          <w:szCs w:val="20"/>
          <w:color w:val="auto"/>
        </w:rPr>
        <w:t>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71" w:lineRule="exact"/>
        <w:rPr>
          <w:sz w:val="20"/>
          <w:szCs w:val="20"/>
          <w:color w:val="auto"/>
        </w:rPr>
      </w:pPr>
    </w:p>
    <w:p>
      <w:pPr>
        <w:jc w:val="both"/>
        <w:ind w:left="680" w:right="40" w:firstLine="646"/>
        <w:spacing w:after="0" w:line="257" w:lineRule="auto"/>
        <w:tabs>
          <w:tab w:leader="none" w:pos="1925" w:val="left"/>
        </w:tabs>
        <w:numPr>
          <w:ilvl w:val="0"/>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Service of Process</w:t>
      </w:r>
      <w:r>
        <w:rPr>
          <w:rFonts w:ascii="Times New Roman" w:cs="Times New Roman" w:eastAsia="Times New Roman" w:hAnsi="Times New Roman"/>
          <w:sz w:val="20"/>
          <w:szCs w:val="20"/>
          <w:color w:val="auto"/>
        </w:rPr>
        <w:t xml:space="preserve">. Each party hereto irrevocably consents to service of process in the manner provided for notices in </w:t>
      </w:r>
      <w:r>
        <w:rPr>
          <w:rFonts w:ascii="Times New Roman" w:cs="Times New Roman" w:eastAsia="Times New Roman" w:hAnsi="Times New Roman"/>
          <w:sz w:val="20"/>
          <w:szCs w:val="20"/>
          <w:u w:val="single" w:color="auto"/>
          <w:color w:val="auto"/>
        </w:rPr>
        <w:t>Section 12.1</w:t>
      </w:r>
      <w:r>
        <w:rPr>
          <w:rFonts w:ascii="Times New Roman" w:cs="Times New Roman" w:eastAsia="Times New Roman" w:hAnsi="Times New Roman"/>
          <w:sz w:val="20"/>
          <w:szCs w:val="20"/>
          <w:color w:val="auto"/>
        </w:rPr>
        <w:t>. Nothing in this Agreement will affect the right of any party hereto to serve process in any other manner permitted by Applicable Law.</w:t>
      </w:r>
    </w:p>
    <w:p>
      <w:pPr>
        <w:spacing w:after="0" w:line="184" w:lineRule="exact"/>
        <w:rPr>
          <w:sz w:val="20"/>
          <w:szCs w:val="20"/>
          <w:color w:val="auto"/>
        </w:rPr>
      </w:pPr>
    </w:p>
    <w:p>
      <w:pPr>
        <w:jc w:val="both"/>
        <w:ind w:left="680" w:firstLine="642"/>
        <w:spacing w:after="0" w:line="260" w:lineRule="auto"/>
        <w:rPr>
          <w:sz w:val="20"/>
          <w:szCs w:val="20"/>
          <w:color w:val="auto"/>
        </w:rPr>
      </w:pPr>
      <w:r>
        <w:rPr>
          <w:rFonts w:ascii="Times New Roman" w:cs="Times New Roman" w:eastAsia="Times New Roman" w:hAnsi="Times New Roman"/>
          <w:sz w:val="19"/>
          <w:szCs w:val="19"/>
          <w:color w:val="auto"/>
        </w:rPr>
        <w:t xml:space="preserve">SECTION 12.6 </w:t>
      </w:r>
      <w:r>
        <w:rPr>
          <w:rFonts w:ascii="Times New Roman" w:cs="Times New Roman" w:eastAsia="Times New Roman" w:hAnsi="Times New Roman"/>
          <w:sz w:val="19"/>
          <w:szCs w:val="19"/>
          <w:u w:val="single" w:color="auto"/>
          <w:color w:val="auto"/>
        </w:rPr>
        <w:t>Waiver of Jury Trial</w:t>
      </w:r>
      <w:r>
        <w:rPr>
          <w:rFonts w:ascii="Times New Roman" w:cs="Times New Roman" w:eastAsia="Times New Roman" w:hAnsi="Times New Roman"/>
          <w:sz w:val="19"/>
          <w:szCs w:val="19"/>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w:t>
      </w:r>
    </w:p>
    <w:p>
      <w:pPr>
        <w:spacing w:after="0" w:line="2" w:lineRule="exact"/>
        <w:rPr>
          <w:sz w:val="20"/>
          <w:szCs w:val="20"/>
          <w:color w:val="auto"/>
        </w:rPr>
      </w:pPr>
    </w:p>
    <w:p>
      <w:pPr>
        <w:jc w:val="both"/>
        <w:ind w:left="680" w:right="20" w:firstLine="4"/>
        <w:spacing w:after="0" w:line="249" w:lineRule="auto"/>
        <w:tabs>
          <w:tab w:leader="none" w:pos="1018" w:val="left"/>
        </w:tabs>
        <w:numPr>
          <w:ilvl w:val="0"/>
          <w:numId w:val="3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ACKNOWLEDGES THAT IT AND THE OTHER PARTIES HERETO HAVE BEEN INDUCED TO ENTER INTO THIS AGREEMENT AND THE OTHER LOAN DOCUMENTS BY, AMONG OTHER THINGS, THE MUTUAL WAIVERS AND CERTIFICATIONS IN THIS SECTION.</w:t>
      </w:r>
    </w:p>
    <w:p>
      <w:pPr>
        <w:spacing w:after="0" w:line="180" w:lineRule="exact"/>
        <w:rPr>
          <w:sz w:val="20"/>
          <w:szCs w:val="20"/>
          <w:color w:val="auto"/>
        </w:rPr>
      </w:pPr>
    </w:p>
    <w:p>
      <w:pPr>
        <w:jc w:val="both"/>
        <w:ind w:left="680" w:right="40" w:firstLine="642"/>
        <w:spacing w:after="0" w:line="248" w:lineRule="auto"/>
        <w:rPr>
          <w:sz w:val="20"/>
          <w:szCs w:val="20"/>
          <w:color w:val="auto"/>
        </w:rPr>
      </w:pPr>
      <w:r>
        <w:rPr>
          <w:rFonts w:ascii="Times New Roman" w:cs="Times New Roman" w:eastAsia="Times New Roman" w:hAnsi="Times New Roman"/>
          <w:sz w:val="20"/>
          <w:szCs w:val="20"/>
          <w:color w:val="auto"/>
        </w:rPr>
        <w:t xml:space="preserve">SECTION 12.7 </w:t>
      </w:r>
      <w:r>
        <w:rPr>
          <w:rFonts w:ascii="Times New Roman" w:cs="Times New Roman" w:eastAsia="Times New Roman" w:hAnsi="Times New Roman"/>
          <w:sz w:val="20"/>
          <w:szCs w:val="20"/>
          <w:u w:val="single" w:color="auto"/>
          <w:color w:val="auto"/>
        </w:rPr>
        <w:t>Reversal of Payments</w:t>
      </w:r>
      <w:r>
        <w:rPr>
          <w:rFonts w:ascii="Times New Roman" w:cs="Times New Roman" w:eastAsia="Times New Roman" w:hAnsi="Times New Roman"/>
          <w:sz w:val="20"/>
          <w:szCs w:val="20"/>
          <w:color w:val="auto"/>
        </w:rPr>
        <w:t>. To the extent any Credit Party makes a payment or payments to the Administrative Agent for the ratable benefit of any of the Secured Parties or to any Secured Party directly or the Administrative Agent or any Secured Party receives any payment or proceeds of the Collateral or any Secured Party exercise its right of setoff, which payments or proceeds (including any proceeds of such setoff) or any part thereof are subsequently invalidated, declared to be fraudulent or preferential, set aside and/or required to be repaid to a trustee, receiver or any other party under any Debtor Relief Law, other Applicable Law or equitable cause, then, to the extent of such payment or proceeds repaid, the Secured Obligations or part thereof intended to be satisfied shall be revived and continued in full force and effect as if such payment or proceeds had not been received by the Administrative Agent, and each Lender and each Issuing Lender severally agrees to pay to the Administrative Agent upon demand its applicable ratable share (without duplication) of any amount so recovered from or repaid by the Administrative Agent plus interest thereon at a per annum rate equal to the Federal Funds Rate from the date of such demand to the date such payment is made to the Administrative Agent.</w:t>
      </w:r>
    </w:p>
    <w:p>
      <w:pPr>
        <w:spacing w:after="0" w:line="181" w:lineRule="exact"/>
        <w:rPr>
          <w:sz w:val="20"/>
          <w:szCs w:val="20"/>
          <w:color w:val="auto"/>
        </w:rPr>
      </w:pPr>
    </w:p>
    <w:p>
      <w:pPr>
        <w:jc w:val="both"/>
        <w:ind w:left="680" w:right="20" w:firstLine="642"/>
        <w:spacing w:after="0" w:line="250" w:lineRule="auto"/>
        <w:rPr>
          <w:sz w:val="20"/>
          <w:szCs w:val="20"/>
          <w:color w:val="auto"/>
        </w:rPr>
      </w:pPr>
      <w:r>
        <w:rPr>
          <w:rFonts w:ascii="Times New Roman" w:cs="Times New Roman" w:eastAsia="Times New Roman" w:hAnsi="Times New Roman"/>
          <w:sz w:val="20"/>
          <w:szCs w:val="20"/>
          <w:color w:val="auto"/>
        </w:rPr>
        <w:t xml:space="preserve">SECTION 12.8 </w:t>
      </w:r>
      <w:r>
        <w:rPr>
          <w:rFonts w:ascii="Times New Roman" w:cs="Times New Roman" w:eastAsia="Times New Roman" w:hAnsi="Times New Roman"/>
          <w:sz w:val="20"/>
          <w:szCs w:val="20"/>
          <w:u w:val="single" w:color="auto"/>
          <w:color w:val="auto"/>
        </w:rPr>
        <w:t>Injunctive Relief</w:t>
      </w:r>
      <w:r>
        <w:rPr>
          <w:rFonts w:ascii="Times New Roman" w:cs="Times New Roman" w:eastAsia="Times New Roman" w:hAnsi="Times New Roman"/>
          <w:sz w:val="20"/>
          <w:szCs w:val="20"/>
          <w:color w:val="auto"/>
        </w:rPr>
        <w:t>. The Borrowers recognizes that, in the event the Borrowers fail to perform, observe or discharge any of its obligations or liabilities under this Agreement, any remedy of law may prove to be inadequate relief to the Lenders. Therefore, the Borrowers agree that the Lenders, at the Lenders’ option, shall be entitled to temporary and permanent injunctive relief in any such case without the necessity of proving actual damages.</w:t>
      </w:r>
    </w:p>
    <w:p>
      <w:pPr>
        <w:spacing w:after="0" w:line="192" w:lineRule="exact"/>
        <w:rPr>
          <w:sz w:val="20"/>
          <w:szCs w:val="20"/>
          <w:color w:val="auto"/>
        </w:rPr>
      </w:pPr>
    </w:p>
    <w:p>
      <w:pPr>
        <w:ind w:left="1320"/>
        <w:spacing w:after="0"/>
        <w:tabs>
          <w:tab w:leader="none" w:pos="2720" w:val="left"/>
        </w:tabs>
        <w:rPr>
          <w:sz w:val="20"/>
          <w:szCs w:val="20"/>
          <w:color w:val="auto"/>
        </w:rPr>
      </w:pPr>
      <w:r>
        <w:rPr>
          <w:rFonts w:ascii="Times New Roman" w:cs="Times New Roman" w:eastAsia="Times New Roman" w:hAnsi="Times New Roman"/>
          <w:sz w:val="20"/>
          <w:szCs w:val="20"/>
          <w:color w:val="auto"/>
        </w:rPr>
        <w:t>SECTION 12.9</w:t>
      </w:r>
      <w:r>
        <w:rPr>
          <w:sz w:val="20"/>
          <w:szCs w:val="20"/>
          <w:color w:val="auto"/>
        </w:rPr>
        <w:tab/>
      </w:r>
      <w:r>
        <w:rPr>
          <w:rFonts w:ascii="Times New Roman" w:cs="Times New Roman" w:eastAsia="Times New Roman" w:hAnsi="Times New Roman"/>
          <w:sz w:val="19"/>
          <w:szCs w:val="19"/>
          <w:u w:val="single" w:color="auto"/>
          <w:color w:val="auto"/>
        </w:rPr>
        <w:t>Successors and Assigns; Participations</w:t>
      </w:r>
      <w:r>
        <w:rPr>
          <w:rFonts w:ascii="Times New Roman" w:cs="Times New Roman" w:eastAsia="Times New Roman" w:hAnsi="Times New Roman"/>
          <w:sz w:val="19"/>
          <w:szCs w:val="19"/>
          <w:color w:val="auto"/>
        </w:rPr>
        <w:t>.</w:t>
      </w:r>
    </w:p>
    <w:p>
      <w:pPr>
        <w:spacing w:after="0" w:line="211" w:lineRule="exact"/>
        <w:rPr>
          <w:sz w:val="20"/>
          <w:szCs w:val="20"/>
          <w:color w:val="auto"/>
        </w:rPr>
      </w:pPr>
    </w:p>
    <w:p>
      <w:pPr>
        <w:jc w:val="both"/>
        <w:ind w:left="680" w:right="20" w:firstLine="646"/>
        <w:spacing w:after="0" w:line="272" w:lineRule="auto"/>
        <w:tabs>
          <w:tab w:leader="none" w:pos="1927" w:val="left"/>
        </w:tabs>
        <w:numPr>
          <w:ilvl w:val="0"/>
          <w:numId w:val="3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Successors and Assigns Generally</w:t>
      </w:r>
      <w:r>
        <w:rPr>
          <w:rFonts w:ascii="Times New Roman" w:cs="Times New Roman" w:eastAsia="Times New Roman" w:hAnsi="Times New Roman"/>
          <w:sz w:val="19"/>
          <w:szCs w:val="19"/>
          <w:color w:val="auto"/>
        </w:rPr>
        <w:t>. The provisions of this Agreement shall be binding upon and inure to the benefit of the parties hereto and their respective successors and assigns permitted hereby, except that neither the Borrowers nor any other Credit Party may assign or otherwise transfer any of its rights or obligations hereunder without the prior written consent of the Administrative Agent and each Lender and no Lender may assign or otherwise transfer any of its rights or obligations hereunder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99">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284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20"/>
          </w:cols>
          <w:pgMar w:left="320" w:top="1440" w:right="459" w:bottom="1440" w:gutter="0" w:footer="0" w:header="0"/>
        </w:sectPr>
      </w:pPr>
    </w:p>
    <w:bookmarkStart w:id="433" w:name="page434"/>
    <w:bookmarkEnd w:id="433"/>
    <w:p>
      <w:pPr>
        <w:spacing w:after="0" w:line="94" w:lineRule="exact"/>
        <w:rPr>
          <w:sz w:val="20"/>
          <w:szCs w:val="20"/>
          <w:color w:val="auto"/>
        </w:rPr>
      </w:pPr>
    </w:p>
    <w:p>
      <w:pPr>
        <w:ind w:left="680"/>
        <w:spacing w:after="0" w:line="277" w:lineRule="auto"/>
        <w:rPr>
          <w:sz w:val="20"/>
          <w:szCs w:val="20"/>
          <w:color w:val="auto"/>
        </w:rPr>
      </w:pPr>
      <w:r>
        <w:rPr>
          <w:rFonts w:ascii="Times New Roman" w:cs="Times New Roman" w:eastAsia="Times New Roman" w:hAnsi="Times New Roman"/>
          <w:sz w:val="20"/>
          <w:szCs w:val="20"/>
          <w:color w:val="auto"/>
        </w:rPr>
        <w:t>except (i) to an assignee in accordance with the provisions of paragraph (b) of this Section, (ii) by way of participation in accordance with the provisions of paragraph (d) of this Section or (iii) by way of pledge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600">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285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080"/>
          </w:cols>
          <w:pgMar w:left="320" w:top="1440" w:right="499" w:bottom="1440" w:gutter="0" w:footer="0" w:header="0"/>
        </w:sectPr>
      </w:pPr>
    </w:p>
    <w:bookmarkStart w:id="434" w:name="page435"/>
    <w:bookmarkEnd w:id="434"/>
    <w:p>
      <w:pPr>
        <w:spacing w:after="0" w:line="202" w:lineRule="exact"/>
        <w:rPr>
          <w:sz w:val="20"/>
          <w:szCs w:val="20"/>
          <w:color w:val="auto"/>
        </w:rPr>
      </w:pPr>
    </w:p>
    <w:p>
      <w:pPr>
        <w:jc w:val="both"/>
        <w:ind w:left="680" w:right="60"/>
        <w:spacing w:after="0" w:line="267" w:lineRule="auto"/>
        <w:rPr>
          <w:sz w:val="20"/>
          <w:szCs w:val="20"/>
          <w:color w:val="auto"/>
        </w:rPr>
      </w:pPr>
      <w:r>
        <w:rPr>
          <w:rFonts w:ascii="Times New Roman" w:cs="Times New Roman" w:eastAsia="Times New Roman" w:hAnsi="Times New Roman"/>
          <w:sz w:val="19"/>
          <w:szCs w:val="19"/>
          <w:color w:val="auto"/>
        </w:rPr>
        <w:t>or assignment of a security interest subject to the restrictions of paragraph (e)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Related Parties of each of the Administrative Agent and the Lenders) any legal or equitable right, remedy or claim under or by reason of this Agreement.</w:t>
      </w:r>
    </w:p>
    <w:p>
      <w:pPr>
        <w:spacing w:after="0" w:line="162" w:lineRule="exact"/>
        <w:rPr>
          <w:sz w:val="20"/>
          <w:szCs w:val="20"/>
          <w:color w:val="auto"/>
        </w:rPr>
      </w:pPr>
    </w:p>
    <w:p>
      <w:pPr>
        <w:jc w:val="both"/>
        <w:ind w:left="680" w:right="60" w:firstLine="646"/>
        <w:spacing w:after="0" w:line="255" w:lineRule="auto"/>
        <w:tabs>
          <w:tab w:leader="none" w:pos="1925"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Assignments by Lenders</w:t>
      </w:r>
      <w:r>
        <w:rPr>
          <w:rFonts w:ascii="Times New Roman" w:cs="Times New Roman" w:eastAsia="Times New Roman" w:hAnsi="Times New Roman"/>
          <w:sz w:val="20"/>
          <w:szCs w:val="20"/>
          <w:color w:val="auto"/>
        </w:rPr>
        <w:t xml:space="preserve">. Any Lender may at any time assign to one or more assignees all or a portion of its rights and obligations under this Agreement (including all or a portion of its Revolving Credit Commitment and the Loans at the time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each case with respect to any Credit Facility, any such assignment shall be subject to the following conditions:</w:t>
      </w:r>
    </w:p>
    <w:p>
      <w:pPr>
        <w:spacing w:after="0" w:line="172" w:lineRule="exact"/>
        <w:rPr>
          <w:rFonts w:ascii="Times New Roman" w:cs="Times New Roman" w:eastAsia="Times New Roman" w:hAnsi="Times New Roman"/>
          <w:sz w:val="20"/>
          <w:szCs w:val="20"/>
          <w:color w:val="auto"/>
        </w:rPr>
      </w:pPr>
    </w:p>
    <w:p>
      <w:pPr>
        <w:ind w:left="2600" w:hanging="631"/>
        <w:spacing w:after="0"/>
        <w:tabs>
          <w:tab w:leader="none" w:pos="2600" w:val="left"/>
        </w:tabs>
        <w:numPr>
          <w:ilvl w:val="1"/>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Minimum Amounts</w:t>
      </w:r>
      <w:r>
        <w:rPr>
          <w:rFonts w:ascii="Times New Roman" w:cs="Times New Roman" w:eastAsia="Times New Roman" w:hAnsi="Times New Roman"/>
          <w:sz w:val="20"/>
          <w:szCs w:val="20"/>
          <w:color w:val="auto"/>
        </w:rPr>
        <w:t>.</w:t>
      </w:r>
    </w:p>
    <w:p>
      <w:pPr>
        <w:spacing w:after="0" w:line="224" w:lineRule="exact"/>
        <w:rPr>
          <w:rFonts w:ascii="Times New Roman" w:cs="Times New Roman" w:eastAsia="Times New Roman" w:hAnsi="Times New Roman"/>
          <w:sz w:val="20"/>
          <w:szCs w:val="20"/>
          <w:color w:val="auto"/>
        </w:rPr>
      </w:pPr>
    </w:p>
    <w:p>
      <w:pPr>
        <w:jc w:val="both"/>
        <w:ind w:left="1960" w:firstLine="650"/>
        <w:spacing w:after="0" w:line="250" w:lineRule="auto"/>
        <w:tabs>
          <w:tab w:leader="none" w:pos="3195" w:val="left"/>
        </w:tabs>
        <w:numPr>
          <w:ilvl w:val="2"/>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assignment of the entire remaining amount of the assigning Lender’s Commitment and/or the Loans at the time owing to it (in each case with respect to any Credit Facility) or contemporaneous assignments to related Approved Funds that equal at least the amount specified in paragraph (b)(i)(B) of this Section in the aggregate or in the case of an assignment to a Lender, an Affiliate of a Lender or an Approved Fund, no minimum amount need be assigned; and</w:t>
      </w:r>
    </w:p>
    <w:p>
      <w:pPr>
        <w:spacing w:after="0" w:line="179" w:lineRule="exact"/>
        <w:rPr>
          <w:rFonts w:ascii="Times New Roman" w:cs="Times New Roman" w:eastAsia="Times New Roman" w:hAnsi="Times New Roman"/>
          <w:sz w:val="20"/>
          <w:szCs w:val="20"/>
          <w:color w:val="auto"/>
        </w:rPr>
      </w:pPr>
    </w:p>
    <w:p>
      <w:pPr>
        <w:jc w:val="both"/>
        <w:ind w:left="1960" w:right="60" w:firstLine="650"/>
        <w:spacing w:after="0" w:line="248" w:lineRule="auto"/>
        <w:tabs>
          <w:tab w:leader="none" w:pos="3197" w:val="left"/>
        </w:tabs>
        <w:numPr>
          <w:ilvl w:val="2"/>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case not described in paragraph (b)(i)(A) of this Section,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w:t>
      </w:r>
    </w:p>
    <w:p>
      <w:pPr>
        <w:spacing w:after="0" w:line="5" w:lineRule="exact"/>
        <w:rPr>
          <w:rFonts w:ascii="Times New Roman" w:cs="Times New Roman" w:eastAsia="Times New Roman" w:hAnsi="Times New Roman"/>
          <w:sz w:val="20"/>
          <w:szCs w:val="20"/>
          <w:color w:val="auto"/>
        </w:rPr>
      </w:pPr>
    </w:p>
    <w:p>
      <w:pPr>
        <w:ind w:left="1960"/>
        <w:spacing w:after="0" w:line="23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$5,000,000, in the case of any assignment in respect of the Revolving Credit Facility, or</w:t>
      </w:r>
    </w:p>
    <w:p>
      <w:pPr>
        <w:jc w:val="both"/>
        <w:ind w:left="1960" w:right="40"/>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$1,000,000, in the case of any assignment in respect of the Term Loan Facility, unless each of the Administrative Agent and, so long as no Event of Default has occurred and is continuing, Centuri otherwise consents (each such consent not to be unreasonably withheld or delayed);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Centuri shall be deemed to have given its consent five (5) Business Days after the date written notice thereof has been delivered by the assigning Lender (through the Administrative Agent) unless such consent is expressly refused by Centuri prior to such fifth (5th) Business Day;</w:t>
      </w:r>
    </w:p>
    <w:p>
      <w:pPr>
        <w:spacing w:after="0" w:line="181" w:lineRule="exact"/>
        <w:rPr>
          <w:rFonts w:ascii="Times New Roman" w:cs="Times New Roman" w:eastAsia="Times New Roman" w:hAnsi="Times New Roman"/>
          <w:sz w:val="20"/>
          <w:szCs w:val="20"/>
          <w:color w:val="auto"/>
        </w:rPr>
      </w:pPr>
    </w:p>
    <w:p>
      <w:pPr>
        <w:jc w:val="both"/>
        <w:ind w:left="1320" w:right="40" w:firstLine="648"/>
        <w:spacing w:after="0" w:line="255" w:lineRule="auto"/>
        <w:tabs>
          <w:tab w:leader="none" w:pos="2562" w:val="left"/>
        </w:tabs>
        <w:numPr>
          <w:ilvl w:val="1"/>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Proportionate Amounts</w:t>
      </w:r>
      <w:r>
        <w:rPr>
          <w:rFonts w:ascii="Times New Roman" w:cs="Times New Roman" w:eastAsia="Times New Roman" w:hAnsi="Times New Roman"/>
          <w:sz w:val="20"/>
          <w:szCs w:val="20"/>
          <w:color w:val="auto"/>
        </w:rPr>
        <w:t>. Each partial assignment shall be made as an assignment of a proportionate part of all the assigning Lender’s rights and obligations under this Agreement with respect to the Loan or the Commitment assigned and each assignment of Term Loans shall be a ratable assignment of the assigning Lender’s Term Loans made to the US Borrowers and the assigning Lender’s Term Loans made to the Canadian Borrowers (if any);</w:t>
      </w:r>
    </w:p>
    <w:p>
      <w:pPr>
        <w:spacing w:after="0" w:line="172" w:lineRule="exact"/>
        <w:rPr>
          <w:rFonts w:ascii="Times New Roman" w:cs="Times New Roman" w:eastAsia="Times New Roman" w:hAnsi="Times New Roman"/>
          <w:sz w:val="20"/>
          <w:szCs w:val="20"/>
          <w:color w:val="auto"/>
        </w:rPr>
      </w:pPr>
    </w:p>
    <w:p>
      <w:pPr>
        <w:ind w:left="1320" w:right="60" w:firstLine="648"/>
        <w:spacing w:after="0" w:line="277" w:lineRule="auto"/>
        <w:tabs>
          <w:tab w:leader="none" w:pos="2563" w:val="left"/>
        </w:tabs>
        <w:numPr>
          <w:ilvl w:val="1"/>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Required Consents</w:t>
      </w:r>
      <w:r>
        <w:rPr>
          <w:rFonts w:ascii="Times New Roman" w:cs="Times New Roman" w:eastAsia="Times New Roman" w:hAnsi="Times New Roman"/>
          <w:sz w:val="20"/>
          <w:szCs w:val="20"/>
          <w:color w:val="auto"/>
        </w:rPr>
        <w:t>. No consent shall be required for any assignment except to the extent required by paragraph (b)(i)(B) of this Section and, in addition:</w:t>
      </w:r>
    </w:p>
    <w:p>
      <w:pPr>
        <w:spacing w:after="0" w:line="151" w:lineRule="exact"/>
        <w:rPr>
          <w:rFonts w:ascii="Times New Roman" w:cs="Times New Roman" w:eastAsia="Times New Roman" w:hAnsi="Times New Roman"/>
          <w:sz w:val="20"/>
          <w:szCs w:val="20"/>
          <w:color w:val="auto"/>
        </w:rPr>
      </w:pPr>
    </w:p>
    <w:p>
      <w:pPr>
        <w:ind w:left="1960" w:right="60" w:firstLine="650"/>
        <w:spacing w:after="0" w:line="277" w:lineRule="auto"/>
        <w:tabs>
          <w:tab w:leader="none" w:pos="3195" w:val="left"/>
        </w:tabs>
        <w:numPr>
          <w:ilvl w:val="2"/>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Centuri (such consent not to be unreasonably withheld or delayed) shall be required unless (x) an Event of Default has occurred and is continuing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601">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286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20"/>
          </w:cols>
          <w:pgMar w:left="320" w:top="1440" w:right="459" w:bottom="1440" w:gutter="0" w:footer="0" w:header="0"/>
        </w:sectPr>
      </w:pPr>
    </w:p>
    <w:bookmarkStart w:id="435" w:name="page436"/>
    <w:bookmarkEnd w:id="435"/>
    <w:p>
      <w:pPr>
        <w:spacing w:after="0" w:line="95" w:lineRule="exact"/>
        <w:rPr>
          <w:sz w:val="20"/>
          <w:szCs w:val="20"/>
          <w:color w:val="auto"/>
        </w:rPr>
      </w:pPr>
    </w:p>
    <w:p>
      <w:pPr>
        <w:ind w:left="1960"/>
        <w:spacing w:after="0" w:line="277" w:lineRule="auto"/>
        <w:rPr>
          <w:sz w:val="20"/>
          <w:szCs w:val="20"/>
          <w:color w:val="auto"/>
        </w:rPr>
      </w:pPr>
      <w:r>
        <w:rPr>
          <w:rFonts w:ascii="Times New Roman" w:cs="Times New Roman" w:eastAsia="Times New Roman" w:hAnsi="Times New Roman"/>
          <w:sz w:val="20"/>
          <w:szCs w:val="20"/>
          <w:color w:val="auto"/>
        </w:rPr>
        <w:t xml:space="preserve">at the time of such assignment or (y) such assignment is to a Lender, an Affiliate of a Lender or an Approved Fund;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Centuri shall be deemed to have consented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602">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287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060"/>
          </w:cols>
          <w:pgMar w:left="320" w:top="1440" w:right="519" w:bottom="1440" w:gutter="0" w:footer="0" w:header="0"/>
        </w:sectPr>
      </w:pPr>
    </w:p>
    <w:bookmarkStart w:id="436" w:name="page437"/>
    <w:bookmarkEnd w:id="436"/>
    <w:p>
      <w:pPr>
        <w:spacing w:after="0" w:line="202" w:lineRule="exact"/>
        <w:rPr>
          <w:sz w:val="20"/>
          <w:szCs w:val="20"/>
          <w:color w:val="auto"/>
        </w:rPr>
      </w:pPr>
    </w:p>
    <w:p>
      <w:pPr>
        <w:jc w:val="both"/>
        <w:ind w:left="1960" w:right="40"/>
        <w:spacing w:after="0" w:line="250" w:lineRule="auto"/>
        <w:rPr>
          <w:sz w:val="20"/>
          <w:szCs w:val="20"/>
          <w:color w:val="auto"/>
        </w:rPr>
      </w:pPr>
      <w:r>
        <w:rPr>
          <w:rFonts w:ascii="Times New Roman" w:cs="Times New Roman" w:eastAsia="Times New Roman" w:hAnsi="Times New Roman"/>
          <w:sz w:val="20"/>
          <w:szCs w:val="20"/>
          <w:color w:val="auto"/>
        </w:rPr>
        <w:t xml:space="preserve">to any such assignment unless it shall object thereto by written notice to the Administrative Agent within five (5) Business Days after having received notice thereof;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Centuri’s consent shall not be required during the period commencing on the Closing Date and ending on the date that is ninety (90) days following the Closing Date;</w:t>
      </w:r>
    </w:p>
    <w:p>
      <w:pPr>
        <w:spacing w:after="0" w:line="192" w:lineRule="exact"/>
        <w:rPr>
          <w:sz w:val="20"/>
          <w:szCs w:val="20"/>
          <w:color w:val="auto"/>
        </w:rPr>
      </w:pPr>
    </w:p>
    <w:p>
      <w:pPr>
        <w:jc w:val="both"/>
        <w:ind w:left="1960" w:right="40" w:firstLine="650"/>
        <w:spacing w:after="0" w:line="250" w:lineRule="auto"/>
        <w:tabs>
          <w:tab w:leader="none" w:pos="3197" w:val="left"/>
        </w:tabs>
        <w:numPr>
          <w:ilvl w:val="1"/>
          <w:numId w:val="3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the Administrative Agent (such consent not to be unreasonably withheld or delayed) shall be required for assignments in respect of (i) the Revolving Credit Facility if such assignment is to a Person that is not a Lender with a Revolving Credit Commitment, an Affiliate of such Lender or an Approved Fund with respect to such Lender or (ii) the Term Loans to a Person who is not a Lender, an Affiliate of a Lender or an Approved Fund; and</w:t>
      </w:r>
    </w:p>
    <w:p>
      <w:pPr>
        <w:spacing w:after="0" w:line="179" w:lineRule="exact"/>
        <w:rPr>
          <w:rFonts w:ascii="Times New Roman" w:cs="Times New Roman" w:eastAsia="Times New Roman" w:hAnsi="Times New Roman"/>
          <w:sz w:val="20"/>
          <w:szCs w:val="20"/>
          <w:color w:val="auto"/>
        </w:rPr>
      </w:pPr>
    </w:p>
    <w:p>
      <w:pPr>
        <w:ind w:left="1960" w:right="40" w:firstLine="650"/>
        <w:spacing w:after="0" w:line="304" w:lineRule="auto"/>
        <w:tabs>
          <w:tab w:leader="none" w:pos="3197" w:val="left"/>
        </w:tabs>
        <w:numPr>
          <w:ilvl w:val="1"/>
          <w:numId w:val="3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consents of the Issuing Lenders and the Swingline Lenders (such consents not to be unreasonably withheld or delayed) shall be required for any assignment in respect of the Revolving Credit Facility.</w:t>
      </w:r>
    </w:p>
    <w:p>
      <w:pPr>
        <w:spacing w:after="0" w:line="128" w:lineRule="exact"/>
        <w:rPr>
          <w:rFonts w:ascii="Times New Roman" w:cs="Times New Roman" w:eastAsia="Times New Roman" w:hAnsi="Times New Roman"/>
          <w:sz w:val="19"/>
          <w:szCs w:val="19"/>
          <w:color w:val="auto"/>
        </w:rPr>
      </w:pPr>
    </w:p>
    <w:p>
      <w:pPr>
        <w:jc w:val="both"/>
        <w:ind w:left="1320" w:right="20" w:firstLine="648"/>
        <w:spacing w:after="0" w:line="250" w:lineRule="auto"/>
        <w:tabs>
          <w:tab w:leader="none" w:pos="2566" w:val="left"/>
        </w:tabs>
        <w:numPr>
          <w:ilvl w:val="0"/>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The parties to each assignment shall execute and deliver to the Administrative Agent an Assignment and Assumption, together with a processing and recordation fee of $3,500 for each assignment;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only one such fee will be payable in connection with simultaneous assignments to two or more related Approved Funds by a Lender and (B)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80" w:lineRule="exact"/>
        <w:rPr>
          <w:rFonts w:ascii="Times New Roman" w:cs="Times New Roman" w:eastAsia="Times New Roman" w:hAnsi="Times New Roman"/>
          <w:sz w:val="20"/>
          <w:szCs w:val="20"/>
          <w:color w:val="auto"/>
        </w:rPr>
      </w:pPr>
    </w:p>
    <w:p>
      <w:pPr>
        <w:jc w:val="both"/>
        <w:ind w:left="1320" w:firstLine="648"/>
        <w:spacing w:after="0" w:line="257" w:lineRule="auto"/>
        <w:tabs>
          <w:tab w:leader="none" w:pos="2565" w:val="left"/>
        </w:tabs>
        <w:numPr>
          <w:ilvl w:val="0"/>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Assignment to Certain Persons</w:t>
      </w:r>
      <w:r>
        <w:rPr>
          <w:rFonts w:ascii="Times New Roman" w:cs="Times New Roman" w:eastAsia="Times New Roman" w:hAnsi="Times New Roman"/>
          <w:sz w:val="20"/>
          <w:szCs w:val="20"/>
          <w:color w:val="auto"/>
        </w:rPr>
        <w:t>. No such assignment shall be made to (A) the Borrowers or any of the Borrowers’ respective Subsidiaries or Affiliates or (B) any Defaulting Lender or any of its Subsidiaries, or any Person who, upon becoming a Lender hereunder, would constitute any of the foregoing Persons described in this clause (B).</w:t>
      </w:r>
    </w:p>
    <w:p>
      <w:pPr>
        <w:spacing w:after="0" w:line="183" w:lineRule="exact"/>
        <w:rPr>
          <w:rFonts w:ascii="Times New Roman" w:cs="Times New Roman" w:eastAsia="Times New Roman" w:hAnsi="Times New Roman"/>
          <w:sz w:val="20"/>
          <w:szCs w:val="20"/>
          <w:color w:val="auto"/>
        </w:rPr>
      </w:pPr>
    </w:p>
    <w:p>
      <w:pPr>
        <w:ind w:left="1320" w:right="40" w:firstLine="648"/>
        <w:spacing w:after="0" w:line="263" w:lineRule="auto"/>
        <w:tabs>
          <w:tab w:leader="none" w:pos="2566" w:val="left"/>
        </w:tabs>
        <w:numPr>
          <w:ilvl w:val="0"/>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Assignment to Natural Persons</w:t>
      </w:r>
      <w:r>
        <w:rPr>
          <w:rFonts w:ascii="Times New Roman" w:cs="Times New Roman" w:eastAsia="Times New Roman" w:hAnsi="Times New Roman"/>
          <w:sz w:val="20"/>
          <w:szCs w:val="20"/>
          <w:color w:val="auto"/>
        </w:rPr>
        <w:t>. No such assignment shall be made to a natural Person (or a holding company, investment vehicle or trust for, or owned and operated for the primary benefit of, a natural Person).</w:t>
      </w:r>
    </w:p>
    <w:p>
      <w:pPr>
        <w:spacing w:after="0" w:line="178" w:lineRule="exact"/>
        <w:rPr>
          <w:rFonts w:ascii="Times New Roman" w:cs="Times New Roman" w:eastAsia="Times New Roman" w:hAnsi="Times New Roman"/>
          <w:sz w:val="20"/>
          <w:szCs w:val="20"/>
          <w:color w:val="auto"/>
        </w:rPr>
      </w:pPr>
    </w:p>
    <w:p>
      <w:pPr>
        <w:jc w:val="both"/>
        <w:ind w:left="1320" w:firstLine="648"/>
        <w:spacing w:after="0" w:line="247" w:lineRule="auto"/>
        <w:tabs>
          <w:tab w:leader="none" w:pos="2567" w:val="left"/>
        </w:tabs>
        <w:numPr>
          <w:ilvl w:val="0"/>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Additional Payments</w:t>
      </w:r>
      <w:r>
        <w:rPr>
          <w:rFonts w:ascii="Times New Roman" w:cs="Times New Roman" w:eastAsia="Times New Roman" w:hAnsi="Times New Roman"/>
          <w:sz w:val="20"/>
          <w:szCs w:val="20"/>
          <w:color w:val="auto"/>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Centuri and the Administrative Agent, the applicable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share of Loans previously requested, but not funded by, the Defaulting Lender, to each of which the applicable assignee and assignor hereby irrevocably consent), to (A) pay and satisfy in full all payment liabilities then owed by such Defaulting Lender to the Administrative Agent, the Issuing Lenders, the Swingline Lenders and each other Lender hereunder (and interest accrued thereon), and (B) acquire (and fund as appropriate) its full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share of all Loans and participations in Letters of Credit and Swingline Loans in accordance with its Revolving Credit Commitment Percentage. Notwithstanding the foregoing, in the event that any assignment of rights and obligations of any Defaulting Lender hereunder shall become effective under Applicable Law without compliance with the provisions of this paragraph, then the assignee of such interest shall</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603">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288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437" w:name="page438"/>
    <w:bookmarkEnd w:id="437"/>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604">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289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0139"/>
          </w:cols>
          <w:pgMar w:left="320" w:top="1440" w:right="1440" w:bottom="1440" w:gutter="0" w:footer="0" w:header="0"/>
        </w:sectPr>
      </w:pPr>
    </w:p>
    <w:bookmarkStart w:id="438" w:name="page439"/>
    <w:bookmarkEnd w:id="438"/>
    <w:p>
      <w:pPr>
        <w:spacing w:after="0" w:line="2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be deemed to be a Defaulting Lender for all purposes of this Agreement until such compliance occurs.</w:t>
      </w:r>
    </w:p>
    <w:p>
      <w:pPr>
        <w:spacing w:after="0" w:line="211" w:lineRule="exact"/>
        <w:rPr>
          <w:sz w:val="20"/>
          <w:szCs w:val="20"/>
          <w:color w:val="auto"/>
        </w:rPr>
      </w:pPr>
    </w:p>
    <w:p>
      <w:pPr>
        <w:jc w:val="both"/>
        <w:ind w:left="680"/>
        <w:spacing w:after="0" w:line="247" w:lineRule="auto"/>
        <w:rPr>
          <w:sz w:val="20"/>
          <w:szCs w:val="20"/>
          <w:color w:val="auto"/>
        </w:rPr>
      </w:pPr>
      <w:r>
        <w:rPr>
          <w:rFonts w:ascii="Times New Roman" w:cs="Times New Roman" w:eastAsia="Times New Roman" w:hAnsi="Times New Roman"/>
          <w:sz w:val="20"/>
          <w:szCs w:val="20"/>
          <w:color w:val="auto"/>
        </w:rPr>
        <w:t xml:space="preserve">Subject to acceptance and recording thereof by the Administrative Agent pursuant to paragraph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0"/>
          <w:szCs w:val="20"/>
          <w:u w:val="single" w:color="auto"/>
          <w:color w:val="auto"/>
        </w:rPr>
        <w:t>Sections 5.8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12.3</w:t>
      </w:r>
      <w:r>
        <w:rPr>
          <w:rFonts w:ascii="Times New Roman" w:cs="Times New Roman" w:eastAsia="Times New Roman" w:hAnsi="Times New Roman"/>
          <w:sz w:val="20"/>
          <w:szCs w:val="20"/>
          <w:color w:val="auto"/>
        </w:rPr>
        <w:t xml:space="preserve"> with respect to facts and circumstances occurring prior to the effective date of such assignment;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paragraph (d) of this Section (other than a purported assignment to a natural Person or any Borrower or any of the Borrowers’ Subsidiaries or Affiliates, which shall be null and void.)</w:t>
      </w:r>
    </w:p>
    <w:p>
      <w:pPr>
        <w:spacing w:after="0" w:line="186" w:lineRule="exact"/>
        <w:rPr>
          <w:sz w:val="20"/>
          <w:szCs w:val="20"/>
          <w:color w:val="auto"/>
        </w:rPr>
      </w:pPr>
    </w:p>
    <w:p>
      <w:pPr>
        <w:jc w:val="both"/>
        <w:ind w:left="680" w:right="20" w:firstLine="646"/>
        <w:spacing w:after="0" w:line="247" w:lineRule="auto"/>
        <w:tabs>
          <w:tab w:leader="none" w:pos="1927" w:val="left"/>
        </w:tabs>
        <w:numPr>
          <w:ilvl w:val="0"/>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Administrative Agent, acting solely for this purpose as a non-fiduciary agent of the Borrowers, shall maintain at one of its offices in Charlotte, North Carolina, a copy of each Assignment and Assumption and each Incremental Amendment delivered to it and a register for the recordation of the names and addresses of the Lenders, and the Commitment of, and principal amounts of (and stated interest on) the Loans owing to, each Lender pursuant to the terms hereof from time to time (the “</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entries in the Register shall be conclusive, absent manifest error, and the Borrowers, the Administrative Agent and the Lenders shall treat each Person whose name is recorded in the Register pursuant to the terms hereof as a Lender hereunder for all purposes of this Agreement. The Register shall be available for inspection by the Borrowers and any Lender (but only to the extent of entries in the Register that are applicable to such Lender), at any reasonable time and from time to time upon reasonable prior notice.</w:t>
      </w:r>
    </w:p>
    <w:p>
      <w:pPr>
        <w:spacing w:after="0" w:line="183" w:lineRule="exact"/>
        <w:rPr>
          <w:rFonts w:ascii="Times New Roman" w:cs="Times New Roman" w:eastAsia="Times New Roman" w:hAnsi="Times New Roman"/>
          <w:sz w:val="20"/>
          <w:szCs w:val="20"/>
          <w:color w:val="auto"/>
        </w:rPr>
      </w:pPr>
    </w:p>
    <w:p>
      <w:pPr>
        <w:jc w:val="both"/>
        <w:ind w:left="680" w:firstLine="646"/>
        <w:spacing w:after="0" w:line="249" w:lineRule="auto"/>
        <w:tabs>
          <w:tab w:leader="none" w:pos="1925" w:val="left"/>
        </w:tabs>
        <w:numPr>
          <w:ilvl w:val="0"/>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Participations</w:t>
      </w:r>
      <w:r>
        <w:rPr>
          <w:rFonts w:ascii="Times New Roman" w:cs="Times New Roman" w:eastAsia="Times New Roman" w:hAnsi="Times New Roman"/>
          <w:sz w:val="20"/>
          <w:szCs w:val="20"/>
          <w:color w:val="auto"/>
        </w:rPr>
        <w:t>. Any Lender may at any time, without the consent of, or notice to, the Borrowers or the Administrative Agent, sell participations to any Person (other than a natural Person (or a holding company, investment vehicle or trust for, or owned and operated for the primary benefit of, a natural person) or any Borrower or any of the Borrowers’ Subsidiaries or Affiliates) (each, a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in all or a portion of such Lender’s rights and/or obligations under this Agreement (including all or a portion of its Commitment and/or the Loans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the Issuing Lenders, the Swingline Lenders and the other Lenders shall continue to deal solely and directly with such Lender in connection with such Lender’s rights and obligations under this Agreement. For the avoidance of doubt, each Lender shall be responsible for the indemnity under </w:t>
      </w:r>
      <w:r>
        <w:rPr>
          <w:rFonts w:ascii="Times New Roman" w:cs="Times New Roman" w:eastAsia="Times New Roman" w:hAnsi="Times New Roman"/>
          <w:sz w:val="20"/>
          <w:szCs w:val="20"/>
          <w:u w:val="single" w:color="auto"/>
          <w:color w:val="auto"/>
        </w:rPr>
        <w:t>Section 12.3(c)</w:t>
      </w:r>
      <w:r>
        <w:rPr>
          <w:rFonts w:ascii="Times New Roman" w:cs="Times New Roman" w:eastAsia="Times New Roman" w:hAnsi="Times New Roman"/>
          <w:sz w:val="20"/>
          <w:szCs w:val="20"/>
          <w:color w:val="auto"/>
        </w:rPr>
        <w:t xml:space="preserve"> with respect to any payments made by such Lender to its Participant(s).</w:t>
      </w:r>
    </w:p>
    <w:p>
      <w:pPr>
        <w:spacing w:after="0" w:line="168" w:lineRule="exact"/>
        <w:rPr>
          <w:sz w:val="20"/>
          <w:szCs w:val="20"/>
          <w:color w:val="auto"/>
        </w:rPr>
      </w:pPr>
    </w:p>
    <w:p>
      <w:pPr>
        <w:jc w:val="both"/>
        <w:ind w:left="680" w:right="20"/>
        <w:spacing w:after="0" w:line="264" w:lineRule="auto"/>
        <w:rPr>
          <w:sz w:val="20"/>
          <w:szCs w:val="20"/>
          <w:color w:val="auto"/>
        </w:rPr>
      </w:pPr>
      <w:r>
        <w:rPr>
          <w:rFonts w:ascii="Times New Roman" w:cs="Times New Roman" w:eastAsia="Times New Roman" w:hAnsi="Times New Roman"/>
          <w:sz w:val="20"/>
          <w:szCs w:val="20"/>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agreement or instrument may provide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605">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290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20"/>
          </w:cols>
          <w:pgMar w:left="320" w:top="1440" w:right="459" w:bottom="1440" w:gutter="0" w:footer="0" w:header="0"/>
        </w:sectPr>
      </w:pPr>
    </w:p>
    <w:bookmarkStart w:id="439" w:name="page440"/>
    <w:bookmarkEnd w:id="439"/>
    <w:p>
      <w:pPr>
        <w:spacing w:after="0" w:line="95" w:lineRule="exact"/>
        <w:rPr>
          <w:sz w:val="20"/>
          <w:szCs w:val="20"/>
          <w:color w:val="auto"/>
        </w:rPr>
      </w:pPr>
    </w:p>
    <w:p>
      <w:pPr>
        <w:ind w:left="680"/>
        <w:spacing w:after="0" w:line="263" w:lineRule="auto"/>
        <w:rPr>
          <w:sz w:val="20"/>
          <w:szCs w:val="20"/>
          <w:color w:val="auto"/>
        </w:rPr>
      </w:pPr>
      <w:r>
        <w:rPr>
          <w:rFonts w:ascii="Times New Roman" w:cs="Times New Roman" w:eastAsia="Times New Roman" w:hAnsi="Times New Roman"/>
          <w:sz w:val="20"/>
          <w:szCs w:val="20"/>
          <w:color w:val="auto"/>
        </w:rPr>
        <w:t xml:space="preserve">that such Lender will not, without the consent of the Participant, agree to any amendment, modification or waiver described in </w:t>
      </w:r>
      <w:r>
        <w:rPr>
          <w:rFonts w:ascii="Times New Roman" w:cs="Times New Roman" w:eastAsia="Times New Roman" w:hAnsi="Times New Roman"/>
          <w:sz w:val="20"/>
          <w:szCs w:val="20"/>
          <w:u w:val="single" w:color="auto"/>
          <w:color w:val="auto"/>
        </w:rPr>
        <w:t>Section 12.2(b)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that directly and adversely affects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606">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291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440" w:name="page441"/>
    <w:bookmarkEnd w:id="440"/>
    <w:p>
      <w:pPr>
        <w:spacing w:after="0" w:line="20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 xml:space="preserve">Participant. The Borrowers agree that each Participant shall be entitled to the benefits of </w:t>
      </w:r>
      <w:r>
        <w:rPr>
          <w:rFonts w:ascii="Times New Roman" w:cs="Times New Roman" w:eastAsia="Times New Roman" w:hAnsi="Times New Roman"/>
          <w:sz w:val="20"/>
          <w:szCs w:val="20"/>
          <w:u w:val="single" w:color="auto"/>
          <w:color w:val="auto"/>
        </w:rPr>
        <w:t>Sections 5.9</w:t>
      </w:r>
      <w:r>
        <w:rPr>
          <w:rFonts w:ascii="Times New Roman" w:cs="Times New Roman" w:eastAsia="Times New Roman" w:hAnsi="Times New Roman"/>
          <w:sz w:val="20"/>
          <w:szCs w:val="20"/>
          <w:color w:val="auto"/>
        </w:rPr>
        <w:t>,</w:t>
      </w:r>
    </w:p>
    <w:p>
      <w:pPr>
        <w:spacing w:after="0" w:line="6" w:lineRule="exact"/>
        <w:rPr>
          <w:sz w:val="20"/>
          <w:szCs w:val="20"/>
          <w:color w:val="auto"/>
        </w:rPr>
      </w:pPr>
    </w:p>
    <w:p>
      <w:pPr>
        <w:jc w:val="both"/>
        <w:ind w:left="680" w:right="20"/>
        <w:spacing w:after="0" w:line="258" w:lineRule="auto"/>
        <w:rPr>
          <w:sz w:val="20"/>
          <w:szCs w:val="20"/>
          <w:color w:val="auto"/>
        </w:rPr>
      </w:pPr>
      <w:r>
        <w:rPr>
          <w:rFonts w:ascii="Times New Roman" w:cs="Times New Roman" w:eastAsia="Times New Roman" w:hAnsi="Times New Roman"/>
          <w:sz w:val="19"/>
          <w:szCs w:val="19"/>
          <w:u w:val="single" w:color="auto"/>
          <w:color w:val="auto"/>
        </w:rPr>
        <w:t>5.10</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5.11</w:t>
      </w:r>
      <w:r>
        <w:rPr>
          <w:rFonts w:ascii="Times New Roman" w:cs="Times New Roman" w:eastAsia="Times New Roman" w:hAnsi="Times New Roman"/>
          <w:sz w:val="19"/>
          <w:szCs w:val="19"/>
          <w:color w:val="auto"/>
        </w:rPr>
        <w:t xml:space="preserve"> (subject to the requirements and limitations therein, including the requirements under </w:t>
      </w:r>
      <w:r>
        <w:rPr>
          <w:rFonts w:ascii="Times New Roman" w:cs="Times New Roman" w:eastAsia="Times New Roman" w:hAnsi="Times New Roman"/>
          <w:sz w:val="19"/>
          <w:szCs w:val="19"/>
          <w:u w:val="single" w:color="auto"/>
          <w:color w:val="auto"/>
        </w:rPr>
        <w:t>Section 5.11(g)</w:t>
      </w:r>
      <w:r>
        <w:rPr>
          <w:rFonts w:ascii="Times New Roman" w:cs="Times New Roman" w:eastAsia="Times New Roman" w:hAnsi="Times New Roman"/>
          <w:sz w:val="19"/>
          <w:szCs w:val="19"/>
          <w:color w:val="auto"/>
        </w:rPr>
        <w:t xml:space="preserve"> (it being understood that the documentation required under </w:t>
      </w:r>
      <w:r>
        <w:rPr>
          <w:rFonts w:ascii="Times New Roman" w:cs="Times New Roman" w:eastAsia="Times New Roman" w:hAnsi="Times New Roman"/>
          <w:sz w:val="19"/>
          <w:szCs w:val="19"/>
          <w:u w:val="single" w:color="auto"/>
          <w:color w:val="auto"/>
        </w:rPr>
        <w:t>Section 5.11(g)</w:t>
      </w:r>
      <w:r>
        <w:rPr>
          <w:rFonts w:ascii="Times New Roman" w:cs="Times New Roman" w:eastAsia="Times New Roman" w:hAnsi="Times New Roman"/>
          <w:sz w:val="19"/>
          <w:szCs w:val="19"/>
          <w:color w:val="auto"/>
        </w:rPr>
        <w:t xml:space="preserve"> shall be delivered to the participating Lender)) to the same extent as if it were a Lender and had acquired its interest by assignment pursuant to paragraph (b) of this Section;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Participant (A) agrees to be subject to the provisions of </w:t>
      </w:r>
      <w:r>
        <w:rPr>
          <w:rFonts w:ascii="Times New Roman" w:cs="Times New Roman" w:eastAsia="Times New Roman" w:hAnsi="Times New Roman"/>
          <w:sz w:val="19"/>
          <w:szCs w:val="19"/>
          <w:u w:val="single" w:color="auto"/>
          <w:color w:val="auto"/>
        </w:rPr>
        <w:t>Section 5.12</w:t>
      </w:r>
      <w:r>
        <w:rPr>
          <w:rFonts w:ascii="Times New Roman" w:cs="Times New Roman" w:eastAsia="Times New Roman" w:hAnsi="Times New Roman"/>
          <w:sz w:val="19"/>
          <w:szCs w:val="19"/>
          <w:color w:val="auto"/>
        </w:rPr>
        <w:t xml:space="preserve"> as if it were an assignee under paragraph (b) of this Section; and (B) shall not be entitled to receive any greater payment under </w:t>
      </w:r>
      <w:r>
        <w:rPr>
          <w:rFonts w:ascii="Times New Roman" w:cs="Times New Roman" w:eastAsia="Times New Roman" w:hAnsi="Times New Roman"/>
          <w:sz w:val="19"/>
          <w:szCs w:val="19"/>
          <w:u w:val="single" w:color="auto"/>
          <w:color w:val="auto"/>
        </w:rPr>
        <w:t>Sections 5.10</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5.11</w:t>
      </w:r>
      <w:r>
        <w:rPr>
          <w:rFonts w:ascii="Times New Roman" w:cs="Times New Roman" w:eastAsia="Times New Roman" w:hAnsi="Times New Roman"/>
          <w:sz w:val="19"/>
          <w:szCs w:val="19"/>
          <w:color w:val="auto"/>
        </w:rPr>
        <w:t xml:space="preserve">,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Borrowers to effectuate the provisions of </w:t>
      </w:r>
      <w:r>
        <w:rPr>
          <w:rFonts w:ascii="Times New Roman" w:cs="Times New Roman" w:eastAsia="Times New Roman" w:hAnsi="Times New Roman"/>
          <w:sz w:val="19"/>
          <w:szCs w:val="19"/>
          <w:u w:val="single" w:color="auto"/>
          <w:color w:val="auto"/>
        </w:rPr>
        <w:t>Section 5.12(b)</w:t>
      </w:r>
      <w:r>
        <w:rPr>
          <w:rFonts w:ascii="Times New Roman" w:cs="Times New Roman" w:eastAsia="Times New Roman" w:hAnsi="Times New Roman"/>
          <w:sz w:val="19"/>
          <w:szCs w:val="19"/>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19"/>
          <w:szCs w:val="19"/>
          <w:u w:val="single" w:color="auto"/>
          <w:color w:val="auto"/>
        </w:rPr>
        <w:t>Section 12.4</w:t>
      </w:r>
      <w:r>
        <w:rPr>
          <w:rFonts w:ascii="Times New Roman" w:cs="Times New Roman" w:eastAsia="Times New Roman" w:hAnsi="Times New Roman"/>
          <w:sz w:val="19"/>
          <w:szCs w:val="19"/>
          <w:color w:val="auto"/>
        </w:rPr>
        <w:t xml:space="preserve"> as though it were a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Participant agrees to be subject to </w:t>
      </w:r>
      <w:r>
        <w:rPr>
          <w:rFonts w:ascii="Times New Roman" w:cs="Times New Roman" w:eastAsia="Times New Roman" w:hAnsi="Times New Roman"/>
          <w:sz w:val="19"/>
          <w:szCs w:val="19"/>
          <w:u w:val="single" w:color="auto"/>
          <w:color w:val="auto"/>
        </w:rPr>
        <w:t>Section 5.6</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w:t>
      </w:r>
    </w:p>
    <w:p>
      <w:pPr>
        <w:spacing w:after="0" w:line="5" w:lineRule="exact"/>
        <w:rPr>
          <w:sz w:val="20"/>
          <w:szCs w:val="20"/>
          <w:color w:val="auto"/>
        </w:rPr>
      </w:pPr>
    </w:p>
    <w:p>
      <w:pPr>
        <w:ind w:left="980" w:hanging="296"/>
        <w:spacing w:after="0"/>
        <w:tabs>
          <w:tab w:leader="none" w:pos="980" w:val="left"/>
        </w:tabs>
        <w:numPr>
          <w:ilvl w:val="0"/>
          <w:numId w:val="33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4</w:t>
      </w:r>
      <w:r>
        <w:rPr>
          <w:rFonts w:ascii="Times New Roman" w:cs="Times New Roman" w:eastAsia="Times New Roman" w:hAnsi="Times New Roman"/>
          <w:sz w:val="20"/>
          <w:szCs w:val="20"/>
          <w:color w:val="auto"/>
        </w:rPr>
        <w:t xml:space="preserve"> as though it were a Lender.</w:t>
      </w:r>
    </w:p>
    <w:p>
      <w:pPr>
        <w:spacing w:after="0" w:line="189" w:lineRule="exact"/>
        <w:rPr>
          <w:sz w:val="20"/>
          <w:szCs w:val="20"/>
          <w:color w:val="auto"/>
        </w:rPr>
      </w:pPr>
    </w:p>
    <w:p>
      <w:pPr>
        <w:jc w:val="both"/>
        <w:ind w:left="680"/>
        <w:spacing w:after="0" w:line="248" w:lineRule="auto"/>
        <w:rPr>
          <w:sz w:val="20"/>
          <w:szCs w:val="20"/>
          <w:color w:val="auto"/>
        </w:rPr>
      </w:pPr>
      <w:r>
        <w:rPr>
          <w:rFonts w:ascii="Times New Roman" w:cs="Times New Roman" w:eastAsia="Times New Roman" w:hAnsi="Times New Roman"/>
          <w:sz w:val="20"/>
          <w:szCs w:val="20"/>
          <w:color w:val="auto"/>
        </w:rPr>
        <w:t>Each Lender that sells a participation shall, acting solely for this purpose as a non-fiduciary agent of the Borrowers, maintain a register on which it enters the name and address of each Participant and the principal amounts of (and stated interest on) each Participant’s interest in the Loans or other obligations under the Loan Documents (the “</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1" w:lineRule="exact"/>
        <w:rPr>
          <w:sz w:val="20"/>
          <w:szCs w:val="20"/>
          <w:color w:val="auto"/>
        </w:rPr>
      </w:pPr>
    </w:p>
    <w:p>
      <w:pPr>
        <w:jc w:val="both"/>
        <w:ind w:left="680" w:right="20" w:firstLine="646"/>
        <w:spacing w:after="0" w:line="250" w:lineRule="auto"/>
        <w:tabs>
          <w:tab w:leader="none" w:pos="1927" w:val="left"/>
        </w:tabs>
        <w:numPr>
          <w:ilvl w:val="0"/>
          <w:numId w:val="3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Pledges</w:t>
      </w:r>
      <w:r>
        <w:rPr>
          <w:rFonts w:ascii="Times New Roman" w:cs="Times New Roman" w:eastAsia="Times New Roman" w:hAnsi="Times New Roman"/>
          <w:sz w:val="20"/>
          <w:szCs w:val="20"/>
          <w:color w:val="auto"/>
        </w:rPr>
        <w:t xml:space="preserve">. Any Lender may at any time pledge or assign a security interest in all or any portion of its rights under this Agreement to secure obligations of such Lender, including without limitation any pledge or assignment to secure obligations to a Federal Reserve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pledge or assignment shall release such Lender from any of its obligations hereunder or substitute any such pledgee or assignee for such Lender as a party hereto.</w:t>
      </w:r>
    </w:p>
    <w:p>
      <w:pPr>
        <w:spacing w:after="0" w:line="191" w:lineRule="exact"/>
        <w:rPr>
          <w:rFonts w:ascii="Times New Roman" w:cs="Times New Roman" w:eastAsia="Times New Roman" w:hAnsi="Times New Roman"/>
          <w:sz w:val="20"/>
          <w:szCs w:val="20"/>
          <w:color w:val="auto"/>
        </w:rPr>
      </w:pPr>
    </w:p>
    <w:p>
      <w:pPr>
        <w:jc w:val="both"/>
        <w:ind w:left="680" w:right="20" w:firstLine="646"/>
        <w:spacing w:after="0" w:line="250" w:lineRule="auto"/>
        <w:tabs>
          <w:tab w:leader="none" w:pos="1919" w:val="left"/>
        </w:tabs>
        <w:numPr>
          <w:ilvl w:val="0"/>
          <w:numId w:val="3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Cashless Settlement</w:t>
      </w:r>
      <w:r>
        <w:rPr>
          <w:rFonts w:ascii="Times New Roman" w:cs="Times New Roman" w:eastAsia="Times New Roman" w:hAnsi="Times New Roman"/>
          <w:sz w:val="20"/>
          <w:szCs w:val="20"/>
          <w:color w:val="auto"/>
        </w:rPr>
        <w:t>. Notwithstanding anything to the contrary contained in this Agreement, any Lender may exchange, continue or rollover all or a portion of its Loans in connection with any refinancing, extension, loan modification or similar transaction permitted by the terms of this Agreement, pursuant to a cashless settlement mechanism approved by the Borrowers, the Administrative Agent and such Lender.</w:t>
      </w:r>
    </w:p>
    <w:p>
      <w:pPr>
        <w:spacing w:after="0" w:line="192" w:lineRule="exact"/>
        <w:rPr>
          <w:sz w:val="20"/>
          <w:szCs w:val="20"/>
          <w:color w:val="auto"/>
        </w:rPr>
      </w:pPr>
    </w:p>
    <w:p>
      <w:pPr>
        <w:jc w:val="both"/>
        <w:ind w:left="680" w:firstLine="642"/>
        <w:spacing w:after="0" w:line="250" w:lineRule="auto"/>
        <w:rPr>
          <w:sz w:val="20"/>
          <w:szCs w:val="20"/>
          <w:color w:val="auto"/>
        </w:rPr>
      </w:pPr>
      <w:r>
        <w:rPr>
          <w:rFonts w:ascii="Times New Roman" w:cs="Times New Roman" w:eastAsia="Times New Roman" w:hAnsi="Times New Roman"/>
          <w:sz w:val="20"/>
          <w:szCs w:val="20"/>
          <w:color w:val="auto"/>
        </w:rPr>
        <w:t xml:space="preserve">SECTION 12.10 </w:t>
      </w:r>
      <w:r>
        <w:rPr>
          <w:rFonts w:ascii="Times New Roman" w:cs="Times New Roman" w:eastAsia="Times New Roman" w:hAnsi="Times New Roman"/>
          <w:sz w:val="20"/>
          <w:szCs w:val="20"/>
          <w:u w:val="single" w:color="auto"/>
          <w:color w:val="auto"/>
        </w:rPr>
        <w:t>Treatment of Certain Information; Confidentiality</w:t>
      </w:r>
      <w:r>
        <w:rPr>
          <w:rFonts w:ascii="Times New Roman" w:cs="Times New Roman" w:eastAsia="Times New Roman" w:hAnsi="Times New Roman"/>
          <w:sz w:val="20"/>
          <w:szCs w:val="20"/>
          <w:color w:val="auto"/>
        </w:rPr>
        <w:t>. Each of the Administrative Agent, the Lenders and the Issuing Lenders agrees to maintain the confidentiality of the Information (as defined below), except that Information may be disclosed (a) to its Affiliates and to its and its Related Parties (it being understood that the Persons to whom such disclosure is made will be informed of the confidential nature of such Information and instructed to keep such Information confidential), (b) to the extent required or requested by, or required to be disclosed to, any regulatory or similar authority purporting to have jurisdiction over such Person or its Related Parties (including any self-regulatory</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607">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292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080"/>
          </w:cols>
          <w:pgMar w:left="320" w:top="1440" w:right="499" w:bottom="1440" w:gutter="0" w:footer="0" w:header="0"/>
        </w:sectPr>
      </w:pPr>
    </w:p>
    <w:bookmarkStart w:id="441" w:name="page442"/>
    <w:bookmarkEnd w:id="441"/>
    <w:p>
      <w:pPr>
        <w:spacing w:after="0" w:line="94" w:lineRule="exact"/>
        <w:rPr>
          <w:sz w:val="20"/>
          <w:szCs w:val="20"/>
          <w:color w:val="auto"/>
        </w:rPr>
      </w:pPr>
    </w:p>
    <w:p>
      <w:pPr>
        <w:ind w:left="680"/>
        <w:spacing w:after="0" w:line="263" w:lineRule="auto"/>
        <w:rPr>
          <w:sz w:val="20"/>
          <w:szCs w:val="20"/>
          <w:color w:val="auto"/>
        </w:rPr>
      </w:pPr>
      <w:r>
        <w:rPr>
          <w:rFonts w:ascii="Times New Roman" w:cs="Times New Roman" w:eastAsia="Times New Roman" w:hAnsi="Times New Roman"/>
          <w:sz w:val="20"/>
          <w:szCs w:val="20"/>
          <w:color w:val="auto"/>
        </w:rPr>
        <w:t>authority, such as the National Association of Insurance Commissioners), (c) as to the extent required by Applicable Laws or regulations or in any legal, judicial or administrative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608">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293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060"/>
          </w:cols>
          <w:pgMar w:left="320" w:top="1440" w:right="519" w:bottom="1440" w:gutter="0" w:footer="0" w:header="0"/>
        </w:sectPr>
      </w:pPr>
    </w:p>
    <w:bookmarkStart w:id="442" w:name="page443"/>
    <w:bookmarkEnd w:id="442"/>
    <w:p>
      <w:pPr>
        <w:spacing w:after="0" w:line="201" w:lineRule="exact"/>
        <w:rPr>
          <w:sz w:val="20"/>
          <w:szCs w:val="20"/>
          <w:color w:val="auto"/>
        </w:rPr>
      </w:pPr>
    </w:p>
    <w:p>
      <w:pPr>
        <w:ind w:left="680" w:right="40"/>
        <w:spacing w:after="0" w:line="259" w:lineRule="auto"/>
        <w:rPr>
          <w:sz w:val="20"/>
          <w:szCs w:val="20"/>
          <w:color w:val="auto"/>
        </w:rPr>
      </w:pPr>
      <w:r>
        <w:rPr>
          <w:rFonts w:ascii="Times New Roman" w:cs="Times New Roman" w:eastAsia="Times New Roman" w:hAnsi="Times New Roman"/>
          <w:sz w:val="19"/>
          <w:szCs w:val="19"/>
          <w:color w:val="auto"/>
        </w:rPr>
        <w:t>or other compulsory process, (d) to any other party hereto, (e) in connection with the exercise of any remedies under this Agreement, under any other Loan Document or under any Secured Hedge Agreement or Secured Cash Management Agreement, or any action or proceeding relating to this Agreement, any other Loan Document or any Secured Hedge Agreement or Secured Cash Management Agreement,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(ii) any actual or prospective party (or its Related Parties) to any swap, derivative or other transaction under which payments are to be made by reference to the Borrowers and their respective obligations, this Agreement or payments hereunder, (g) on a confidential basis to (i) any rating agency in connection with rating the Consolidated Companies or the Credit Facility or (ii) the CUSIP Service Bureau or any similar agency in connection with the issuance and monitoring of CUSIP numbers with respect to the Credit Facility, (h) with the consent of Centuri, (i) to Gold Sheets and other similar bank trade publications, such information to consist of deal terms and other information customarily found in such publications, (j) to the extent such Information (i) becomes publicly available other than as a result of a breach of this Section or (ii) becomes available to the Administrative Agent, any Lender, any Issuing Lender or any of their respective Affiliates from a third party that is not, to such Person’s knowledge, subject to confidentiality obligations to the Borrowers, (k) to governmental regulatory authorities in connection with any regulatory examination of the Administrative Agent or any Lender or in accordance with the Administrative Agent’s or any Lender’s regulatory compliance policy if the Administrative Agent or such Lender deems necessary for the mitigation of claims by those authorities against the Administrative Agent or such Lender or any of its subsidiaries or affiliates, (l) to the extent that such information is independently developed by such Person, or (m) for purposes of establishing a “due diligence” defense. For purposes of this Section, “</w:t>
      </w:r>
      <w:r>
        <w:rPr>
          <w:rFonts w:ascii="Times New Roman" w:cs="Times New Roman" w:eastAsia="Times New Roman" w:hAnsi="Times New Roman"/>
          <w:sz w:val="19"/>
          <w:szCs w:val="19"/>
          <w:u w:val="single" w:color="auto"/>
          <w:color w:val="auto"/>
        </w:rPr>
        <w:t>Information</w:t>
      </w:r>
      <w:r>
        <w:rPr>
          <w:rFonts w:ascii="Times New Roman" w:cs="Times New Roman" w:eastAsia="Times New Roman" w:hAnsi="Times New Roman"/>
          <w:sz w:val="19"/>
          <w:szCs w:val="19"/>
          <w:color w:val="auto"/>
        </w:rPr>
        <w:t xml:space="preserve">” means all information received from any Credit Party or any Subsidiary thereof relating to any Credit Party or any Subsidiary thereof or any of their respective businesses, other than any such information that is available to the Administrative Agent, any Lender or any Issuing Lender on a nonconfidential basis prior to disclosure by any Credit Party or any Subsidiary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case of information received from a Credit Party or any Subsidiary thereof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200" w:lineRule="exact"/>
        <w:rPr>
          <w:sz w:val="20"/>
          <w:szCs w:val="20"/>
          <w:color w:val="auto"/>
        </w:rPr>
      </w:pPr>
    </w:p>
    <w:p>
      <w:pPr>
        <w:spacing w:after="0" w:line="205" w:lineRule="exact"/>
        <w:rPr>
          <w:sz w:val="20"/>
          <w:szCs w:val="20"/>
          <w:color w:val="auto"/>
        </w:rPr>
      </w:pPr>
    </w:p>
    <w:p>
      <w:pPr>
        <w:ind w:left="680" w:firstLine="642"/>
        <w:spacing w:after="0" w:line="263" w:lineRule="auto"/>
        <w:rPr>
          <w:sz w:val="20"/>
          <w:szCs w:val="20"/>
          <w:color w:val="auto"/>
        </w:rPr>
      </w:pPr>
      <w:r>
        <w:rPr>
          <w:rFonts w:ascii="Times New Roman" w:cs="Times New Roman" w:eastAsia="Times New Roman" w:hAnsi="Times New Roman"/>
          <w:sz w:val="20"/>
          <w:szCs w:val="20"/>
          <w:color w:val="auto"/>
        </w:rPr>
        <w:t xml:space="preserve">SECTION 12.11 </w:t>
      </w:r>
      <w:r>
        <w:rPr>
          <w:rFonts w:ascii="Times New Roman" w:cs="Times New Roman" w:eastAsia="Times New Roman" w:hAnsi="Times New Roman"/>
          <w:sz w:val="20"/>
          <w:szCs w:val="20"/>
          <w:u w:val="single" w:color="auto"/>
          <w:color w:val="auto"/>
        </w:rPr>
        <w:t>Performance of Duties</w:t>
      </w:r>
      <w:r>
        <w:rPr>
          <w:rFonts w:ascii="Times New Roman" w:cs="Times New Roman" w:eastAsia="Times New Roman" w:hAnsi="Times New Roman"/>
          <w:sz w:val="20"/>
          <w:szCs w:val="20"/>
          <w:color w:val="auto"/>
        </w:rPr>
        <w:t>. Each of the Credit Party’s obligations under this Agreement and each of the other Loan Documents shall be performed by such Credit Party at its sole cost and expense.</w:t>
      </w:r>
    </w:p>
    <w:p>
      <w:pPr>
        <w:spacing w:after="0" w:line="178" w:lineRule="exact"/>
        <w:rPr>
          <w:sz w:val="20"/>
          <w:szCs w:val="20"/>
          <w:color w:val="auto"/>
        </w:rPr>
      </w:pPr>
    </w:p>
    <w:p>
      <w:pPr>
        <w:jc w:val="both"/>
        <w:ind w:left="680" w:right="40" w:firstLine="642"/>
        <w:spacing w:after="0" w:line="250" w:lineRule="auto"/>
        <w:rPr>
          <w:sz w:val="20"/>
          <w:szCs w:val="20"/>
          <w:color w:val="auto"/>
        </w:rPr>
      </w:pPr>
      <w:r>
        <w:rPr>
          <w:rFonts w:ascii="Times New Roman" w:cs="Times New Roman" w:eastAsia="Times New Roman" w:hAnsi="Times New Roman"/>
          <w:sz w:val="20"/>
          <w:szCs w:val="20"/>
          <w:color w:val="auto"/>
        </w:rPr>
        <w:t xml:space="preserve">SECTION 12.12 </w:t>
      </w:r>
      <w:r>
        <w:rPr>
          <w:rFonts w:ascii="Times New Roman" w:cs="Times New Roman" w:eastAsia="Times New Roman" w:hAnsi="Times New Roman"/>
          <w:sz w:val="20"/>
          <w:szCs w:val="20"/>
          <w:u w:val="single" w:color="auto"/>
          <w:color w:val="auto"/>
        </w:rPr>
        <w:t>All Powers Coupled with Interest</w:t>
      </w:r>
      <w:r>
        <w:rPr>
          <w:rFonts w:ascii="Times New Roman" w:cs="Times New Roman" w:eastAsia="Times New Roman" w:hAnsi="Times New Roman"/>
          <w:sz w:val="20"/>
          <w:szCs w:val="20"/>
          <w:color w:val="auto"/>
        </w:rPr>
        <w:t>. All powers of attorney and other authorizations granted to the Lenders, the Administrative Agent and any Persons designated by the Administrative Agent or any Lender pursuant to any provisions of this Agreement or any of the other Loan Documents shall be deemed coupled with an interest and shall be irrevocable so long as any of the Obligations remain unpaid or unsatisfied, any of the Commitments remain in effect or the Credit Facility has not been terminated.</w:t>
      </w:r>
    </w:p>
    <w:p>
      <w:pPr>
        <w:spacing w:after="0" w:line="180" w:lineRule="exact"/>
        <w:rPr>
          <w:sz w:val="20"/>
          <w:szCs w:val="20"/>
          <w:color w:val="auto"/>
        </w:rPr>
      </w:pPr>
    </w:p>
    <w:p>
      <w:pPr>
        <w:ind w:left="1320"/>
        <w:spacing w:after="0"/>
        <w:tabs>
          <w:tab w:leader="none" w:pos="2820" w:val="left"/>
        </w:tabs>
        <w:rPr>
          <w:sz w:val="20"/>
          <w:szCs w:val="20"/>
          <w:color w:val="auto"/>
        </w:rPr>
      </w:pPr>
      <w:r>
        <w:rPr>
          <w:rFonts w:ascii="Times New Roman" w:cs="Times New Roman" w:eastAsia="Times New Roman" w:hAnsi="Times New Roman"/>
          <w:sz w:val="20"/>
          <w:szCs w:val="20"/>
          <w:color w:val="auto"/>
        </w:rPr>
        <w:t>SECTION 12.13</w:t>
      </w:r>
      <w:r>
        <w:rPr>
          <w:sz w:val="20"/>
          <w:szCs w:val="20"/>
          <w:color w:val="auto"/>
        </w:rPr>
        <w:tab/>
      </w:r>
      <w:r>
        <w:rPr>
          <w:rFonts w:ascii="Times New Roman" w:cs="Times New Roman" w:eastAsia="Times New Roman" w:hAnsi="Times New Roman"/>
          <w:sz w:val="19"/>
          <w:szCs w:val="19"/>
          <w:u w:val="single" w:color="auto"/>
          <w:color w:val="auto"/>
        </w:rPr>
        <w:t>Survival</w:t>
      </w:r>
      <w:r>
        <w:rPr>
          <w:rFonts w:ascii="Times New Roman" w:cs="Times New Roman" w:eastAsia="Times New Roman" w:hAnsi="Times New Roman"/>
          <w:sz w:val="19"/>
          <w:szCs w:val="19"/>
          <w:color w:val="auto"/>
        </w:rPr>
        <w:t>.</w:t>
      </w:r>
    </w:p>
    <w:p>
      <w:pPr>
        <w:spacing w:after="0" w:line="225" w:lineRule="exact"/>
        <w:rPr>
          <w:sz w:val="20"/>
          <w:szCs w:val="20"/>
          <w:color w:val="auto"/>
        </w:rPr>
      </w:pPr>
    </w:p>
    <w:p>
      <w:pPr>
        <w:ind w:left="680" w:right="40" w:firstLine="646"/>
        <w:spacing w:after="0" w:line="277" w:lineRule="auto"/>
        <w:tabs>
          <w:tab w:leader="none" w:pos="1927" w:val="left"/>
        </w:tabs>
        <w:numPr>
          <w:ilvl w:val="0"/>
          <w:numId w:val="3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representations and warranties set forth in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and all representations and warranties contained in any certificate, or any of the Loan Documents (including, but not limited to, 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609">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294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443" w:name="page444"/>
    <w:bookmarkEnd w:id="443"/>
    <w:p>
      <w:pPr>
        <w:spacing w:after="0" w:line="94" w:lineRule="exact"/>
        <w:rPr>
          <w:sz w:val="20"/>
          <w:szCs w:val="20"/>
          <w:color w:val="auto"/>
        </w:rPr>
      </w:pPr>
    </w:p>
    <w:p>
      <w:pPr>
        <w:ind w:left="680"/>
        <w:spacing w:after="0" w:line="277" w:lineRule="auto"/>
        <w:rPr>
          <w:sz w:val="20"/>
          <w:szCs w:val="20"/>
          <w:color w:val="auto"/>
        </w:rPr>
      </w:pPr>
      <w:r>
        <w:rPr>
          <w:rFonts w:ascii="Times New Roman" w:cs="Times New Roman" w:eastAsia="Times New Roman" w:hAnsi="Times New Roman"/>
          <w:sz w:val="20"/>
          <w:szCs w:val="20"/>
          <w:color w:val="auto"/>
        </w:rPr>
        <w:t>such representation or warranty made in or in connection with any amendment thereto) shall constitute representations and warranties made under this Agreement. All representations and warranties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610">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295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080"/>
          </w:cols>
          <w:pgMar w:left="320" w:top="1440" w:right="499" w:bottom="1440" w:gutter="0" w:footer="0" w:header="0"/>
        </w:sectPr>
      </w:pPr>
    </w:p>
    <w:bookmarkStart w:id="444" w:name="page445"/>
    <w:bookmarkEnd w:id="444"/>
    <w:p>
      <w:pPr>
        <w:spacing w:after="0" w:line="201" w:lineRule="exact"/>
        <w:rPr>
          <w:sz w:val="20"/>
          <w:szCs w:val="20"/>
          <w:color w:val="auto"/>
        </w:rPr>
      </w:pPr>
    </w:p>
    <w:p>
      <w:pPr>
        <w:jc w:val="both"/>
        <w:ind w:left="680" w:right="40"/>
        <w:spacing w:after="0" w:line="257" w:lineRule="auto"/>
        <w:rPr>
          <w:sz w:val="20"/>
          <w:szCs w:val="20"/>
          <w:color w:val="auto"/>
        </w:rPr>
      </w:pPr>
      <w:r>
        <w:rPr>
          <w:rFonts w:ascii="Times New Roman" w:cs="Times New Roman" w:eastAsia="Times New Roman" w:hAnsi="Times New Roman"/>
          <w:sz w:val="20"/>
          <w:szCs w:val="20"/>
          <w:color w:val="auto"/>
        </w:rPr>
        <w:t>under this Agreement shall be made or deemed to be made at and as of the Closing Date (except those that are expressly made as of a specific date), shall survive the Closing Date and shall not be waived by the execution and delivery of this Agreement, any investigation made by or on behalf of the Lenders or any borrowing hereunder.</w:t>
      </w:r>
    </w:p>
    <w:p>
      <w:pPr>
        <w:spacing w:after="0" w:line="171" w:lineRule="exact"/>
        <w:rPr>
          <w:sz w:val="20"/>
          <w:szCs w:val="20"/>
          <w:color w:val="auto"/>
        </w:rPr>
      </w:pPr>
    </w:p>
    <w:p>
      <w:pPr>
        <w:jc w:val="both"/>
        <w:ind w:left="680" w:right="40" w:firstLine="646"/>
        <w:spacing w:after="0" w:line="255" w:lineRule="auto"/>
        <w:tabs>
          <w:tab w:leader="none" w:pos="1925" w:val="left"/>
        </w:tabs>
        <w:numPr>
          <w:ilvl w:val="0"/>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 termination of this Agreement, the indemnities to which the Administrative Agent and the Lenders are entitled under the provisions of this </w:t>
      </w:r>
      <w:r>
        <w:rPr>
          <w:rFonts w:ascii="Times New Roman" w:cs="Times New Roman" w:eastAsia="Times New Roman" w:hAnsi="Times New Roman"/>
          <w:sz w:val="20"/>
          <w:szCs w:val="20"/>
          <w:u w:val="single" w:color="auto"/>
          <w:color w:val="auto"/>
        </w:rPr>
        <w:t>Article XII</w:t>
      </w:r>
      <w:r>
        <w:rPr>
          <w:rFonts w:ascii="Times New Roman" w:cs="Times New Roman" w:eastAsia="Times New Roman" w:hAnsi="Times New Roman"/>
          <w:sz w:val="20"/>
          <w:szCs w:val="20"/>
          <w:color w:val="auto"/>
        </w:rPr>
        <w:t xml:space="preserve"> and any other provision of this Agreement and the other Loan Documents shall continue in full force and effect and shall protect the Administrative Agent and the Lenders against events arising after such termination as well as before.</w:t>
      </w:r>
    </w:p>
    <w:p>
      <w:pPr>
        <w:spacing w:after="0" w:line="173" w:lineRule="exact"/>
        <w:rPr>
          <w:sz w:val="20"/>
          <w:szCs w:val="20"/>
          <w:color w:val="auto"/>
        </w:rPr>
      </w:pPr>
    </w:p>
    <w:p>
      <w:pPr>
        <w:jc w:val="both"/>
        <w:ind w:left="680" w:right="40" w:firstLine="642"/>
        <w:spacing w:after="0" w:line="277" w:lineRule="auto"/>
        <w:rPr>
          <w:sz w:val="20"/>
          <w:szCs w:val="20"/>
          <w:color w:val="auto"/>
        </w:rPr>
      </w:pPr>
      <w:r>
        <w:rPr>
          <w:rFonts w:ascii="Times New Roman" w:cs="Times New Roman" w:eastAsia="Times New Roman" w:hAnsi="Times New Roman"/>
          <w:sz w:val="20"/>
          <w:szCs w:val="20"/>
          <w:color w:val="auto"/>
        </w:rPr>
        <w:t xml:space="preserve">SECTION 12.14 </w:t>
      </w:r>
      <w:r>
        <w:rPr>
          <w:rFonts w:ascii="Times New Roman" w:cs="Times New Roman" w:eastAsia="Times New Roman" w:hAnsi="Times New Roman"/>
          <w:sz w:val="20"/>
          <w:szCs w:val="20"/>
          <w:u w:val="single" w:color="auto"/>
          <w:color w:val="auto"/>
        </w:rPr>
        <w:t>Titles and Captions</w:t>
      </w:r>
      <w:r>
        <w:rPr>
          <w:rFonts w:ascii="Times New Roman" w:cs="Times New Roman" w:eastAsia="Times New Roman" w:hAnsi="Times New Roman"/>
          <w:sz w:val="20"/>
          <w:szCs w:val="20"/>
          <w:color w:val="auto"/>
        </w:rPr>
        <w:t>. Titles and captions of Articles, Sections and subsections in, and the table of contents of, this Agreement are for convenience only, and neither limit nor amplify the provisions of this Agreement.</w:t>
      </w:r>
    </w:p>
    <w:p>
      <w:pPr>
        <w:spacing w:after="0" w:line="151" w:lineRule="exact"/>
        <w:rPr>
          <w:sz w:val="20"/>
          <w:szCs w:val="20"/>
          <w:color w:val="auto"/>
        </w:rPr>
      </w:pPr>
    </w:p>
    <w:p>
      <w:pPr>
        <w:jc w:val="both"/>
        <w:ind w:left="680" w:right="40" w:firstLine="642"/>
        <w:spacing w:after="0" w:line="255" w:lineRule="auto"/>
        <w:rPr>
          <w:sz w:val="20"/>
          <w:szCs w:val="20"/>
          <w:color w:val="auto"/>
        </w:rPr>
      </w:pPr>
      <w:r>
        <w:rPr>
          <w:rFonts w:ascii="Times New Roman" w:cs="Times New Roman" w:eastAsia="Times New Roman" w:hAnsi="Times New Roman"/>
          <w:sz w:val="20"/>
          <w:szCs w:val="20"/>
          <w:color w:val="auto"/>
        </w:rPr>
        <w:t xml:space="preserve">SECTION 12.15 </w:t>
      </w:r>
      <w:r>
        <w:rPr>
          <w:rFonts w:ascii="Times New Roman" w:cs="Times New Roman" w:eastAsia="Times New Roman" w:hAnsi="Times New Roman"/>
          <w:sz w:val="20"/>
          <w:szCs w:val="20"/>
          <w:u w:val="single" w:color="auto"/>
          <w:color w:val="auto"/>
        </w:rPr>
        <w:t>Severability of Provisions</w:t>
      </w:r>
      <w:r>
        <w:rPr>
          <w:rFonts w:ascii="Times New Roman" w:cs="Times New Roman" w:eastAsia="Times New Roman" w:hAnsi="Times New Roman"/>
          <w:sz w:val="20"/>
          <w:szCs w:val="20"/>
          <w:color w:val="auto"/>
        </w:rPr>
        <w:t>. Any provision of this Agreement or any other Loan Document which is prohibited or unenforceable in any jurisdiction shall, as to such jurisdiction, be ineffective only to the extent of such prohibition or unenforceability without invalidating the remainder of such provision or the remaining provisions hereof or thereof or affecting the validity or enforceability of such provision in any other jurisdiction.</w:t>
      </w:r>
    </w:p>
    <w:p>
      <w:pPr>
        <w:spacing w:after="0" w:line="173" w:lineRule="exact"/>
        <w:rPr>
          <w:sz w:val="20"/>
          <w:szCs w:val="20"/>
          <w:color w:val="auto"/>
        </w:rPr>
      </w:pPr>
    </w:p>
    <w:p>
      <w:pPr>
        <w:jc w:val="center"/>
        <w:ind w:right="-139"/>
        <w:spacing w:after="0"/>
        <w:tabs>
          <w:tab w:leader="none" w:pos="180" w:val="left"/>
        </w:tabs>
        <w:rPr>
          <w:sz w:val="20"/>
          <w:szCs w:val="20"/>
          <w:color w:val="auto"/>
        </w:rPr>
      </w:pPr>
      <w:r>
        <w:rPr>
          <w:rFonts w:ascii="Times New Roman" w:cs="Times New Roman" w:eastAsia="Times New Roman" w:hAnsi="Times New Roman"/>
          <w:sz w:val="20"/>
          <w:szCs w:val="20"/>
          <w:color w:val="auto"/>
        </w:rPr>
        <w:t>SECTION 12.16</w:t>
      </w:r>
      <w:r>
        <w:rPr>
          <w:sz w:val="20"/>
          <w:szCs w:val="20"/>
          <w:color w:val="auto"/>
        </w:rPr>
        <w:tab/>
      </w:r>
      <w:r>
        <w:rPr>
          <w:rFonts w:ascii="Times New Roman" w:cs="Times New Roman" w:eastAsia="Times New Roman" w:hAnsi="Times New Roman"/>
          <w:sz w:val="19"/>
          <w:szCs w:val="19"/>
          <w:u w:val="single" w:color="auto"/>
          <w:color w:val="auto"/>
        </w:rPr>
        <w:t>Counterparts; Integration; Effectiveness; Electronic Execution</w:t>
      </w:r>
      <w:r>
        <w:rPr>
          <w:rFonts w:ascii="Times New Roman" w:cs="Times New Roman" w:eastAsia="Times New Roman" w:hAnsi="Times New Roman"/>
          <w:sz w:val="19"/>
          <w:szCs w:val="19"/>
          <w:color w:val="auto"/>
        </w:rPr>
        <w:t>.</w:t>
      </w:r>
    </w:p>
    <w:p>
      <w:pPr>
        <w:spacing w:after="0" w:line="225" w:lineRule="exact"/>
        <w:rPr>
          <w:sz w:val="20"/>
          <w:szCs w:val="20"/>
          <w:color w:val="auto"/>
        </w:rPr>
      </w:pPr>
    </w:p>
    <w:p>
      <w:pPr>
        <w:jc w:val="both"/>
        <w:ind w:left="680" w:firstLine="646"/>
        <w:spacing w:after="0" w:line="247" w:lineRule="auto"/>
        <w:tabs>
          <w:tab w:leader="none" w:pos="1927" w:val="left"/>
        </w:tabs>
        <w:numPr>
          <w:ilvl w:val="0"/>
          <w:numId w:val="3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 Integration; Effectiveness</w:t>
      </w:r>
      <w:r>
        <w:rPr>
          <w:rFonts w:ascii="Times New Roman" w:cs="Times New Roman" w:eastAsia="Times New Roman" w:hAnsi="Times New Roman"/>
          <w:sz w:val="20"/>
          <w:szCs w:val="20"/>
          <w:color w:val="auto"/>
        </w:rPr>
        <w:t xml:space="preserve">. This Agreement may be executed in counterparts (and by different parties hereto in different counterparts), each of which shall constitute an original, but all of which when taken together shall constitute a single contract. This Agreement and the other Loan Documents, and any separate letter agreements with respect to fees payable to the Administrative Agent, the Issuing Lenders, the Swingline Lenders and/or the Arrangers,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in electronic (i.e., “pdf” or “tif”) format shall be effective as delivery of a manually executed counterpart of this Agreement.</w:t>
      </w:r>
    </w:p>
    <w:p>
      <w:pPr>
        <w:spacing w:after="0" w:line="187" w:lineRule="exact"/>
        <w:rPr>
          <w:rFonts w:ascii="Times New Roman" w:cs="Times New Roman" w:eastAsia="Times New Roman" w:hAnsi="Times New Roman"/>
          <w:sz w:val="20"/>
          <w:szCs w:val="20"/>
          <w:color w:val="auto"/>
        </w:rPr>
      </w:pPr>
    </w:p>
    <w:p>
      <w:pPr>
        <w:jc w:val="both"/>
        <w:ind w:left="680" w:firstLine="646"/>
        <w:spacing w:after="0" w:line="248" w:lineRule="auto"/>
        <w:tabs>
          <w:tab w:leader="none" w:pos="1925" w:val="left"/>
        </w:tabs>
        <w:numPr>
          <w:ilvl w:val="0"/>
          <w:numId w:val="3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Execution</w:t>
      </w:r>
      <w:r>
        <w:rPr>
          <w:rFonts w:ascii="Times New Roman" w:cs="Times New Roman" w:eastAsia="Times New Roman" w:hAnsi="Times New Roman"/>
          <w:sz w:val="20"/>
          <w:szCs w:val="20"/>
          <w:color w:val="auto"/>
        </w:rPr>
        <w:t>. The words “execute,” “execution,” “signed,” “signature,” “delivery” and words of like import in or related to this Agreement, any other Loan Document or any document, amendment, approval, consent, waiver, modification, information, notice, certificate, report, statement, disclosure, or authorization to be signed or delivered in connection with this Agreement or any other Loan Document or the transactions contemplated hereby shall be deemed to include Electronic Signatures or execution in the form of an Electronic Record, and contract formations on electronic platforms approved by the Administrative Agent, deliveries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Each party hereto agrees that any Electronic Signature or execution in the form of an Electronic Record shall be valid and binding on itself and each of the other parties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611">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296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445" w:name="page446"/>
    <w:bookmarkEnd w:id="445"/>
    <w:p>
      <w:pPr>
        <w:spacing w:after="0" w:line="81" w:lineRule="exact"/>
        <w:rPr>
          <w:sz w:val="20"/>
          <w:szCs w:val="20"/>
          <w:color w:val="auto"/>
        </w:rPr>
      </w:pPr>
    </w:p>
    <w:p>
      <w:pPr>
        <w:ind w:left="680"/>
        <w:spacing w:after="0" w:line="277" w:lineRule="auto"/>
        <w:rPr>
          <w:sz w:val="20"/>
          <w:szCs w:val="20"/>
          <w:color w:val="auto"/>
        </w:rPr>
      </w:pPr>
      <w:r>
        <w:rPr>
          <w:rFonts w:ascii="Times New Roman" w:cs="Times New Roman" w:eastAsia="Times New Roman" w:hAnsi="Times New Roman"/>
          <w:sz w:val="20"/>
          <w:szCs w:val="20"/>
          <w:color w:val="auto"/>
        </w:rPr>
        <w:t>hereto to the same extent as a manual, original signature. For the avoidance of doubt, the authorization under this paragraph may include, without limitation, use or acceptance by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612">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297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446" w:name="page447"/>
    <w:bookmarkEnd w:id="446"/>
    <w:p>
      <w:pPr>
        <w:spacing w:after="0" w:line="201" w:lineRule="exact"/>
        <w:rPr>
          <w:sz w:val="20"/>
          <w:szCs w:val="20"/>
          <w:color w:val="auto"/>
        </w:rPr>
      </w:pPr>
    </w:p>
    <w:p>
      <w:pPr>
        <w:jc w:val="both"/>
        <w:ind w:left="680"/>
        <w:spacing w:after="0" w:line="259" w:lineRule="auto"/>
        <w:rPr>
          <w:sz w:val="20"/>
          <w:szCs w:val="20"/>
          <w:color w:val="auto"/>
        </w:rPr>
      </w:pPr>
      <w:r>
        <w:rPr>
          <w:rFonts w:ascii="Times New Roman" w:cs="Times New Roman" w:eastAsia="Times New Roman" w:hAnsi="Times New Roman"/>
          <w:sz w:val="19"/>
          <w:szCs w:val="19"/>
          <w:color w:val="auto"/>
        </w:rPr>
        <w:t xml:space="preserve">of a manually signed paper which has been converted into electronic form (such as scanned into PDF format), or an electronically signed paper converted into another format, for transmission, delivery and/or retention. Notwithstanding anything contained herein to the contrary, the Administrative Agent is under no obligation to accept an Electronic Signature in any form or in any format unless expressly agreed to by the Administrative Agent pursuant to procedures approved by it;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without limiting the foregoing, (i) to the extent the Administrative Agent has agreed to accept such Electronic Signature from any party hereto, the Administrative Agent and the other parties hereto shall be entitled to rely on any such Electronic Signature purportedly given by or on behalf of the executing party without further verification and (ii) upon the request of the Administrative Agent or any Lender, any Electronic Signature shall be promptly followed by an original manually executed counterpart thereof. Without limiting the generality of the foregoing, each party hereto hereby (A) agrees that, for all purposes, including without limitation, in connection with any workout, restructuring, enforcement of remedies, bankruptcy proceedings or litigation among the Administrative Agent, the Lenders and any of the Credit Parties, electronic images of this Agreement or any other Loan Document (in each case, including with respect to any signature pages thereto) shall have the same legal effect, validity and enforceability as any paper original, and</w:t>
      </w:r>
    </w:p>
    <w:p>
      <w:pPr>
        <w:spacing w:after="0" w:line="7" w:lineRule="exact"/>
        <w:rPr>
          <w:sz w:val="20"/>
          <w:szCs w:val="20"/>
          <w:color w:val="auto"/>
        </w:rPr>
      </w:pPr>
    </w:p>
    <w:p>
      <w:pPr>
        <w:ind w:left="680" w:firstLine="4"/>
        <w:spacing w:after="0" w:line="248" w:lineRule="auto"/>
        <w:tabs>
          <w:tab w:leader="none" w:pos="990" w:val="left"/>
        </w:tabs>
        <w:numPr>
          <w:ilvl w:val="0"/>
          <w:numId w:val="3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waives any argument, defense or right to contest the validity or enforceability of the Loan Documents based solely on the lack of paper original copies of any Loan Documents, including with respect to any signature pages thereto.</w:t>
      </w:r>
    </w:p>
    <w:p>
      <w:pPr>
        <w:spacing w:after="0" w:line="179" w:lineRule="exact"/>
        <w:rPr>
          <w:sz w:val="20"/>
          <w:szCs w:val="20"/>
          <w:color w:val="auto"/>
        </w:rPr>
      </w:pPr>
    </w:p>
    <w:p>
      <w:pPr>
        <w:jc w:val="both"/>
        <w:ind w:left="680" w:firstLine="642"/>
        <w:spacing w:after="0" w:line="266" w:lineRule="auto"/>
        <w:rPr>
          <w:sz w:val="20"/>
          <w:szCs w:val="20"/>
          <w:color w:val="auto"/>
        </w:rPr>
      </w:pPr>
      <w:r>
        <w:rPr>
          <w:rFonts w:ascii="Times New Roman" w:cs="Times New Roman" w:eastAsia="Times New Roman" w:hAnsi="Times New Roman"/>
          <w:sz w:val="19"/>
          <w:szCs w:val="19"/>
          <w:color w:val="auto"/>
        </w:rPr>
        <w:t xml:space="preserve">SECTION 12.17 </w:t>
      </w:r>
      <w:r>
        <w:rPr>
          <w:rFonts w:ascii="Times New Roman" w:cs="Times New Roman" w:eastAsia="Times New Roman" w:hAnsi="Times New Roman"/>
          <w:sz w:val="19"/>
          <w:szCs w:val="19"/>
          <w:u w:val="single" w:color="auto"/>
          <w:color w:val="auto"/>
        </w:rPr>
        <w:t>Term of Agreement</w:t>
      </w:r>
      <w:r>
        <w:rPr>
          <w:rFonts w:ascii="Times New Roman" w:cs="Times New Roman" w:eastAsia="Times New Roman" w:hAnsi="Times New Roman"/>
          <w:sz w:val="19"/>
          <w:szCs w:val="19"/>
          <w:color w:val="auto"/>
        </w:rPr>
        <w:t>. This Agreement shall remain in effect from the Closing Date through and including the date upon which all Obligations (other than contingent indemnification obligations not then due) arising hereunder or under any other Loan Document shall have been indefeasibly and irrevocably paid and satisfied in full, all Letters of Credit have been terminated or expired (or been Cash Collateralized) or otherwise satisfied in a manner acceptable to the Issuing Lender) and the Revolving Credit Commitment has been terminated. No termination of this Agreement shall affect the rights and obligations of the parties hereto arising prior to such termination or in respect of any provision of this Agreement which survives such termination.</w:t>
      </w:r>
    </w:p>
    <w:p>
      <w:pPr>
        <w:spacing w:after="0" w:line="165" w:lineRule="exact"/>
        <w:rPr>
          <w:sz w:val="20"/>
          <w:szCs w:val="20"/>
          <w:color w:val="auto"/>
        </w:rPr>
      </w:pPr>
    </w:p>
    <w:p>
      <w:pPr>
        <w:jc w:val="both"/>
        <w:ind w:left="680" w:right="40" w:firstLine="642"/>
        <w:spacing w:after="0" w:line="250" w:lineRule="auto"/>
        <w:rPr>
          <w:sz w:val="20"/>
          <w:szCs w:val="20"/>
          <w:color w:val="auto"/>
        </w:rPr>
      </w:pPr>
      <w:r>
        <w:rPr>
          <w:rFonts w:ascii="Times New Roman" w:cs="Times New Roman" w:eastAsia="Times New Roman" w:hAnsi="Times New Roman"/>
          <w:sz w:val="20"/>
          <w:szCs w:val="20"/>
          <w:color w:val="auto"/>
        </w:rPr>
        <w:t xml:space="preserve">SECTION 12.18 </w:t>
      </w:r>
      <w:r>
        <w:rPr>
          <w:rFonts w:ascii="Times New Roman" w:cs="Times New Roman" w:eastAsia="Times New Roman" w:hAnsi="Times New Roman"/>
          <w:sz w:val="20"/>
          <w:szCs w:val="20"/>
          <w:u w:val="single" w:color="auto"/>
          <w:color w:val="auto"/>
        </w:rPr>
        <w:t>USA PATRIOT Act; Anti-Money Laundering Laws</w:t>
      </w:r>
      <w:r>
        <w:rPr>
          <w:rFonts w:ascii="Times New Roman" w:cs="Times New Roman" w:eastAsia="Times New Roman" w:hAnsi="Times New Roman"/>
          <w:sz w:val="20"/>
          <w:szCs w:val="20"/>
          <w:color w:val="auto"/>
        </w:rPr>
        <w:t>. The Administrative Agent and each Lender hereby notifies the Borrowers that pursuant to the requirements of the PATRIOT Act or any other Anti-Money Laundering Laws, each of them is required to obtain, verify and record information that identifies each Credit Party, which information includes the name and address of each Credit Party and other information that will allow such Lender to identify each Credit Party in accordance with the PATRIOT Act or such Anti-Money Laundering Laws.</w:t>
      </w:r>
    </w:p>
    <w:p>
      <w:pPr>
        <w:spacing w:after="0" w:line="180" w:lineRule="exact"/>
        <w:rPr>
          <w:sz w:val="20"/>
          <w:szCs w:val="20"/>
          <w:color w:val="auto"/>
        </w:rPr>
      </w:pPr>
    </w:p>
    <w:p>
      <w:pPr>
        <w:ind w:left="680" w:right="220" w:firstLine="642"/>
        <w:spacing w:after="0" w:line="272" w:lineRule="auto"/>
        <w:rPr>
          <w:sz w:val="20"/>
          <w:szCs w:val="20"/>
          <w:color w:val="auto"/>
        </w:rPr>
      </w:pPr>
      <w:r>
        <w:rPr>
          <w:rFonts w:ascii="Times New Roman" w:cs="Times New Roman" w:eastAsia="Times New Roman" w:hAnsi="Times New Roman"/>
          <w:sz w:val="19"/>
          <w:szCs w:val="19"/>
          <w:color w:val="auto"/>
        </w:rPr>
        <w:t xml:space="preserve">SECTION 12.19 </w:t>
      </w:r>
      <w:r>
        <w:rPr>
          <w:rFonts w:ascii="Times New Roman" w:cs="Times New Roman" w:eastAsia="Times New Roman" w:hAnsi="Times New Roman"/>
          <w:sz w:val="19"/>
          <w:szCs w:val="19"/>
          <w:u w:val="single" w:color="auto"/>
          <w:color w:val="auto"/>
        </w:rPr>
        <w:t>Independent Effect of Covenants</w:t>
      </w:r>
      <w:r>
        <w:rPr>
          <w:rFonts w:ascii="Times New Roman" w:cs="Times New Roman" w:eastAsia="Times New Roman" w:hAnsi="Times New Roman"/>
          <w:sz w:val="19"/>
          <w:szCs w:val="19"/>
          <w:color w:val="auto"/>
        </w:rPr>
        <w:t xml:space="preserve">. The Borrowers expressly acknowledge and agree that each covenant contained in </w:t>
      </w:r>
      <w:r>
        <w:rPr>
          <w:rFonts w:ascii="Times New Roman" w:cs="Times New Roman" w:eastAsia="Times New Roman" w:hAnsi="Times New Roman"/>
          <w:sz w:val="19"/>
          <w:szCs w:val="19"/>
          <w:u w:val="single" w:color="auto"/>
          <w:color w:val="auto"/>
        </w:rPr>
        <w:t>Articles VIII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IX</w:t>
      </w:r>
      <w:r>
        <w:rPr>
          <w:rFonts w:ascii="Times New Roman" w:cs="Times New Roman" w:eastAsia="Times New Roman" w:hAnsi="Times New Roman"/>
          <w:sz w:val="19"/>
          <w:szCs w:val="19"/>
          <w:color w:val="auto"/>
        </w:rPr>
        <w:t xml:space="preserve"> hereof shall be given independent effect. Accordingly, the Borrowers shall not engage in any transaction or other act otherwise permitted under any covenant contained in </w:t>
      </w:r>
      <w:r>
        <w:rPr>
          <w:rFonts w:ascii="Times New Roman" w:cs="Times New Roman" w:eastAsia="Times New Roman" w:hAnsi="Times New Roman"/>
          <w:sz w:val="19"/>
          <w:szCs w:val="19"/>
          <w:u w:val="single" w:color="auto"/>
          <w:color w:val="auto"/>
        </w:rPr>
        <w:t>Articles VIII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IX</w:t>
      </w:r>
      <w:r>
        <w:rPr>
          <w:rFonts w:ascii="Times New Roman" w:cs="Times New Roman" w:eastAsia="Times New Roman" w:hAnsi="Times New Roman"/>
          <w:sz w:val="19"/>
          <w:szCs w:val="19"/>
          <w:color w:val="auto"/>
        </w:rPr>
        <w:t xml:space="preserve">, before or after giving effect to such transaction or act, the Borrowers shall or would be in breach of any other covenant contained in </w:t>
      </w:r>
      <w:r>
        <w:rPr>
          <w:rFonts w:ascii="Times New Roman" w:cs="Times New Roman" w:eastAsia="Times New Roman" w:hAnsi="Times New Roman"/>
          <w:sz w:val="19"/>
          <w:szCs w:val="19"/>
          <w:u w:val="single" w:color="auto"/>
          <w:color w:val="auto"/>
        </w:rPr>
        <w:t>Articles VIII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IX</w:t>
      </w:r>
      <w:r>
        <w:rPr>
          <w:rFonts w:ascii="Times New Roman" w:cs="Times New Roman" w:eastAsia="Times New Roman" w:hAnsi="Times New Roman"/>
          <w:sz w:val="19"/>
          <w:szCs w:val="19"/>
          <w:color w:val="auto"/>
        </w:rPr>
        <w:t>.</w:t>
      </w:r>
    </w:p>
    <w:p>
      <w:pPr>
        <w:spacing w:after="0" w:line="160" w:lineRule="exact"/>
        <w:rPr>
          <w:sz w:val="20"/>
          <w:szCs w:val="20"/>
          <w:color w:val="auto"/>
        </w:rPr>
      </w:pPr>
    </w:p>
    <w:p>
      <w:pPr>
        <w:ind w:left="1320"/>
        <w:spacing w:after="0"/>
        <w:tabs>
          <w:tab w:leader="none" w:pos="2820" w:val="left"/>
        </w:tabs>
        <w:rPr>
          <w:sz w:val="20"/>
          <w:szCs w:val="20"/>
          <w:color w:val="auto"/>
        </w:rPr>
      </w:pPr>
      <w:r>
        <w:rPr>
          <w:rFonts w:ascii="Times New Roman" w:cs="Times New Roman" w:eastAsia="Times New Roman" w:hAnsi="Times New Roman"/>
          <w:sz w:val="20"/>
          <w:szCs w:val="20"/>
          <w:color w:val="auto"/>
        </w:rPr>
        <w:t>SECTION 12.20</w:t>
      </w:r>
      <w:r>
        <w:rPr>
          <w:sz w:val="20"/>
          <w:szCs w:val="20"/>
          <w:color w:val="auto"/>
        </w:rPr>
        <w:tab/>
      </w:r>
      <w:r>
        <w:rPr>
          <w:rFonts w:ascii="Times New Roman" w:cs="Times New Roman" w:eastAsia="Times New Roman" w:hAnsi="Times New Roman"/>
          <w:sz w:val="19"/>
          <w:szCs w:val="19"/>
          <w:u w:val="single" w:color="auto"/>
          <w:color w:val="auto"/>
        </w:rPr>
        <w:t>No Advisory or Fiduciary Responsibility</w:t>
      </w:r>
      <w:r>
        <w:rPr>
          <w:rFonts w:ascii="Times New Roman" w:cs="Times New Roman" w:eastAsia="Times New Roman" w:hAnsi="Times New Roman"/>
          <w:sz w:val="19"/>
          <w:szCs w:val="19"/>
          <w:color w:val="auto"/>
        </w:rPr>
        <w:t>.</w:t>
      </w:r>
    </w:p>
    <w:p>
      <w:pPr>
        <w:spacing w:after="0" w:line="225" w:lineRule="exact"/>
        <w:rPr>
          <w:sz w:val="20"/>
          <w:szCs w:val="20"/>
          <w:color w:val="auto"/>
        </w:rPr>
      </w:pPr>
    </w:p>
    <w:p>
      <w:pPr>
        <w:jc w:val="both"/>
        <w:ind w:left="680" w:firstLine="727"/>
        <w:spacing w:after="0" w:line="250" w:lineRule="auto"/>
        <w:tabs>
          <w:tab w:leader="none" w:pos="1928" w:val="left"/>
        </w:tabs>
        <w:numPr>
          <w:ilvl w:val="0"/>
          <w:numId w:val="3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all aspects of each transaction contemplated hereby, each Credit Party acknowledges and agrees, and acknowledges its Affiliates’ understanding, that (i) the facilities provided for hereunder and any related arranging or other services in connection therewith (including in connection with any amendment, waiver or other modification hereof or of any other Loan Document) are an arm’s-length commercial transaction between the Borrowers and their respective Affiliates, on the one hand, and the Administrative Agent, the Arrangers and the Lenders, on the other hand, and each Borrower is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613">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298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447" w:name="page448"/>
    <w:bookmarkEnd w:id="447"/>
    <w:p>
      <w:pPr>
        <w:spacing w:after="0" w:line="94" w:lineRule="exact"/>
        <w:rPr>
          <w:sz w:val="20"/>
          <w:szCs w:val="20"/>
          <w:color w:val="auto"/>
        </w:rPr>
      </w:pPr>
    </w:p>
    <w:p>
      <w:pPr>
        <w:ind w:left="680"/>
        <w:spacing w:after="0" w:line="277" w:lineRule="auto"/>
        <w:rPr>
          <w:sz w:val="20"/>
          <w:szCs w:val="20"/>
          <w:color w:val="auto"/>
        </w:rPr>
      </w:pPr>
      <w:r>
        <w:rPr>
          <w:rFonts w:ascii="Times New Roman" w:cs="Times New Roman" w:eastAsia="Times New Roman" w:hAnsi="Times New Roman"/>
          <w:sz w:val="20"/>
          <w:szCs w:val="20"/>
          <w:color w:val="auto"/>
        </w:rPr>
        <w:t>capable of evaluating and understanding and understands and accepts the terms, risks and conditions of the transactions contemplated hereby and by the other Loan Documents (including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614">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299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448" w:name="page449"/>
    <w:bookmarkEnd w:id="448"/>
    <w:p>
      <w:pPr>
        <w:spacing w:after="0" w:line="201" w:lineRule="exact"/>
        <w:rPr>
          <w:sz w:val="20"/>
          <w:szCs w:val="20"/>
          <w:color w:val="auto"/>
        </w:rPr>
      </w:pPr>
    </w:p>
    <w:p>
      <w:pPr>
        <w:jc w:val="both"/>
        <w:ind w:left="680" w:right="20"/>
        <w:spacing w:after="0" w:line="262" w:lineRule="auto"/>
        <w:rPr>
          <w:sz w:val="20"/>
          <w:szCs w:val="20"/>
          <w:color w:val="auto"/>
        </w:rPr>
      </w:pPr>
      <w:r>
        <w:rPr>
          <w:rFonts w:ascii="Times New Roman" w:cs="Times New Roman" w:eastAsia="Times New Roman" w:hAnsi="Times New Roman"/>
          <w:sz w:val="19"/>
          <w:szCs w:val="19"/>
          <w:color w:val="auto"/>
        </w:rPr>
        <w:t>amendment, waiver or other modification hereof or thereof), (ii) in connection with the process leading to such transaction, each of the Administrative Agent, the Arrangers and the Lenders is and has been acting solely as a principal and is not the financial advisor, agent or fiduciary, for the Borrowers or any of their respective Affiliates, stockholders, creditors or employees or any other Person,</w:t>
      </w:r>
    </w:p>
    <w:p>
      <w:pPr>
        <w:spacing w:after="0" w:line="2" w:lineRule="exact"/>
        <w:rPr>
          <w:sz w:val="20"/>
          <w:szCs w:val="20"/>
          <w:color w:val="auto"/>
        </w:rPr>
      </w:pPr>
    </w:p>
    <w:p>
      <w:pPr>
        <w:jc w:val="both"/>
        <w:ind w:left="680" w:firstLine="4"/>
        <w:spacing w:after="0" w:line="246" w:lineRule="auto"/>
        <w:tabs>
          <w:tab w:leader="none" w:pos="1038" w:val="left"/>
        </w:tabs>
        <w:numPr>
          <w:ilvl w:val="0"/>
          <w:numId w:val="3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Administrative Agent, the Arrangers or the Lenders has assumed or will assume an advisory, agency or fiduciary responsibility in favor of the Borrowers with respect to any of the transactions contemplated hereby or the process leading thereto, including with respect to any amendment, waiver or other modification hereof or of any other Loan Document (irrespective of whether any Arranger or Lender has advised or is currently advising the Borrowers or any of their respective Affiliates on other matters) and none of the Administrative Agent, the Arrangers or the Lenders has any obligation to the Borrowers or any of its Affiliates with respect to the financing transactions contemplated hereby except those obligations expressly set forth herein and in the other Loan Documents, (iv) the Arrangers and the Lenders and their respective Affiliates may be engaged in a broad range of transactions that involve interests that differ from, and may conflict with, those of the Borrowers and their respective Affiliates, and none of the Administrative Agent, the Arrangers or the Lenders has any obligation to disclose any of such interests by virtue of any advisory, agency or fiduciary relationship and (v) the Administrative Agent, the Arrangers and the Lenders have not provided and will not provide any legal, accounting, regulatory or tax advice with respect to any of the transactions contemplated hereby (including any amendment, waiver or other modification hereof or of any other Loan Document) and the Credit Parties have consulted their own legal, accounting, regulatory and tax advisors to the extent they have deemed appropriate.</w:t>
      </w:r>
    </w:p>
    <w:p>
      <w:pPr>
        <w:spacing w:after="0" w:line="176" w:lineRule="exact"/>
        <w:rPr>
          <w:rFonts w:ascii="Times New Roman" w:cs="Times New Roman" w:eastAsia="Times New Roman" w:hAnsi="Times New Roman"/>
          <w:sz w:val="20"/>
          <w:szCs w:val="20"/>
          <w:color w:val="auto"/>
        </w:rPr>
      </w:pPr>
    </w:p>
    <w:p>
      <w:pPr>
        <w:jc w:val="both"/>
        <w:ind w:left="680" w:right="20" w:firstLine="727"/>
        <w:spacing w:after="0" w:line="248" w:lineRule="auto"/>
        <w:tabs>
          <w:tab w:leader="none" w:pos="1926" w:val="left"/>
        </w:tabs>
        <w:numPr>
          <w:ilvl w:val="1"/>
          <w:numId w:val="3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acknowledges and agrees that each Lender, the Arrangers and any Affiliate thereof may lend money to, invest in, and generally engage in any kind of business with, any of the Borrowers, any Affiliate thereof or any other person or entity that may do business with or own securities of any of the foregoing, all as if such Lender, Arranger or Affiliate thereof were not a Lender or Arranger or an Affiliate thereof (or an agent or any other person with any similar role under the Credit Facilities) and without any duty to account therefor to any other Lender, the Arrangers, the Borrowers or any Affiliate of the foregoing. Each Lender, the Arrangers and any Affiliate thereof may accept fees and other consideration from the Borrowers or any Affiliate thereof for services in connection with this Agreement, the Credit Facilities or otherwise without having to account for the same to any other Lender, the Arrangers, the Borrowers or any Affiliate of the foregoing.</w:t>
      </w:r>
    </w:p>
    <w:p>
      <w:pPr>
        <w:spacing w:after="0" w:line="185" w:lineRule="exact"/>
        <w:rPr>
          <w:sz w:val="20"/>
          <w:szCs w:val="20"/>
          <w:color w:val="auto"/>
        </w:rPr>
      </w:pPr>
    </w:p>
    <w:p>
      <w:pPr>
        <w:jc w:val="both"/>
        <w:ind w:left="680" w:right="60" w:firstLine="642"/>
        <w:spacing w:after="0" w:line="250" w:lineRule="auto"/>
        <w:rPr>
          <w:sz w:val="20"/>
          <w:szCs w:val="20"/>
          <w:color w:val="auto"/>
        </w:rPr>
      </w:pPr>
      <w:r>
        <w:rPr>
          <w:rFonts w:ascii="Times New Roman" w:cs="Times New Roman" w:eastAsia="Times New Roman" w:hAnsi="Times New Roman"/>
          <w:sz w:val="20"/>
          <w:szCs w:val="20"/>
          <w:color w:val="auto"/>
        </w:rPr>
        <w:t xml:space="preserve">SECTION 12.21 </w:t>
      </w:r>
      <w:r>
        <w:rPr>
          <w:rFonts w:ascii="Times New Roman" w:cs="Times New Roman" w:eastAsia="Times New Roman" w:hAnsi="Times New Roman"/>
          <w:sz w:val="20"/>
          <w:szCs w:val="20"/>
          <w:u w:val="single" w:color="auto"/>
          <w:color w:val="auto"/>
        </w:rPr>
        <w:t>Inconsistencies with Other Documents</w:t>
      </w:r>
      <w:r>
        <w:rPr>
          <w:rFonts w:ascii="Times New Roman" w:cs="Times New Roman" w:eastAsia="Times New Roman" w:hAnsi="Times New Roman"/>
          <w:sz w:val="20"/>
          <w:szCs w:val="20"/>
          <w:color w:val="auto"/>
        </w:rPr>
        <w:t xml:space="preserve">. In the event there is a conflict or inconsistency between this Agreement and any other Loan Document, the terms of this Agreement shall control;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provision of the Security Documents which imposes additional burdens on the Consolidated Companies or further restricts the rights of the Consolidated Companies or gives the Administrative Agent or Lenders additional rights shall not be deemed to be in conflict or inconsistent with this Agreement and shall be given full force and effect.</w:t>
      </w:r>
    </w:p>
    <w:p>
      <w:pPr>
        <w:spacing w:after="0" w:line="180" w:lineRule="exact"/>
        <w:rPr>
          <w:sz w:val="20"/>
          <w:szCs w:val="20"/>
          <w:color w:val="auto"/>
        </w:rPr>
      </w:pPr>
    </w:p>
    <w:p>
      <w:pPr>
        <w:jc w:val="both"/>
        <w:ind w:left="680" w:right="40" w:firstLine="642"/>
        <w:spacing w:after="0" w:line="254" w:lineRule="auto"/>
        <w:rPr>
          <w:sz w:val="20"/>
          <w:szCs w:val="20"/>
          <w:color w:val="auto"/>
        </w:rPr>
      </w:pPr>
      <w:r>
        <w:rPr>
          <w:rFonts w:ascii="Times New Roman" w:cs="Times New Roman" w:eastAsia="Times New Roman" w:hAnsi="Times New Roman"/>
          <w:sz w:val="20"/>
          <w:szCs w:val="20"/>
          <w:color w:val="auto"/>
        </w:rPr>
        <w:t xml:space="preserve">SECTION 12.22 </w:t>
      </w:r>
      <w:r>
        <w:rPr>
          <w:rFonts w:ascii="Times New Roman" w:cs="Times New Roman" w:eastAsia="Times New Roman" w:hAnsi="Times New Roman"/>
          <w:sz w:val="20"/>
          <w:szCs w:val="20"/>
          <w:u w:val="single" w:color="auto"/>
          <w:color w:val="auto"/>
        </w:rPr>
        <w:t>Acknowledgement and Consent to Bail-In of Affected Financial Institutions</w:t>
      </w:r>
      <w:r>
        <w:rPr>
          <w:rFonts w:ascii="Times New Roman" w:cs="Times New Roman" w:eastAsia="Times New Roman" w:hAnsi="Times New Roman"/>
          <w:sz w:val="20"/>
          <w:szCs w:val="20"/>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615">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300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20"/>
          </w:cols>
          <w:pgMar w:left="320" w:top="1440" w:right="459" w:bottom="1440" w:gutter="0" w:footer="0" w:header="0"/>
        </w:sectPr>
      </w:pPr>
    </w:p>
    <w:bookmarkStart w:id="449" w:name="page450"/>
    <w:bookmarkEnd w:id="449"/>
    <w:p>
      <w:pPr>
        <w:spacing w:after="0" w:line="95" w:lineRule="exact"/>
        <w:rPr>
          <w:sz w:val="20"/>
          <w:szCs w:val="20"/>
          <w:color w:val="auto"/>
        </w:rPr>
      </w:pPr>
    </w:p>
    <w:p>
      <w:pPr>
        <w:ind w:left="680" w:firstLine="646"/>
        <w:spacing w:after="0" w:line="263" w:lineRule="auto"/>
        <w:tabs>
          <w:tab w:leader="none" w:pos="1927" w:val="left"/>
        </w:tabs>
        <w:numPr>
          <w:ilvl w:val="0"/>
          <w:numId w:val="3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616">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301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080"/>
          </w:cols>
          <w:pgMar w:left="320" w:top="1440" w:right="499" w:bottom="1440" w:gutter="0" w:footer="0" w:header="0"/>
        </w:sectPr>
      </w:pPr>
    </w:p>
    <w:bookmarkStart w:id="450" w:name="page451"/>
    <w:bookmarkEnd w:id="450"/>
    <w:p>
      <w:pPr>
        <w:spacing w:after="0" w:line="202" w:lineRule="exact"/>
        <w:rPr>
          <w:sz w:val="20"/>
          <w:szCs w:val="20"/>
          <w:color w:val="auto"/>
        </w:rPr>
      </w:pPr>
    </w:p>
    <w:p>
      <w:pPr>
        <w:ind w:left="1960" w:hanging="633"/>
        <w:spacing w:after="0"/>
        <w:tabs>
          <w:tab w:leader="none" w:pos="1960" w:val="left"/>
        </w:tabs>
        <w:numPr>
          <w:ilvl w:val="0"/>
          <w:numId w:val="3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any Bail-In Action on any such liability, including, if applicable;</w:t>
      </w:r>
    </w:p>
    <w:p>
      <w:pPr>
        <w:spacing w:after="0" w:line="211" w:lineRule="exact"/>
        <w:rPr>
          <w:rFonts w:ascii="Times New Roman" w:cs="Times New Roman" w:eastAsia="Times New Roman" w:hAnsi="Times New Roman"/>
          <w:sz w:val="20"/>
          <w:szCs w:val="20"/>
          <w:color w:val="auto"/>
        </w:rPr>
      </w:pPr>
    </w:p>
    <w:p>
      <w:pPr>
        <w:ind w:left="2600" w:hanging="631"/>
        <w:spacing w:after="0"/>
        <w:tabs>
          <w:tab w:leader="none" w:pos="2600" w:val="left"/>
        </w:tabs>
        <w:numPr>
          <w:ilvl w:val="1"/>
          <w:numId w:val="3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full or in part or cancellation of any such liability;</w:t>
      </w:r>
    </w:p>
    <w:p>
      <w:pPr>
        <w:spacing w:after="0" w:line="224" w:lineRule="exact"/>
        <w:rPr>
          <w:rFonts w:ascii="Times New Roman" w:cs="Times New Roman" w:eastAsia="Times New Roman" w:hAnsi="Times New Roman"/>
          <w:sz w:val="20"/>
          <w:szCs w:val="20"/>
          <w:color w:val="auto"/>
        </w:rPr>
      </w:pPr>
    </w:p>
    <w:p>
      <w:pPr>
        <w:jc w:val="both"/>
        <w:ind w:left="1320" w:right="40" w:firstLine="648"/>
        <w:spacing w:after="0" w:line="250" w:lineRule="auto"/>
        <w:tabs>
          <w:tab w:leader="none" w:pos="2562" w:val="left"/>
        </w:tabs>
        <w:numPr>
          <w:ilvl w:val="1"/>
          <w:numId w:val="3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Documents; or</w:t>
      </w:r>
    </w:p>
    <w:p>
      <w:pPr>
        <w:spacing w:after="0" w:line="191" w:lineRule="exact"/>
        <w:rPr>
          <w:rFonts w:ascii="Times New Roman" w:cs="Times New Roman" w:eastAsia="Times New Roman" w:hAnsi="Times New Roman"/>
          <w:sz w:val="20"/>
          <w:szCs w:val="20"/>
          <w:color w:val="auto"/>
        </w:rPr>
      </w:pPr>
    </w:p>
    <w:p>
      <w:pPr>
        <w:ind w:left="1320" w:right="60" w:firstLine="648"/>
        <w:spacing w:after="0" w:line="263" w:lineRule="auto"/>
        <w:tabs>
          <w:tab w:leader="none" w:pos="2563" w:val="left"/>
        </w:tabs>
        <w:numPr>
          <w:ilvl w:val="1"/>
          <w:numId w:val="3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the applicable Resolution Authority.</w:t>
      </w:r>
    </w:p>
    <w:p>
      <w:pPr>
        <w:spacing w:after="0" w:line="178" w:lineRule="exact"/>
        <w:rPr>
          <w:sz w:val="20"/>
          <w:szCs w:val="20"/>
          <w:color w:val="auto"/>
        </w:rPr>
      </w:pPr>
    </w:p>
    <w:p>
      <w:pPr>
        <w:ind w:left="1320"/>
        <w:spacing w:after="0"/>
        <w:tabs>
          <w:tab w:leader="none" w:pos="2820" w:val="left"/>
        </w:tabs>
        <w:rPr>
          <w:sz w:val="20"/>
          <w:szCs w:val="20"/>
          <w:color w:val="auto"/>
        </w:rPr>
      </w:pPr>
      <w:r>
        <w:rPr>
          <w:rFonts w:ascii="Times New Roman" w:cs="Times New Roman" w:eastAsia="Times New Roman" w:hAnsi="Times New Roman"/>
          <w:sz w:val="20"/>
          <w:szCs w:val="20"/>
          <w:color w:val="auto"/>
        </w:rPr>
        <w:t>SECTION 12.23</w:t>
      </w:r>
      <w:r>
        <w:rPr>
          <w:sz w:val="20"/>
          <w:szCs w:val="20"/>
          <w:color w:val="auto"/>
        </w:rPr>
        <w:tab/>
      </w:r>
      <w:r>
        <w:rPr>
          <w:rFonts w:ascii="Times New Roman" w:cs="Times New Roman" w:eastAsia="Times New Roman" w:hAnsi="Times New Roman"/>
          <w:sz w:val="19"/>
          <w:szCs w:val="19"/>
          <w:u w:val="single" w:color="auto"/>
          <w:color w:val="auto"/>
        </w:rPr>
        <w:t>Certain ERISA Matters</w:t>
      </w:r>
      <w:r>
        <w:rPr>
          <w:rFonts w:ascii="Times New Roman" w:cs="Times New Roman" w:eastAsia="Times New Roman" w:hAnsi="Times New Roman"/>
          <w:sz w:val="19"/>
          <w:szCs w:val="19"/>
          <w:color w:val="auto"/>
        </w:rPr>
        <w:t>.</w:t>
      </w:r>
    </w:p>
    <w:p>
      <w:pPr>
        <w:spacing w:after="0" w:line="211" w:lineRule="exact"/>
        <w:rPr>
          <w:sz w:val="20"/>
          <w:szCs w:val="20"/>
          <w:color w:val="auto"/>
        </w:rPr>
      </w:pPr>
    </w:p>
    <w:p>
      <w:pPr>
        <w:jc w:val="both"/>
        <w:ind w:left="680" w:right="60" w:firstLine="646"/>
        <w:spacing w:after="0" w:line="255" w:lineRule="auto"/>
        <w:tabs>
          <w:tab w:leader="none" w:pos="1927" w:val="left"/>
        </w:tabs>
        <w:numPr>
          <w:ilvl w:val="0"/>
          <w:numId w:val="3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each Arranger and their respective Affiliates, and not, for the avoidance of doubt, to or for the benefit of the Borrower or any other Credit Party, that at least one of the following is and will be true:</w:t>
      </w:r>
    </w:p>
    <w:p>
      <w:pPr>
        <w:spacing w:after="0" w:line="186" w:lineRule="exact"/>
        <w:rPr>
          <w:rFonts w:ascii="Times New Roman" w:cs="Times New Roman" w:eastAsia="Times New Roman" w:hAnsi="Times New Roman"/>
          <w:sz w:val="20"/>
          <w:szCs w:val="20"/>
          <w:color w:val="auto"/>
        </w:rPr>
      </w:pPr>
    </w:p>
    <w:p>
      <w:pPr>
        <w:jc w:val="both"/>
        <w:ind w:left="1320" w:right="60" w:firstLine="648"/>
        <w:spacing w:after="0" w:line="257" w:lineRule="auto"/>
        <w:tabs>
          <w:tab w:leader="none" w:pos="2561" w:val="left"/>
        </w:tabs>
        <w:numPr>
          <w:ilvl w:val="1"/>
          <w:numId w:val="3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is not using “plan assets” (within the meaning of Section 3(42) of ERISA or otherwise) of one or more Benefit Plans with respect to such Lender’s entrance into, participation in, administration of and performance of the Loans, the Letters of Credit or the Commitments;</w:t>
      </w:r>
    </w:p>
    <w:p>
      <w:pPr>
        <w:spacing w:after="0" w:line="183" w:lineRule="exact"/>
        <w:rPr>
          <w:rFonts w:ascii="Times New Roman" w:cs="Times New Roman" w:eastAsia="Times New Roman" w:hAnsi="Times New Roman"/>
          <w:sz w:val="20"/>
          <w:szCs w:val="20"/>
          <w:color w:val="auto"/>
        </w:rPr>
      </w:pPr>
    </w:p>
    <w:p>
      <w:pPr>
        <w:jc w:val="both"/>
        <w:ind w:left="1320" w:right="60" w:firstLine="648"/>
        <w:spacing w:after="0" w:line="250" w:lineRule="auto"/>
        <w:tabs>
          <w:tab w:leader="none" w:pos="2562" w:val="left"/>
        </w:tabs>
        <w:numPr>
          <w:ilvl w:val="1"/>
          <w:numId w:val="3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95" w:lineRule="exact"/>
        <w:rPr>
          <w:rFonts w:ascii="Times New Roman" w:cs="Times New Roman" w:eastAsia="Times New Roman" w:hAnsi="Times New Roman"/>
          <w:sz w:val="20"/>
          <w:szCs w:val="20"/>
          <w:color w:val="auto"/>
        </w:rPr>
      </w:pPr>
    </w:p>
    <w:p>
      <w:pPr>
        <w:jc w:val="both"/>
        <w:ind w:left="1320" w:firstLine="648"/>
        <w:spacing w:after="0" w:line="261" w:lineRule="auto"/>
        <w:tabs>
          <w:tab w:leader="none" w:pos="2563" w:val="left"/>
        </w:tabs>
        <w:numPr>
          <w:ilvl w:val="1"/>
          <w:numId w:val="3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w:t>
      </w:r>
    </w:p>
    <w:p>
      <w:pPr>
        <w:spacing w:after="0" w:line="2" w:lineRule="exact"/>
        <w:rPr>
          <w:rFonts w:ascii="Times New Roman" w:cs="Times New Roman" w:eastAsia="Times New Roman" w:hAnsi="Times New Roman"/>
          <w:sz w:val="19"/>
          <w:szCs w:val="19"/>
          <w:color w:val="auto"/>
        </w:rPr>
      </w:pPr>
    </w:p>
    <w:p>
      <w:pPr>
        <w:jc w:val="both"/>
        <w:ind w:left="1320"/>
        <w:spacing w:after="0" w:line="249"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93" w:lineRule="exact"/>
        <w:rPr>
          <w:rFonts w:ascii="Times New Roman" w:cs="Times New Roman" w:eastAsia="Times New Roman" w:hAnsi="Times New Roman"/>
          <w:sz w:val="19"/>
          <w:szCs w:val="19"/>
          <w:color w:val="auto"/>
        </w:rPr>
      </w:pPr>
    </w:p>
    <w:p>
      <w:pPr>
        <w:ind w:left="1320" w:right="60" w:firstLine="648"/>
        <w:spacing w:after="0" w:line="263" w:lineRule="auto"/>
        <w:tabs>
          <w:tab w:leader="none" w:pos="2566" w:val="left"/>
        </w:tabs>
        <w:numPr>
          <w:ilvl w:val="1"/>
          <w:numId w:val="3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representation, warranty and covenant as may be agreed in writing between the Administrative Agent, in its sole discretion, and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617">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302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20"/>
          </w:cols>
          <w:pgMar w:left="320" w:top="1440" w:right="459" w:bottom="1440" w:gutter="0" w:footer="0" w:header="0"/>
        </w:sectPr>
      </w:pPr>
    </w:p>
    <w:bookmarkStart w:id="451" w:name="page452"/>
    <w:bookmarkEnd w:id="451"/>
    <w:p>
      <w:pPr>
        <w:spacing w:after="0" w:line="202" w:lineRule="exact"/>
        <w:rPr>
          <w:sz w:val="20"/>
          <w:szCs w:val="20"/>
          <w:color w:val="auto"/>
        </w:rPr>
      </w:pPr>
    </w:p>
    <w:p>
      <w:pPr>
        <w:ind w:left="1920" w:hanging="545"/>
        <w:spacing w:after="0"/>
        <w:tabs>
          <w:tab w:leader="none" w:pos="1920" w:val="left"/>
        </w:tabs>
        <w:numPr>
          <w:ilvl w:val="1"/>
          <w:numId w:val="3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addition, unless either (1) sub-clause (i) in the immediately preceding clause (a) is true with respect to a Lender or</w:t>
      </w:r>
    </w:p>
    <w:p>
      <w:pPr>
        <w:spacing w:after="0" w:line="30" w:lineRule="exact"/>
        <w:rPr>
          <w:rFonts w:ascii="Times New Roman" w:cs="Times New Roman" w:eastAsia="Times New Roman" w:hAnsi="Times New Roman"/>
          <w:sz w:val="19"/>
          <w:szCs w:val="19"/>
          <w:color w:val="auto"/>
        </w:rPr>
      </w:pPr>
    </w:p>
    <w:p>
      <w:pPr>
        <w:ind w:left="980" w:hanging="296"/>
        <w:spacing w:after="0"/>
        <w:tabs>
          <w:tab w:leader="none" w:pos="980" w:val="left"/>
        </w:tabs>
        <w:numPr>
          <w:ilvl w:val="0"/>
          <w:numId w:val="3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Lender has provided another representation, warranty and covenant in accordance with sub-clause (iv) in the immediately</w:t>
      </w:r>
    </w:p>
    <w:p>
      <w:pPr>
        <w:spacing w:after="0" w:line="3" w:lineRule="exact"/>
        <w:rPr>
          <w:sz w:val="20"/>
          <w:szCs w:val="20"/>
          <w:color w:val="auto"/>
        </w:rPr>
      </w:pPr>
    </w:p>
    <w:p>
      <w:pPr>
        <w:jc w:val="both"/>
        <w:ind w:left="680"/>
        <w:spacing w:after="0" w:line="246" w:lineRule="auto"/>
        <w:rPr>
          <w:sz w:val="20"/>
          <w:szCs w:val="20"/>
          <w:color w:val="auto"/>
        </w:rPr>
      </w:pPr>
      <w:r>
        <w:rPr>
          <w:rFonts w:ascii="Times New Roman" w:cs="Times New Roman" w:eastAsia="Times New Roman" w:hAnsi="Times New Roman"/>
          <w:sz w:val="20"/>
          <w:szCs w:val="20"/>
          <w:color w:val="auto"/>
        </w:rPr>
        <w:t>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each Arranger and their respective Affiliates, and not, for the avoidance of doubt, to or for the benefit of the Borrower or any other Credit Party, that none of the Administrative Agent, any Arranger and their respective Affiliates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200" w:lineRule="exact"/>
        <w:rPr>
          <w:sz w:val="20"/>
          <w:szCs w:val="20"/>
          <w:color w:val="auto"/>
        </w:rPr>
      </w:pPr>
    </w:p>
    <w:p>
      <w:pPr>
        <w:jc w:val="both"/>
        <w:ind w:left="680" w:firstLine="642"/>
        <w:spacing w:after="0" w:line="248" w:lineRule="auto"/>
        <w:rPr>
          <w:sz w:val="20"/>
          <w:szCs w:val="20"/>
          <w:color w:val="auto"/>
        </w:rPr>
      </w:pPr>
      <w:r>
        <w:rPr>
          <w:rFonts w:ascii="Times New Roman" w:cs="Times New Roman" w:eastAsia="Times New Roman" w:hAnsi="Times New Roman"/>
          <w:sz w:val="20"/>
          <w:szCs w:val="20"/>
          <w:color w:val="auto"/>
        </w:rPr>
        <w:t xml:space="preserve">SECTION 12.24 </w:t>
      </w:r>
      <w:r>
        <w:rPr>
          <w:rFonts w:ascii="Times New Roman" w:cs="Times New Roman" w:eastAsia="Times New Roman" w:hAnsi="Times New Roman"/>
          <w:sz w:val="20"/>
          <w:szCs w:val="20"/>
          <w:u w:val="single" w:color="auto"/>
          <w:color w:val="auto"/>
        </w:rPr>
        <w:t>Acknowledgement Regarding Any Supported QFCs</w:t>
      </w:r>
      <w:r>
        <w:rPr>
          <w:rFonts w:ascii="Times New Roman" w:cs="Times New Roman" w:eastAsia="Times New Roman" w:hAnsi="Times New Roman"/>
          <w:sz w:val="20"/>
          <w:szCs w:val="20"/>
          <w:color w:val="auto"/>
        </w:rPr>
        <w:t xml:space="preserve">. To the extent that the Loan Documents </w:t>
      </w:r>
      <w:r>
        <w:rPr>
          <w:rFonts w:ascii="Times New Roman" w:cs="Times New Roman" w:eastAsia="Times New Roman" w:hAnsi="Times New Roman"/>
          <w:sz w:val="20"/>
          <w:szCs w:val="20"/>
          <w:u w:val="single" w:color="auto"/>
          <w:color w:val="auto"/>
        </w:rPr>
        <w:t>provide</w:t>
      </w:r>
      <w:r>
        <w:rPr>
          <w:rFonts w:ascii="Times New Roman" w:cs="Times New Roman" w:eastAsia="Times New Roman" w:hAnsi="Times New Roman"/>
          <w:sz w:val="20"/>
          <w:szCs w:val="20"/>
          <w:color w:val="auto"/>
        </w:rPr>
        <w:t xml:space="preserve"> support, through a guarantee or otherwise, for Hedge Agreements or any other agreement or instrument that is a QFC (such support, “</w:t>
      </w:r>
      <w:r>
        <w:rPr>
          <w:rFonts w:ascii="Times New Roman" w:cs="Times New Roman" w:eastAsia="Times New Roman" w:hAnsi="Times New Roman"/>
          <w:sz w:val="20"/>
          <w:szCs w:val="20"/>
          <w:u w:val="single" w:color="auto"/>
          <w:color w:val="auto"/>
        </w:rPr>
        <w:t>QFC Credit Support</w:t>
      </w:r>
      <w:r>
        <w:rPr>
          <w:rFonts w:ascii="Times New Roman" w:cs="Times New Roman" w:eastAsia="Times New Roman" w:hAnsi="Times New Roman"/>
          <w:sz w:val="20"/>
          <w:szCs w:val="20"/>
          <w:color w:val="auto"/>
        </w:rPr>
        <w:t>” and, each such QFC, a “</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the parties acknowledge and agree as follows with respect to the resolution power of the FDIC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0"/>
          <w:szCs w:val="20"/>
          <w:u w:val="single" w:color="auto"/>
          <w:color w:val="auto"/>
        </w:rPr>
        <w:t>U.S. Special Resolution Regimes</w:t>
      </w:r>
      <w:r>
        <w:rPr>
          <w:rFonts w:ascii="Times New Roman" w:cs="Times New Roman" w:eastAsia="Times New Roman" w:hAnsi="Times New Roman"/>
          <w:sz w:val="20"/>
          <w:szCs w:val="20"/>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5" w:lineRule="exact"/>
        <w:rPr>
          <w:sz w:val="20"/>
          <w:szCs w:val="20"/>
          <w:color w:val="auto"/>
        </w:rPr>
      </w:pPr>
    </w:p>
    <w:p>
      <w:pPr>
        <w:jc w:val="both"/>
        <w:ind w:left="680" w:right="20" w:firstLine="646"/>
        <w:spacing w:after="0" w:line="247" w:lineRule="auto"/>
        <w:tabs>
          <w:tab w:leader="none" w:pos="1927" w:val="left"/>
        </w:tabs>
        <w:numPr>
          <w:ilvl w:val="0"/>
          <w:numId w:val="3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a Covered Entity that is party to a Supported QFC (each, a “</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2" w:lineRule="exact"/>
        <w:rPr>
          <w:rFonts w:ascii="Times New Roman" w:cs="Times New Roman" w:eastAsia="Times New Roman" w:hAnsi="Times New Roman"/>
          <w:sz w:val="20"/>
          <w:szCs w:val="20"/>
          <w:color w:val="auto"/>
        </w:rPr>
      </w:pPr>
    </w:p>
    <w:p>
      <w:pPr>
        <w:ind w:left="1960" w:hanging="633"/>
        <w:spacing w:after="0"/>
        <w:tabs>
          <w:tab w:leader="none" w:pos="1960" w:val="left"/>
        </w:tabs>
        <w:numPr>
          <w:ilvl w:val="0"/>
          <w:numId w:val="3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used in this </w:t>
      </w:r>
      <w:r>
        <w:rPr>
          <w:rFonts w:ascii="Times New Roman" w:cs="Times New Roman" w:eastAsia="Times New Roman" w:hAnsi="Times New Roman"/>
          <w:sz w:val="20"/>
          <w:szCs w:val="20"/>
          <w:u w:val="single" w:color="auto"/>
          <w:color w:val="auto"/>
        </w:rPr>
        <w:t>Section 12.24</w:t>
      </w:r>
      <w:r>
        <w:rPr>
          <w:rFonts w:ascii="Times New Roman" w:cs="Times New Roman" w:eastAsia="Times New Roman" w:hAnsi="Times New Roman"/>
          <w:sz w:val="20"/>
          <w:szCs w:val="20"/>
          <w:color w:val="auto"/>
        </w:rPr>
        <w:t>, the following terms have the following meanings:</w:t>
      </w:r>
    </w:p>
    <w:p>
      <w:pPr>
        <w:spacing w:after="0" w:line="225" w:lineRule="exact"/>
        <w:rPr>
          <w:sz w:val="20"/>
          <w:szCs w:val="20"/>
          <w:color w:val="auto"/>
        </w:rPr>
      </w:pPr>
    </w:p>
    <w:p>
      <w:pPr>
        <w:ind w:left="1320" w:right="300" w:firstLine="642"/>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BHC Act Affiliate</w:t>
      </w:r>
      <w:r>
        <w:rPr>
          <w:rFonts w:ascii="Times New Roman" w:cs="Times New Roman" w:eastAsia="Times New Roman" w:hAnsi="Times New Roman"/>
          <w:sz w:val="20"/>
          <w:szCs w:val="20"/>
          <w:color w:val="auto"/>
        </w:rPr>
        <w:t>” of a party means an “affiliate” (as such term is defined under, and interpreted in accordance with, 12 U.S.C. 1841(k)) of such party.</w:t>
      </w:r>
    </w:p>
    <w:p>
      <w:pPr>
        <w:spacing w:after="0" w:line="17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Entity</w:t>
      </w:r>
      <w:r>
        <w:rPr>
          <w:rFonts w:ascii="Times New Roman" w:cs="Times New Roman" w:eastAsia="Times New Roman" w:hAnsi="Times New Roman"/>
          <w:sz w:val="20"/>
          <w:szCs w:val="20"/>
          <w:color w:val="auto"/>
        </w:rPr>
        <w:t>” means any of the following:</w:t>
      </w:r>
    </w:p>
    <w:p>
      <w:pPr>
        <w:spacing w:after="0" w:line="211" w:lineRule="exact"/>
        <w:rPr>
          <w:sz w:val="20"/>
          <w:szCs w:val="20"/>
          <w:color w:val="auto"/>
        </w:rPr>
      </w:pPr>
    </w:p>
    <w:p>
      <w:pPr>
        <w:ind w:left="3200" w:hanging="590"/>
        <w:spacing w:after="0"/>
        <w:tabs>
          <w:tab w:leader="none" w:pos="3200" w:val="left"/>
        </w:tabs>
        <w:numPr>
          <w:ilvl w:val="0"/>
          <w:numId w:val="3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entity” as that term is defined in, and interpreted in accordance with, 12 C.F.R. §</w:t>
      </w:r>
    </w:p>
    <w:p>
      <w:pPr>
        <w:spacing w:after="0" w:line="24" w:lineRule="exact"/>
        <w:rPr>
          <w:rFonts w:ascii="Times New Roman" w:cs="Times New Roman" w:eastAsia="Times New Roman" w:hAnsi="Times New Roman"/>
          <w:sz w:val="20"/>
          <w:szCs w:val="20"/>
          <w:color w:val="auto"/>
        </w:rPr>
      </w:pPr>
    </w:p>
    <w:p>
      <w:pPr>
        <w:ind w:left="19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252.82(b);</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618">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303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452" w:name="page453"/>
    <w:bookmarkEnd w:id="452"/>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619">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304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0139"/>
          </w:cols>
          <w:pgMar w:left="320" w:top="1440" w:right="1440" w:bottom="1440" w:gutter="0" w:footer="0" w:header="0"/>
        </w:sectPr>
      </w:pPr>
    </w:p>
    <w:bookmarkStart w:id="453" w:name="page454"/>
    <w:bookmarkEnd w:id="453"/>
    <w:p>
      <w:pPr>
        <w:spacing w:after="0" w:line="201" w:lineRule="exact"/>
        <w:rPr>
          <w:sz w:val="20"/>
          <w:szCs w:val="20"/>
          <w:color w:val="auto"/>
        </w:rPr>
      </w:pPr>
    </w:p>
    <w:p>
      <w:pPr>
        <w:ind w:left="3220" w:hanging="610"/>
        <w:spacing w:after="0"/>
        <w:tabs>
          <w:tab w:leader="none" w:pos="3220" w:val="left"/>
        </w:tabs>
        <w:numPr>
          <w:ilvl w:val="0"/>
          <w:numId w:val="3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“covered bank” as that term is defined in, and interpreted in accordance with, 12 C.F.R. § 47.3(b);</w:t>
      </w:r>
    </w:p>
    <w:p>
      <w:pPr>
        <w:spacing w:after="0" w:line="3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or</w:t>
      </w:r>
    </w:p>
    <w:p>
      <w:pPr>
        <w:spacing w:after="0" w:line="203" w:lineRule="exact"/>
        <w:rPr>
          <w:sz w:val="20"/>
          <w:szCs w:val="20"/>
          <w:color w:val="auto"/>
        </w:rPr>
      </w:pPr>
    </w:p>
    <w:p>
      <w:pPr>
        <w:ind w:left="3220" w:hanging="611"/>
        <w:spacing w:after="0"/>
        <w:tabs>
          <w:tab w:leader="none" w:pos="3220" w:val="left"/>
        </w:tabs>
        <w:numPr>
          <w:ilvl w:val="0"/>
          <w:numId w:val="3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“covered FSI” as that term is defined in, and interpreted in accordance with, 12 C.F.R. § 382.2(b).</w:t>
      </w:r>
    </w:p>
    <w:p>
      <w:pPr>
        <w:spacing w:after="0" w:line="223" w:lineRule="exact"/>
        <w:rPr>
          <w:sz w:val="20"/>
          <w:szCs w:val="20"/>
          <w:color w:val="auto"/>
        </w:rPr>
      </w:pPr>
    </w:p>
    <w:p>
      <w:pPr>
        <w:ind w:left="1320" w:right="140" w:firstLine="642"/>
        <w:spacing w:after="0" w:line="27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Right</w:t>
      </w:r>
      <w:r>
        <w:rPr>
          <w:rFonts w:ascii="Times New Roman" w:cs="Times New Roman" w:eastAsia="Times New Roman" w:hAnsi="Times New Roman"/>
          <w:sz w:val="20"/>
          <w:szCs w:val="20"/>
          <w:color w:val="auto"/>
        </w:rPr>
        <w:t>” has the meaning assigned to that term in, and shall be interpreted in accordance with, 12 C.F.R. §§ 252.81, 47.2 or 382.1, as applicable.</w:t>
      </w:r>
    </w:p>
    <w:p>
      <w:pPr>
        <w:spacing w:after="0" w:line="151" w:lineRule="exact"/>
        <w:rPr>
          <w:sz w:val="20"/>
          <w:szCs w:val="20"/>
          <w:color w:val="auto"/>
        </w:rPr>
      </w:pPr>
    </w:p>
    <w:p>
      <w:pPr>
        <w:ind w:left="1320" w:right="960" w:firstLine="642"/>
        <w:spacing w:after="0" w:line="27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w:t>
      </w:r>
      <w:r>
        <w:rPr>
          <w:rFonts w:ascii="Times New Roman" w:cs="Times New Roman" w:eastAsia="Times New Roman" w:hAnsi="Times New Roman"/>
          <w:sz w:val="20"/>
          <w:szCs w:val="20"/>
          <w:color w:val="auto"/>
        </w:rPr>
        <w:t>” has the meaning assigned to the term “qualified financial contract” in, and shall be interpreted in accordance with, 12 U.S.C. 5390(c)(8)(D).</w:t>
      </w:r>
    </w:p>
    <w:p>
      <w:pPr>
        <w:spacing w:after="0" w:line="151" w:lineRule="exact"/>
        <w:rPr>
          <w:sz w:val="20"/>
          <w:szCs w:val="20"/>
          <w:color w:val="auto"/>
        </w:rPr>
      </w:pPr>
    </w:p>
    <w:p>
      <w:pPr>
        <w:jc w:val="both"/>
        <w:ind w:left="680" w:firstLine="642"/>
        <w:spacing w:after="0" w:line="249" w:lineRule="auto"/>
        <w:rPr>
          <w:sz w:val="20"/>
          <w:szCs w:val="20"/>
          <w:color w:val="auto"/>
        </w:rPr>
      </w:pPr>
      <w:r>
        <w:rPr>
          <w:rFonts w:ascii="Times New Roman" w:cs="Times New Roman" w:eastAsia="Times New Roman" w:hAnsi="Times New Roman"/>
          <w:sz w:val="20"/>
          <w:szCs w:val="20"/>
          <w:color w:val="auto"/>
        </w:rPr>
        <w:t xml:space="preserve">SECTION 12.25 </w:t>
      </w:r>
      <w:r>
        <w:rPr>
          <w:rFonts w:ascii="Times New Roman" w:cs="Times New Roman" w:eastAsia="Times New Roman" w:hAnsi="Times New Roman"/>
          <w:sz w:val="20"/>
          <w:szCs w:val="20"/>
          <w:u w:val="single" w:color="auto"/>
          <w:color w:val="auto"/>
        </w:rPr>
        <w:t>Amendment and Restatement; No Novation</w:t>
      </w:r>
      <w:r>
        <w:rPr>
          <w:rFonts w:ascii="Times New Roman" w:cs="Times New Roman" w:eastAsia="Times New Roman" w:hAnsi="Times New Roman"/>
          <w:sz w:val="20"/>
          <w:szCs w:val="20"/>
          <w:color w:val="auto"/>
        </w:rPr>
        <w:t>. This Agreement constitutes an amendment and restatement of the Existing Credit Agreement, effective from and after the Closing Date. The execution and delivery of this Agreement shall not constitute a novation of any indebtedness or other obligations owing to the Lenders or the Administrative Agent under the Existing Credit Agreement based on facts or events occurring or existing prior to the execution and delivery of this Agreement. On the Closing Date, the credit facilities described in the Existing Credit Agreement, shall be amended, supplemented, modified and restated in their entirety by the facilities described herein, and all loans and other obligations of any Borrower outstanding as of such date under the Existing Credit Agreement, shall be deemed to be loans and obligations outstanding under the corresponding facilities described herein, without any further action by any Person, except that the Administrative Agent shall make such transfers of funds as are necessary in order that the outstanding balance of such Loans, together with any Loans funded on the Closing Date, reflect the respective Commitments of the Lenders hereunder.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Signature pages omitted</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sz w:val="1"/>
          <w:szCs w:val="1"/>
          <w:color w:val="auto"/>
        </w:rPr>
        <w:drawing>
          <wp:inline distT="0" distB="0" distL="0" distR="0">
            <wp:extent cx="8255" cy="101600"/>
            <wp:effectExtent l="0" t="0" r="0" b="0"/>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620">
                      <a:extLst>
                        <a:ext uri="{28A0092B-C50C-407E-A947-70E740481C1C}"/>
                      </a:extLst>
                    </a:blip>
                    <a:srcRect/>
                    <a:stretch>
                      <a:fillRect/>
                    </a:stretch>
                  </pic:blipFill>
                  <pic:spPr bwMode="auto">
                    <a:xfrm>
                      <a:off x="0" y="0"/>
                      <a:ext cx="8255" cy="10160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305 </w:t>
      </w:r>
      <w:r>
        <w:rPr>
          <w:rFonts w:ascii="Times New Roman" w:cs="Times New Roman" w:eastAsia="Times New Roman" w:hAnsi="Times New Roman"/>
          <w:sz w:val="14"/>
          <w:szCs w:val="14"/>
          <w:color w:val="FF0000"/>
          <w:strike w:val="1"/>
        </w:rPr>
        <w:t>186545342_4</w:t>
      </w:r>
      <w:r>
        <w:rPr>
          <w:rFonts w:ascii="Times New Roman" w:cs="Times New Roman" w:eastAsia="Times New Roman" w:hAnsi="Times New Roman"/>
          <w:sz w:val="14"/>
          <w:szCs w:val="14"/>
          <w:u w:val="single" w:color="auto"/>
          <w:color w:val="0000FF"/>
        </w:rPr>
        <w:t>187749669_2</w:t>
      </w:r>
    </w:p>
    <w:p>
      <w:pPr>
        <w:sectPr>
          <w:pgSz w:w="11900" w:h="16838" w:orient="portrait"/>
          <w:cols w:equalWidth="0" w:num="1">
            <w:col w:w="11100"/>
          </w:cols>
          <w:pgMar w:left="320" w:top="1440" w:right="479" w:bottom="1440" w:gutter="0" w:footer="0" w:header="0"/>
        </w:sectPr>
      </w:pPr>
    </w:p>
    <w:bookmarkStart w:id="454" w:name="page455"/>
    <w:bookmarkEnd w:id="454"/>
    <w:p>
      <w:pPr>
        <w:jc w:val="center"/>
        <w:spacing w:after="0"/>
        <w:rPr>
          <w:sz w:val="20"/>
          <w:szCs w:val="20"/>
          <w:color w:val="auto"/>
        </w:rPr>
      </w:pPr>
      <w:r>
        <w:rPr>
          <w:rFonts w:ascii="Times New Roman" w:cs="Times New Roman" w:eastAsia="Times New Roman" w:hAnsi="Times New Roman"/>
          <w:sz w:val="20"/>
          <w:szCs w:val="20"/>
          <w:u w:val="single" w:color="auto"/>
          <w:color w:val="auto"/>
        </w:rPr>
        <w:t>ANNEX B</w:t>
      </w:r>
    </w:p>
    <w:p>
      <w:pPr>
        <w:spacing w:after="0" w:line="22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9"/>
          <w:szCs w:val="19"/>
          <w:color w:val="auto"/>
        </w:rPr>
        <w:t xml:space="preserve">Amended </w:t>
      </w:r>
      <w:r>
        <w:rPr>
          <w:rFonts w:ascii="Times New Roman" w:cs="Times New Roman" w:eastAsia="Times New Roman" w:hAnsi="Times New Roman"/>
          <w:sz w:val="19"/>
          <w:szCs w:val="19"/>
          <w:u w:val="single" w:color="auto"/>
          <w:color w:val="auto"/>
        </w:rPr>
        <w:t>Exhibits 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E</w:t>
      </w:r>
      <w:r>
        <w:rPr>
          <w:rFonts w:ascii="Times New Roman" w:cs="Times New Roman" w:eastAsia="Times New Roman" w:hAnsi="Times New Roman"/>
          <w:sz w:val="19"/>
          <w:szCs w:val="19"/>
          <w:color w:val="auto"/>
        </w:rPr>
        <w:t xml:space="preserve"> to Credit Agreement</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attached]</w:t>
      </w:r>
    </w:p>
    <w:p>
      <w:pPr>
        <w:sectPr>
          <w:pgSz w:w="11900" w:h="16838" w:orient="portrait"/>
          <w:cols w:equalWidth="0" w:num="1">
            <w:col w:w="9019"/>
          </w:cols>
          <w:pgMar w:left="1440" w:top="1400" w:right="1440" w:bottom="1440" w:gutter="0" w:footer="0" w:header="0"/>
        </w:sectPr>
      </w:pPr>
    </w:p>
    <w:bookmarkStart w:id="455" w:name="page456"/>
    <w:bookmarkEnd w:id="455"/>
    <w:p>
      <w:pPr>
        <w:jc w:val="center"/>
        <w:spacing w:after="0"/>
        <w:rPr>
          <w:sz w:val="20"/>
          <w:szCs w:val="20"/>
          <w:color w:val="auto"/>
        </w:rPr>
      </w:pPr>
      <w:r>
        <w:rPr>
          <w:rFonts w:ascii="Times New Roman" w:cs="Times New Roman" w:eastAsia="Times New Roman" w:hAnsi="Times New Roman"/>
          <w:sz w:val="20"/>
          <w:szCs w:val="20"/>
          <w:u w:val="single" w:color="auto"/>
          <w:color w:val="auto"/>
        </w:rPr>
        <w:t>EXHIBIT B</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to</w:t>
      </w:r>
    </w:p>
    <w:p>
      <w:pPr>
        <w:jc w:val="center"/>
        <w:spacing w:after="0"/>
        <w:rPr>
          <w:sz w:val="20"/>
          <w:szCs w:val="20"/>
          <w:color w:val="auto"/>
        </w:rPr>
      </w:pPr>
      <w:r>
        <w:rPr>
          <w:rFonts w:ascii="Times New Roman" w:cs="Times New Roman" w:eastAsia="Times New Roman" w:hAnsi="Times New Roman"/>
          <w:sz w:val="20"/>
          <w:szCs w:val="20"/>
          <w:color w:val="auto"/>
        </w:rPr>
        <w:t>Second Amended and Restated Credit Agreement dated as of August 27,</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2021</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by and among Centuri Group,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and each Additional Borrower that becomes a party thereto as a US Borrower, as US Borrowers,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Centuri Canada Division Inc.</w:t>
      </w:r>
    </w:p>
    <w:p>
      <w:pPr>
        <w:jc w:val="center"/>
        <w:spacing w:after="0"/>
        <w:rPr>
          <w:sz w:val="20"/>
          <w:szCs w:val="20"/>
          <w:color w:val="auto"/>
        </w:rPr>
      </w:pPr>
      <w:r>
        <w:rPr>
          <w:rFonts w:ascii="Times New Roman" w:cs="Times New Roman" w:eastAsia="Times New Roman" w:hAnsi="Times New Roman"/>
          <w:sz w:val="19"/>
          <w:szCs w:val="19"/>
          <w:color w:val="auto"/>
        </w:rPr>
        <w:t>and each Additional Borrower that becomes a party thereto as a Canadian Borrower, as Canadian Borrowers,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lenders party thereto, as Lenders,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and</w:t>
      </w:r>
    </w:p>
    <w:p>
      <w:pPr>
        <w:jc w:val="center"/>
        <w:spacing w:after="0"/>
        <w:rPr>
          <w:sz w:val="20"/>
          <w:szCs w:val="20"/>
          <w:color w:val="auto"/>
        </w:rPr>
      </w:pPr>
      <w:r>
        <w:rPr>
          <w:rFonts w:ascii="Times New Roman" w:cs="Times New Roman" w:eastAsia="Times New Roman" w:hAnsi="Times New Roman"/>
          <w:sz w:val="20"/>
          <w:szCs w:val="20"/>
          <w:color w:val="auto"/>
        </w:rPr>
        <w:t>Wells Fargo Bank, National Association, as Administrative Agent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FORM OF NOTICE OF BORROWING</w:t>
      </w:r>
    </w:p>
    <w:p>
      <w:pPr>
        <w:sectPr>
          <w:pgSz w:w="11900" w:h="16838" w:orient="portrait"/>
          <w:cols w:equalWidth="0" w:num="1">
            <w:col w:w="9019"/>
          </w:cols>
          <w:pgMar w:left="1440" w:top="1400" w:right="1440" w:bottom="1440" w:gutter="0" w:footer="0" w:header="0"/>
        </w:sectPr>
      </w:pPr>
    </w:p>
    <w:bookmarkStart w:id="456" w:name="page457"/>
    <w:bookmarkEnd w:id="456"/>
    <w:p>
      <w:pPr>
        <w:spacing w:after="0" w:line="186" w:lineRule="auto"/>
        <w:framePr w:w="6620" w:h="143" w:wrap="auto" w:vAnchor="page" w:hAnchor="page" w:x="4260" w:y="6804"/>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(Complete with an amount in accordance with </w:t>
      </w:r>
      <w:r>
        <w:rPr>
          <w:rFonts w:ascii="Times New Roman" w:cs="Times New Roman" w:eastAsia="Times New Roman" w:hAnsi="Times New Roman"/>
          <w:sz w:val="16"/>
          <w:szCs w:val="16"/>
          <w:u w:val="single" w:color="auto"/>
          <w:color w:val="auto"/>
        </w:rPr>
        <w:t>Section 2.3</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5.13</w:t>
      </w:r>
      <w:r>
        <w:rPr>
          <w:rFonts w:ascii="Times New Roman" w:cs="Times New Roman" w:eastAsia="Times New Roman" w:hAnsi="Times New Roman"/>
          <w:sz w:val="16"/>
          <w:szCs w:val="16"/>
          <w:color w:val="auto"/>
        </w:rPr>
        <w:t>, as applicable, of the Credit</w:t>
      </w:r>
    </w:p>
    <w:p>
      <w:pPr>
        <w:jc w:val="center"/>
        <w:ind w:right="-99"/>
        <w:spacing w:after="0"/>
        <w:rPr>
          <w:sz w:val="20"/>
          <w:szCs w:val="20"/>
          <w:color w:val="auto"/>
        </w:rPr>
      </w:pPr>
      <w:r>
        <w:rPr>
          <w:rFonts w:ascii="Times New Roman" w:cs="Times New Roman" w:eastAsia="Times New Roman" w:hAnsi="Times New Roman"/>
          <w:sz w:val="20"/>
          <w:szCs w:val="20"/>
          <w:u w:val="single" w:color="auto"/>
          <w:color w:val="auto"/>
        </w:rPr>
        <w:t>NOTICE OF BORROWING</w:t>
      </w:r>
    </w:p>
    <w:p>
      <w:pPr>
        <w:spacing w:after="0" w:line="200" w:lineRule="exact"/>
        <w:rPr>
          <w:rFonts w:ascii="Times New Roman" w:cs="Times New Roman" w:eastAsia="Times New Roman" w:hAnsi="Times New Roman"/>
          <w:sz w:val="16"/>
          <w:szCs w:val="16"/>
          <w:color w:val="auto"/>
        </w:rPr>
      </w:pPr>
    </w:p>
    <w:p>
      <w:pPr>
        <w:spacing w:after="0" w:line="252" w:lineRule="exact"/>
        <w:rPr>
          <w:rFonts w:ascii="Times New Roman" w:cs="Times New Roman" w:eastAsia="Times New Roman" w:hAnsi="Times New Roman"/>
          <w:sz w:val="16"/>
          <w:szCs w:val="16"/>
          <w:color w:val="auto"/>
        </w:rPr>
      </w:pPr>
    </w:p>
    <w:p>
      <w:pPr>
        <w:ind w:left="4980"/>
        <w:spacing w:after="0"/>
        <w:rPr>
          <w:sz w:val="20"/>
          <w:szCs w:val="20"/>
          <w:color w:val="auto"/>
        </w:rPr>
      </w:pPr>
      <w:r>
        <w:rPr>
          <w:rFonts w:ascii="Times New Roman" w:cs="Times New Roman" w:eastAsia="Times New Roman" w:hAnsi="Times New Roman"/>
          <w:sz w:val="20"/>
          <w:szCs w:val="20"/>
          <w:color w:val="auto"/>
        </w:rPr>
        <w:t>Dated as of:</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3799840</wp:posOffset>
            </wp:positionH>
            <wp:positionV relativeFrom="paragraph">
              <wp:posOffset>-12065</wp:posOffset>
            </wp:positionV>
            <wp:extent cx="12446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621">
                      <a:extLst>
                        <a:ext uri="{28A0092B-C50C-407E-A947-70E740481C1C}"/>
                      </a:extLst>
                    </a:blip>
                    <a:srcRect/>
                    <a:stretch>
                      <a:fillRect/>
                    </a:stretch>
                  </pic:blipFill>
                  <pic:spPr bwMode="auto">
                    <a:xfrm>
                      <a:off x="0" y="0"/>
                      <a:ext cx="124460" cy="8255"/>
                    </a:xfrm>
                    <a:prstGeom prst="rect">
                      <a:avLst/>
                    </a:prstGeom>
                    <a:noFill/>
                  </pic:spPr>
                </pic:pic>
              </a:graphicData>
            </a:graphic>
          </wp:anchor>
        </w:drawing>
      </w:r>
    </w:p>
    <w:p>
      <w:pPr>
        <w:spacing w:after="0" w:line="231" w:lineRule="exact"/>
        <w:rPr>
          <w:rFonts w:ascii="Times New Roman" w:cs="Times New Roman" w:eastAsia="Times New Roman" w:hAnsi="Times New Roman"/>
          <w:sz w:val="16"/>
          <w:szCs w:val="16"/>
          <w:color w:val="auto"/>
        </w:rPr>
      </w:pPr>
    </w:p>
    <w:p>
      <w:pPr>
        <w:ind w:left="640"/>
        <w:spacing w:after="0"/>
        <w:rPr>
          <w:sz w:val="20"/>
          <w:szCs w:val="20"/>
          <w:color w:val="auto"/>
        </w:rPr>
      </w:pPr>
      <w:r>
        <w:rPr>
          <w:rFonts w:ascii="Times New Roman" w:cs="Times New Roman" w:eastAsia="Times New Roman" w:hAnsi="Times New Roman"/>
          <w:sz w:val="20"/>
          <w:szCs w:val="20"/>
          <w:color w:val="auto"/>
        </w:rPr>
        <w:t>Wells Fargo Bank, National Association, as Administrative Agent</w:t>
      </w:r>
    </w:p>
    <w:p>
      <w:pPr>
        <w:spacing w:after="0" w:line="19" w:lineRule="exact"/>
        <w:rPr>
          <w:rFonts w:ascii="Times New Roman" w:cs="Times New Roman" w:eastAsia="Times New Roman" w:hAnsi="Times New Roman"/>
          <w:sz w:val="16"/>
          <w:szCs w:val="16"/>
          <w:color w:val="auto"/>
        </w:rPr>
      </w:pPr>
    </w:p>
    <w:p>
      <w:pPr>
        <w:ind w:left="640"/>
        <w:spacing w:after="0"/>
        <w:rPr>
          <w:sz w:val="20"/>
          <w:szCs w:val="20"/>
          <w:color w:val="auto"/>
        </w:rPr>
      </w:pPr>
      <w:r>
        <w:rPr>
          <w:rFonts w:ascii="Times New Roman" w:cs="Times New Roman" w:eastAsia="Times New Roman" w:hAnsi="Times New Roman"/>
          <w:sz w:val="20"/>
          <w:szCs w:val="20"/>
          <w:color w:val="auto"/>
        </w:rPr>
        <w:t>MAC D 1109-019</w:t>
      </w:r>
    </w:p>
    <w:p>
      <w:pPr>
        <w:spacing w:after="0" w:line="3" w:lineRule="exact"/>
        <w:rPr>
          <w:rFonts w:ascii="Times New Roman" w:cs="Times New Roman" w:eastAsia="Times New Roman" w:hAnsi="Times New Roman"/>
          <w:sz w:val="16"/>
          <w:szCs w:val="16"/>
          <w:color w:val="auto"/>
        </w:rPr>
      </w:pPr>
    </w:p>
    <w:p>
      <w:pPr>
        <w:ind w:left="640"/>
        <w:spacing w:after="0"/>
        <w:rPr>
          <w:sz w:val="20"/>
          <w:szCs w:val="20"/>
          <w:color w:val="auto"/>
        </w:rPr>
      </w:pPr>
      <w:r>
        <w:rPr>
          <w:rFonts w:ascii="Times New Roman" w:cs="Times New Roman" w:eastAsia="Times New Roman" w:hAnsi="Times New Roman"/>
          <w:sz w:val="20"/>
          <w:szCs w:val="20"/>
          <w:color w:val="auto"/>
        </w:rPr>
        <w:t>1525 West W.T. Harris Blvd. Charlotte, North Carolina 28262</w:t>
      </w:r>
    </w:p>
    <w:p>
      <w:pPr>
        <w:spacing w:after="0" w:line="117" w:lineRule="exact"/>
        <w:rPr>
          <w:rFonts w:ascii="Times New Roman" w:cs="Times New Roman" w:eastAsia="Times New Roman" w:hAnsi="Times New Roman"/>
          <w:sz w:val="16"/>
          <w:szCs w:val="16"/>
          <w:color w:val="auto"/>
        </w:rPr>
      </w:pPr>
    </w:p>
    <w:p>
      <w:pPr>
        <w:ind w:left="640"/>
        <w:spacing w:after="0"/>
        <w:rPr>
          <w:sz w:val="20"/>
          <w:szCs w:val="20"/>
          <w:color w:val="auto"/>
        </w:rPr>
      </w:pPr>
      <w:r>
        <w:rPr>
          <w:rFonts w:ascii="Times New Roman" w:cs="Times New Roman" w:eastAsia="Times New Roman" w:hAnsi="Times New Roman"/>
          <w:sz w:val="20"/>
          <w:szCs w:val="20"/>
          <w:color w:val="auto"/>
        </w:rPr>
        <w:t>Attention: Syndication Agency Services Ladies and Gentlemen:</w:t>
      </w:r>
    </w:p>
    <w:p>
      <w:pPr>
        <w:spacing w:after="0" w:line="104" w:lineRule="exact"/>
        <w:rPr>
          <w:rFonts w:ascii="Times New Roman" w:cs="Times New Roman" w:eastAsia="Times New Roman" w:hAnsi="Times New Roman"/>
          <w:sz w:val="16"/>
          <w:szCs w:val="16"/>
          <w:color w:val="auto"/>
        </w:rPr>
      </w:pPr>
    </w:p>
    <w:p>
      <w:pPr>
        <w:jc w:val="both"/>
        <w:ind w:left="640" w:firstLine="642"/>
        <w:spacing w:after="0" w:line="248" w:lineRule="auto"/>
        <w:rPr>
          <w:sz w:val="20"/>
          <w:szCs w:val="20"/>
          <w:color w:val="auto"/>
        </w:rPr>
      </w:pPr>
      <w:r>
        <w:rPr>
          <w:rFonts w:ascii="Times New Roman" w:cs="Times New Roman" w:eastAsia="Times New Roman" w:hAnsi="Times New Roman"/>
          <w:sz w:val="20"/>
          <w:szCs w:val="20"/>
          <w:color w:val="auto"/>
        </w:rPr>
        <w:t xml:space="preserve">This irrevocable Notice of Borrowing is delivered to you pursuant to </w:t>
      </w:r>
      <w:r>
        <w:rPr>
          <w:rFonts w:ascii="Times New Roman" w:cs="Times New Roman" w:eastAsia="Times New Roman" w:hAnsi="Times New Roman"/>
          <w:sz w:val="20"/>
          <w:szCs w:val="20"/>
          <w:u w:val="single" w:color="auto"/>
          <w:color w:val="auto"/>
        </w:rPr>
        <w:t>Section [2.3][5.13]</w:t>
      </w:r>
      <w:r>
        <w:rPr>
          <w:rFonts w:ascii="Times New Roman" w:cs="Times New Roman" w:eastAsia="Times New Roman" w:hAnsi="Times New Roman"/>
          <w:sz w:val="20"/>
          <w:szCs w:val="20"/>
          <w:color w:val="auto"/>
        </w:rPr>
        <w:t xml:space="preserve"> of the Second Amended and Restated Credit Agreement, dated as of August 27, 2021 (as amended, amended and restated, supplemented or otherwise modified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by and among Centuri Group, Inc., a Nevada corporation (“</w:t>
      </w:r>
      <w:r>
        <w:rPr>
          <w:rFonts w:ascii="Times New Roman" w:cs="Times New Roman" w:eastAsia="Times New Roman" w:hAnsi="Times New Roman"/>
          <w:sz w:val="20"/>
          <w:szCs w:val="20"/>
          <w:u w:val="single" w:color="auto"/>
          <w:color w:val="auto"/>
        </w:rPr>
        <w:t>Centuri</w:t>
      </w:r>
      <w:r>
        <w:rPr>
          <w:rFonts w:ascii="Times New Roman" w:cs="Times New Roman" w:eastAsia="Times New Roman" w:hAnsi="Times New Roman"/>
          <w:sz w:val="20"/>
          <w:szCs w:val="20"/>
          <w:color w:val="auto"/>
        </w:rPr>
        <w:t xml:space="preserve">”), and each Additional Borrower that becomes a party thereto in accordance with </w:t>
      </w:r>
      <w:r>
        <w:rPr>
          <w:rFonts w:ascii="Times New Roman" w:cs="Times New Roman" w:eastAsia="Times New Roman" w:hAnsi="Times New Roman"/>
          <w:sz w:val="20"/>
          <w:szCs w:val="20"/>
          <w:u w:val="single" w:color="auto"/>
          <w:color w:val="auto"/>
        </w:rPr>
        <w:t>Section 5.17</w:t>
      </w:r>
      <w:r>
        <w:rPr>
          <w:rFonts w:ascii="Times New Roman" w:cs="Times New Roman" w:eastAsia="Times New Roman" w:hAnsi="Times New Roman"/>
          <w:sz w:val="20"/>
          <w:szCs w:val="20"/>
          <w:color w:val="auto"/>
        </w:rPr>
        <w:t xml:space="preserve"> thereof (collectively, the “</w:t>
      </w:r>
      <w:r>
        <w:rPr>
          <w:rFonts w:ascii="Times New Roman" w:cs="Times New Roman" w:eastAsia="Times New Roman" w:hAnsi="Times New Roman"/>
          <w:sz w:val="20"/>
          <w:szCs w:val="20"/>
          <w:u w:val="single" w:color="auto"/>
          <w:color w:val="auto"/>
        </w:rPr>
        <w:t>US Borrowers</w:t>
      </w:r>
      <w:r>
        <w:rPr>
          <w:rFonts w:ascii="Times New Roman" w:cs="Times New Roman" w:eastAsia="Times New Roman" w:hAnsi="Times New Roman"/>
          <w:sz w:val="20"/>
          <w:szCs w:val="20"/>
          <w:color w:val="auto"/>
        </w:rPr>
        <w:t>”), Centuri Canada Division Inc., a corporation organized under the laws of the Province of Ontario, Canada “</w:t>
      </w:r>
      <w:r>
        <w:rPr>
          <w:rFonts w:ascii="Times New Roman" w:cs="Times New Roman" w:eastAsia="Times New Roman" w:hAnsi="Times New Roman"/>
          <w:sz w:val="20"/>
          <w:szCs w:val="20"/>
          <w:u w:val="single" w:color="auto"/>
          <w:color w:val="auto"/>
        </w:rPr>
        <w:t>Centuri Canada</w:t>
      </w:r>
      <w:r>
        <w:rPr>
          <w:rFonts w:ascii="Times New Roman" w:cs="Times New Roman" w:eastAsia="Times New Roman" w:hAnsi="Times New Roman"/>
          <w:sz w:val="20"/>
          <w:szCs w:val="20"/>
          <w:color w:val="auto"/>
        </w:rPr>
        <w:t xml:space="preserve">”), and each Additional Borrower that becomes a party thereto in accordance with </w:t>
      </w:r>
      <w:r>
        <w:rPr>
          <w:rFonts w:ascii="Times New Roman" w:cs="Times New Roman" w:eastAsia="Times New Roman" w:hAnsi="Times New Roman"/>
          <w:sz w:val="20"/>
          <w:szCs w:val="20"/>
          <w:u w:val="single" w:color="auto"/>
          <w:color w:val="auto"/>
        </w:rPr>
        <w:t>Section 5.17</w:t>
      </w:r>
      <w:r>
        <w:rPr>
          <w:rFonts w:ascii="Times New Roman" w:cs="Times New Roman" w:eastAsia="Times New Roman" w:hAnsi="Times New Roman"/>
          <w:sz w:val="20"/>
          <w:szCs w:val="20"/>
          <w:color w:val="auto"/>
        </w:rPr>
        <w:t xml:space="preserve"> thereof (collectively, the “</w:t>
      </w:r>
      <w:r>
        <w:rPr>
          <w:rFonts w:ascii="Times New Roman" w:cs="Times New Roman" w:eastAsia="Times New Roman" w:hAnsi="Times New Roman"/>
          <w:sz w:val="20"/>
          <w:szCs w:val="20"/>
          <w:u w:val="single" w:color="auto"/>
          <w:color w:val="auto"/>
        </w:rPr>
        <w:t>Canadian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the Lenders party thereto and Wells Fargo Bank, National Association, as Administrative Agent. Capitalized terms used herein and not defined herein shall have the meanings assigned thereto in the Credit Agreement.</w:t>
      </w:r>
    </w:p>
    <w:p>
      <w:pPr>
        <w:spacing w:after="0" w:line="185" w:lineRule="exact"/>
        <w:rPr>
          <w:rFonts w:ascii="Times New Roman" w:cs="Times New Roman" w:eastAsia="Times New Roman" w:hAnsi="Times New Roman"/>
          <w:sz w:val="16"/>
          <w:szCs w:val="16"/>
          <w:color w:val="auto"/>
        </w:rPr>
      </w:pPr>
    </w:p>
    <w:p>
      <w:pPr>
        <w:ind w:left="1920" w:hanging="633"/>
        <w:spacing w:after="0"/>
        <w:tabs>
          <w:tab w:leader="none" w:pos="1920" w:val="left"/>
        </w:tabs>
        <w:numPr>
          <w:ilvl w:val="0"/>
          <w:numId w:val="3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[Centuri][INSERT EACH ADDITIONAL US BORROWER][Centuri Canada][INSERT</w:t>
      </w:r>
    </w:p>
    <w:p>
      <w:pPr>
        <w:spacing w:after="0" w:line="19" w:lineRule="exact"/>
        <w:rPr>
          <w:rFonts w:ascii="Times New Roman" w:cs="Times New Roman" w:eastAsia="Times New Roman" w:hAnsi="Times New Roman"/>
          <w:sz w:val="16"/>
          <w:szCs w:val="16"/>
          <w:color w:val="auto"/>
        </w:rPr>
      </w:pPr>
    </w:p>
    <w:p>
      <w:pPr>
        <w:jc w:val="both"/>
        <w:ind w:left="640"/>
        <w:spacing w:after="0" w:line="256" w:lineRule="auto"/>
        <w:rPr>
          <w:sz w:val="20"/>
          <w:szCs w:val="20"/>
          <w:color w:val="auto"/>
        </w:rPr>
      </w:pPr>
      <w:r>
        <w:rPr>
          <w:rFonts w:ascii="Times New Roman" w:cs="Times New Roman" w:eastAsia="Times New Roman" w:hAnsi="Times New Roman"/>
          <w:sz w:val="19"/>
          <w:szCs w:val="19"/>
          <w:color w:val="auto"/>
        </w:rPr>
        <w:t>EACH ADDITIONAL CANADIAN BORROWER] hereby request[s] that the Lenders make [a US Revolving Credit Loan][a US Swingline Loan][a Canadian Revolving Credit Loan][a Canadian Swingline Loan][an Incremental Term Loan] to [Centuri][INSERT EACH ADDITIONAL US BORROWER][Centuri Canada][INSERT EACH ADDITIONAL CANADIAN BORROWER] in the</w:t>
      </w:r>
    </w:p>
    <w:p>
      <w:pPr>
        <w:spacing w:after="0" w:line="2" w:lineRule="exact"/>
        <w:rPr>
          <w:rFonts w:ascii="Times New Roman" w:cs="Times New Roman" w:eastAsia="Times New Roman" w:hAnsi="Times New Roman"/>
          <w:sz w:val="16"/>
          <w:szCs w:val="16"/>
          <w:color w:val="auto"/>
        </w:rPr>
      </w:pPr>
    </w:p>
    <w:p>
      <w:pPr>
        <w:ind w:left="640"/>
        <w:spacing w:after="0"/>
        <w:tabs>
          <w:tab w:leader="none" w:pos="3820" w:val="left"/>
        </w:tabs>
        <w:rPr>
          <w:sz w:val="20"/>
          <w:szCs w:val="20"/>
          <w:color w:val="auto"/>
        </w:rPr>
      </w:pPr>
      <w:r>
        <w:rPr>
          <w:rFonts w:ascii="Times New Roman" w:cs="Times New Roman" w:eastAsia="Times New Roman" w:hAnsi="Times New Roman"/>
          <w:sz w:val="20"/>
          <w:szCs w:val="20"/>
          <w:color w:val="auto"/>
        </w:rPr>
        <w:t>aggregate principal amount of [$][C$]</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2310130</wp:posOffset>
            </wp:positionH>
            <wp:positionV relativeFrom="paragraph">
              <wp:posOffset>-20955</wp:posOffset>
            </wp:positionV>
            <wp:extent cx="12446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622">
                      <a:extLst>
                        <a:ext uri="{28A0092B-C50C-407E-A947-70E740481C1C}"/>
                      </a:extLst>
                    </a:blip>
                    <a:srcRect/>
                    <a:stretch>
                      <a:fillRect/>
                    </a:stretch>
                  </pic:blipFill>
                  <pic:spPr bwMode="auto">
                    <a:xfrm>
                      <a:off x="0" y="0"/>
                      <a:ext cx="124460" cy="825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6"/>
          <w:szCs w:val="16"/>
          <w:color w:val="auto"/>
        </w:rPr>
        <w:t>Agreement.)</w:t>
      </w:r>
    </w:p>
    <w:p>
      <w:pPr>
        <w:spacing w:after="0" w:line="204" w:lineRule="exact"/>
        <w:rPr>
          <w:rFonts w:ascii="Times New Roman" w:cs="Times New Roman" w:eastAsia="Times New Roman" w:hAnsi="Times New Roman"/>
          <w:sz w:val="16"/>
          <w:szCs w:val="16"/>
          <w:color w:val="auto"/>
        </w:rPr>
      </w:pPr>
    </w:p>
    <w:p>
      <w:pPr>
        <w:ind w:left="1920" w:hanging="633"/>
        <w:spacing w:after="0"/>
        <w:tabs>
          <w:tab w:leader="none" w:pos="1920" w:val="left"/>
        </w:tabs>
        <w:numPr>
          <w:ilvl w:val="0"/>
          <w:numId w:val="3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[Centuri][INSERT EACH ADDITIONAL US BORROWER][Centuri Canada][INSERT</w:t>
      </w:r>
    </w:p>
    <w:p>
      <w:pPr>
        <w:spacing w:after="0" w:line="19" w:lineRule="exact"/>
        <w:rPr>
          <w:rFonts w:ascii="Times New Roman" w:cs="Times New Roman" w:eastAsia="Times New Roman" w:hAnsi="Times New Roman"/>
          <w:sz w:val="16"/>
          <w:szCs w:val="16"/>
          <w:color w:val="auto"/>
        </w:rPr>
      </w:pPr>
    </w:p>
    <w:p>
      <w:pPr>
        <w:ind w:left="640"/>
        <w:spacing w:after="0"/>
        <w:rPr>
          <w:sz w:val="20"/>
          <w:szCs w:val="20"/>
          <w:color w:val="auto"/>
        </w:rPr>
      </w:pPr>
      <w:r>
        <w:rPr>
          <w:rFonts w:ascii="Times New Roman" w:cs="Times New Roman" w:eastAsia="Times New Roman" w:hAnsi="Times New Roman"/>
          <w:sz w:val="20"/>
          <w:szCs w:val="20"/>
          <w:color w:val="auto"/>
        </w:rPr>
        <w:t>EACH ADDITIONAL CANADIAN BORROWER] hereby request[s] that such Loan(s) be made on the following Business Day:</w:t>
      </w:r>
    </w:p>
    <w:p>
      <w:pPr>
        <w:spacing w:after="0" w:line="24" w:lineRule="exact"/>
        <w:rPr>
          <w:rFonts w:ascii="Times New Roman" w:cs="Times New Roman" w:eastAsia="Times New Roman" w:hAnsi="Times New Roman"/>
          <w:sz w:val="16"/>
          <w:szCs w:val="16"/>
          <w:color w:val="auto"/>
        </w:rPr>
      </w:pPr>
    </w:p>
    <w:p>
      <w:pPr>
        <w:ind w:left="640" w:firstLine="214"/>
        <w:spacing w:after="0" w:line="251" w:lineRule="auto"/>
        <w:tabs>
          <w:tab w:leader="none" w:pos="947" w:val="left"/>
        </w:tabs>
        <w:numPr>
          <w:ilvl w:val="0"/>
          <w:numId w:val="352"/>
        </w:numPr>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auto"/>
        </w:rPr>
        <w:t xml:space="preserve">(Complete with a Business Day in accordance with </w:t>
      </w:r>
      <w:r>
        <w:rPr>
          <w:rFonts w:ascii="Times New Roman" w:cs="Times New Roman" w:eastAsia="Times New Roman" w:hAnsi="Times New Roman"/>
          <w:sz w:val="16"/>
          <w:szCs w:val="16"/>
          <w:u w:val="single" w:color="auto"/>
          <w:color w:val="auto"/>
        </w:rPr>
        <w:t>Section 2.3</w:t>
      </w:r>
      <w:r>
        <w:rPr>
          <w:rFonts w:ascii="Times New Roman" w:cs="Times New Roman" w:eastAsia="Times New Roman" w:hAnsi="Times New Roman"/>
          <w:sz w:val="16"/>
          <w:szCs w:val="16"/>
          <w:color w:val="auto"/>
        </w:rPr>
        <w:t xml:space="preserve"> of the Credit Agreement for US Revolving Credit Loans, Canadian Revolving Credit Loans, US Swingline Loans and Canadian Swingline Loans or </w:t>
      </w:r>
      <w:r>
        <w:rPr>
          <w:rFonts w:ascii="Times New Roman" w:cs="Times New Roman" w:eastAsia="Times New Roman" w:hAnsi="Times New Roman"/>
          <w:sz w:val="16"/>
          <w:szCs w:val="16"/>
          <w:u w:val="single" w:color="auto"/>
          <w:color w:val="auto"/>
        </w:rPr>
        <w:t>Section 5.13</w:t>
      </w:r>
      <w:r>
        <w:rPr>
          <w:rFonts w:ascii="Times New Roman" w:cs="Times New Roman" w:eastAsia="Times New Roman" w:hAnsi="Times New Roman"/>
          <w:sz w:val="16"/>
          <w:szCs w:val="16"/>
          <w:color w:val="auto"/>
        </w:rPr>
        <w:t xml:space="preserve"> of the Credit Agreement for an Incremental Term Loan).</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408940</wp:posOffset>
            </wp:positionH>
            <wp:positionV relativeFrom="paragraph">
              <wp:posOffset>-163830</wp:posOffset>
            </wp:positionV>
            <wp:extent cx="13271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623">
                      <a:extLst>
                        <a:ext uri="{28A0092B-C50C-407E-A947-70E740481C1C}"/>
                      </a:extLst>
                    </a:blip>
                    <a:srcRect/>
                    <a:stretch>
                      <a:fillRect/>
                    </a:stretch>
                  </pic:blipFill>
                  <pic:spPr bwMode="auto">
                    <a:xfrm>
                      <a:off x="0" y="0"/>
                      <a:ext cx="132715" cy="8255"/>
                    </a:xfrm>
                    <a:prstGeom prst="rect">
                      <a:avLst/>
                    </a:prstGeom>
                    <a:noFill/>
                  </pic:spPr>
                </pic:pic>
              </a:graphicData>
            </a:graphic>
          </wp:anchor>
        </w:drawing>
      </w:r>
    </w:p>
    <w:p>
      <w:pPr>
        <w:spacing w:after="0" w:line="153" w:lineRule="exact"/>
        <w:rPr>
          <w:rFonts w:ascii="Times New Roman" w:cs="Times New Roman" w:eastAsia="Times New Roman" w:hAnsi="Times New Roman"/>
          <w:sz w:val="16"/>
          <w:szCs w:val="16"/>
          <w:color w:val="auto"/>
        </w:rPr>
      </w:pPr>
    </w:p>
    <w:p>
      <w:pPr>
        <w:ind w:left="1920" w:hanging="634"/>
        <w:spacing w:after="0"/>
        <w:tabs>
          <w:tab w:leader="none" w:pos="1920" w:val="left"/>
        </w:tabs>
        <w:numPr>
          <w:ilvl w:val="0"/>
          <w:numId w:val="3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[Centuri][INSERT EACH ADDITIONAL US BORROWER][Centuri Canada][INSERT</w:t>
      </w:r>
    </w:p>
    <w:p>
      <w:pPr>
        <w:spacing w:after="0" w:line="25" w:lineRule="exact"/>
        <w:rPr>
          <w:rFonts w:ascii="Times New Roman" w:cs="Times New Roman" w:eastAsia="Times New Roman" w:hAnsi="Times New Roman"/>
          <w:sz w:val="16"/>
          <w:szCs w:val="16"/>
          <w:color w:val="auto"/>
        </w:rPr>
      </w:pPr>
    </w:p>
    <w:p>
      <w:pPr>
        <w:ind w:left="640" w:right="180"/>
        <w:spacing w:after="0" w:line="248" w:lineRule="auto"/>
        <w:rPr>
          <w:sz w:val="20"/>
          <w:szCs w:val="20"/>
          <w:color w:val="auto"/>
        </w:rPr>
      </w:pPr>
      <w:r>
        <w:rPr>
          <w:rFonts w:ascii="Times New Roman" w:cs="Times New Roman" w:eastAsia="Times New Roman" w:hAnsi="Times New Roman"/>
          <w:sz w:val="20"/>
          <w:szCs w:val="20"/>
          <w:color w:val="auto"/>
        </w:rPr>
        <w:t xml:space="preserve">EACH ADDITIONAL CANADIAN BORROWER] hereby request[s] that such Loan(s) bear interest at the following interest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Margin, as set forth below:</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15" w:lineRule="exact"/>
        <w:rPr>
          <w:rFonts w:ascii="Times New Roman" w:cs="Times New Roman" w:eastAsia="Times New Roman" w:hAnsi="Times New Roman"/>
          <w:sz w:val="16"/>
          <w:szCs w:val="16"/>
          <w:color w:val="auto"/>
        </w:rPr>
      </w:pPr>
    </w:p>
    <w:p>
      <w:pPr>
        <w:spacing w:after="0"/>
        <w:rPr>
          <w:sz w:val="20"/>
          <w:szCs w:val="20"/>
          <w:color w:val="auto"/>
        </w:rPr>
      </w:pPr>
      <w:r>
        <w:rPr>
          <w:rFonts w:ascii="Times New Roman" w:cs="Times New Roman" w:eastAsia="Times New Roman" w:hAnsi="Times New Roman"/>
          <w:sz w:val="14"/>
          <w:szCs w:val="14"/>
          <w:color w:val="auto"/>
        </w:rPr>
        <w:t>188871398_2</w:t>
      </w:r>
    </w:p>
    <w:p>
      <w:pPr>
        <w:sectPr>
          <w:pgSz w:w="11900" w:h="16838" w:orient="portrait"/>
          <w:cols w:equalWidth="0" w:num="1">
            <w:col w:w="11080"/>
          </w:cols>
          <w:pgMar w:left="360" w:top="1400" w:right="459" w:bottom="1440" w:gutter="0" w:footer="0" w:header="0"/>
        </w:sectPr>
      </w:pPr>
    </w:p>
    <w:bookmarkStart w:id="457" w:name="page458"/>
    <w:bookmarkEnd w:id="457"/>
    <w:tbl>
      <w:tblPr>
        <w:tblLayout w:type="fixed"/>
        <w:tblInd w:w="640" w:type="dxa"/>
        <w:tblCellMar>
          <w:top w:w="0" w:type="dxa"/>
          <w:left w:w="0" w:type="dxa"/>
          <w:bottom w:w="0" w:type="dxa"/>
          <w:right w:w="0" w:type="dxa"/>
        </w:tblCellMar>
      </w:tblPr>
      <w:tr>
        <w:trPr>
          <w:trHeight w:val="241"/>
        </w:trPr>
        <w:tc>
          <w:tcPr>
            <w:tcW w:w="3800" w:type="dxa"/>
            <w:vAlign w:val="bottom"/>
            <w:gridSpan w:val="4"/>
            <w:vMerge w:val="restart"/>
          </w:tcPr>
          <w:p>
            <w:pPr>
              <w:spacing w:after="0"/>
              <w:rPr>
                <w:sz w:val="20"/>
                <w:szCs w:val="20"/>
                <w:color w:val="auto"/>
              </w:rPr>
            </w:pPr>
            <w:r>
              <w:rPr>
                <w:rFonts w:ascii="Times New Roman" w:cs="Times New Roman" w:eastAsia="Times New Roman" w:hAnsi="Times New Roman"/>
                <w:sz w:val="20"/>
                <w:szCs w:val="20"/>
                <w:color w:val="auto"/>
              </w:rPr>
              <w:t>Component</w:t>
            </w:r>
          </w:p>
        </w:tc>
        <w:tc>
          <w:tcPr>
            <w:tcW w:w="4780" w:type="dxa"/>
            <w:vAlign w:val="bottom"/>
            <w:gridSpan w:val="3"/>
          </w:tcPr>
          <w:p>
            <w:pPr>
              <w:ind w:left="1940"/>
              <w:spacing w:after="0"/>
              <w:rPr>
                <w:sz w:val="20"/>
                <w:szCs w:val="20"/>
                <w:color w:val="auto"/>
              </w:rPr>
            </w:pPr>
            <w:r>
              <w:rPr>
                <w:rFonts w:ascii="Times New Roman" w:cs="Times New Roman" w:eastAsia="Times New Roman" w:hAnsi="Times New Roman"/>
                <w:sz w:val="20"/>
                <w:szCs w:val="20"/>
                <w:color w:val="auto"/>
              </w:rPr>
              <w:t>Interest Period</w:t>
            </w:r>
          </w:p>
        </w:tc>
        <w:tc>
          <w:tcPr>
            <w:tcW w:w="0" w:type="dxa"/>
            <w:vAlign w:val="bottom"/>
          </w:tcPr>
          <w:p>
            <w:pPr>
              <w:spacing w:after="0"/>
              <w:rPr>
                <w:sz w:val="1"/>
                <w:szCs w:val="1"/>
                <w:color w:val="auto"/>
              </w:rPr>
            </w:pPr>
          </w:p>
        </w:tc>
      </w:tr>
      <w:tr>
        <w:trPr>
          <w:trHeight w:val="80"/>
        </w:trPr>
        <w:tc>
          <w:tcPr>
            <w:tcW w:w="3800" w:type="dxa"/>
            <w:vAlign w:val="bottom"/>
            <w:gridSpan w:val="4"/>
            <w:vMerge w:val="continue"/>
          </w:tcPr>
          <w:p>
            <w:pPr>
              <w:spacing w:after="0"/>
              <w:rPr>
                <w:sz w:val="6"/>
                <w:szCs w:val="6"/>
                <w:color w:val="auto"/>
              </w:rPr>
            </w:pPr>
          </w:p>
        </w:tc>
        <w:tc>
          <w:tcPr>
            <w:tcW w:w="2000" w:type="dxa"/>
            <w:vAlign w:val="bottom"/>
            <w:vMerge w:val="restart"/>
          </w:tcPr>
          <w:p>
            <w:pPr>
              <w:ind w:left="1940"/>
              <w:spacing w:after="0"/>
              <w:rPr>
                <w:sz w:val="20"/>
                <w:szCs w:val="20"/>
                <w:color w:val="auto"/>
              </w:rPr>
            </w:pPr>
            <w:r>
              <w:rPr>
                <w:rFonts w:ascii="Times New Roman" w:cs="Times New Roman" w:eastAsia="Times New Roman" w:hAnsi="Times New Roman"/>
                <w:sz w:val="16"/>
                <w:szCs w:val="16"/>
                <w:color w:val="auto"/>
                <w:w w:val="74"/>
              </w:rPr>
              <w:t>(</w:t>
            </w:r>
          </w:p>
        </w:tc>
        <w:tc>
          <w:tcPr>
            <w:tcW w:w="2760" w:type="dxa"/>
            <w:vAlign w:val="bottom"/>
            <w:vMerge w:val="restart"/>
          </w:tcPr>
          <w:p>
            <w:pPr>
              <w:spacing w:after="0" w:line="190" w:lineRule="exact"/>
              <w:rPr>
                <w:sz w:val="20"/>
                <w:szCs w:val="20"/>
                <w:color w:val="auto"/>
              </w:rPr>
            </w:pPr>
            <w:r>
              <w:rPr>
                <w:rFonts w:ascii="Times New Roman" w:cs="Times New Roman" w:eastAsia="Times New Roman" w:hAnsi="Times New Roman"/>
                <w:sz w:val="20"/>
                <w:szCs w:val="20"/>
                <w:color w:val="auto"/>
                <w:w w:val="96"/>
              </w:rPr>
              <w:t>Term SOFR and/or Term CORRA)</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3800" w:type="dxa"/>
            <w:vAlign w:val="bottom"/>
            <w:gridSpan w:val="4"/>
            <w:vMerge w:val="restart"/>
          </w:tcPr>
          <w:p>
            <w:pPr>
              <w:spacing w:after="0" w:line="210" w:lineRule="exact"/>
              <w:rPr>
                <w:sz w:val="20"/>
                <w:szCs w:val="20"/>
                <w:color w:val="auto"/>
              </w:rPr>
            </w:pPr>
            <w:r>
              <w:rPr>
                <w:rFonts w:ascii="Times New Roman" w:cs="Times New Roman" w:eastAsia="Times New Roman" w:hAnsi="Times New Roman"/>
                <w:sz w:val="19"/>
                <w:szCs w:val="19"/>
                <w:color w:val="auto"/>
              </w:rPr>
              <w:t>of Loan</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9"/>
                <w:szCs w:val="19"/>
                <w:color w:val="auto"/>
              </w:rPr>
              <w:t xml:space="preserve">   Interest Rate</w:t>
            </w:r>
          </w:p>
        </w:tc>
        <w:tc>
          <w:tcPr>
            <w:tcW w:w="2000" w:type="dxa"/>
            <w:vAlign w:val="bottom"/>
            <w:vMerge w:val="continue"/>
          </w:tcPr>
          <w:p>
            <w:pPr>
              <w:spacing w:after="0"/>
              <w:rPr>
                <w:sz w:val="11"/>
                <w:szCs w:val="11"/>
                <w:color w:val="auto"/>
              </w:rPr>
            </w:pPr>
          </w:p>
        </w:tc>
        <w:tc>
          <w:tcPr>
            <w:tcW w:w="2760" w:type="dxa"/>
            <w:vAlign w:val="bottom"/>
            <w:tcBorders>
              <w:bottom w:val="single" w:sz="8" w:color="auto"/>
            </w:tcBorders>
            <w:vMerge w:val="continue"/>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3800" w:type="dxa"/>
            <w:vAlign w:val="bottom"/>
            <w:gridSpan w:val="4"/>
            <w:vMerge w:val="continue"/>
          </w:tcPr>
          <w:p>
            <w:pPr>
              <w:spacing w:after="0"/>
              <w:rPr>
                <w:sz w:val="5"/>
                <w:szCs w:val="5"/>
                <w:color w:val="auto"/>
              </w:rPr>
            </w:pPr>
          </w:p>
        </w:tc>
        <w:tc>
          <w:tcPr>
            <w:tcW w:w="2000" w:type="dxa"/>
            <w:vAlign w:val="bottom"/>
            <w:vMerge w:val="continue"/>
          </w:tcPr>
          <w:p>
            <w:pPr>
              <w:spacing w:after="0"/>
              <w:rPr>
                <w:sz w:val="5"/>
                <w:szCs w:val="5"/>
                <w:color w:val="auto"/>
              </w:rPr>
            </w:pPr>
          </w:p>
        </w:tc>
        <w:tc>
          <w:tcPr>
            <w:tcW w:w="276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Base Rate][Canadian Base</w:t>
      </w:r>
    </w:p>
    <w:p>
      <w:pPr>
        <w:spacing w:after="0" w:line="354" w:lineRule="exact"/>
        <w:rPr>
          <w:sz w:val="20"/>
          <w:szCs w:val="20"/>
          <w:color w:val="auto"/>
        </w:rPr>
      </w:pPr>
    </w:p>
    <w:p>
      <w:pPr>
        <w:ind w:left="640" w:firstLine="4"/>
        <w:spacing w:after="0" w:line="227" w:lineRule="auto"/>
        <w:tabs>
          <w:tab w:leader="none" w:pos="742" w:val="left"/>
        </w:tabs>
        <w:numPr>
          <w:ilvl w:val="0"/>
          <w:numId w:val="35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Complete with the Dollar amount of that portion of the overall Loan requested that is to bear interest at the selected interest rate and/or Interest Period (e.g., for a $20,000,000 loan, $5,000,000 may be requested at Base Rate,</w:t>
      </w:r>
    </w:p>
    <w:p>
      <w:pPr>
        <w:ind w:left="640" w:right="220"/>
        <w:spacing w:after="0" w:line="256"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$8,000,000 may be requested at Term SOFR with an interest period of three months and $7,000,000 may be requested at Term SOFR with an interest period of one month).</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188871398_2</w:t>
      </w:r>
    </w:p>
    <w:p>
      <w:pPr>
        <w:sectPr>
          <w:pgSz w:w="11900" w:h="16838" w:orient="portrait"/>
          <w:cols w:equalWidth="0" w:num="1">
            <w:col w:w="10940"/>
          </w:cols>
          <w:pgMar w:left="360" w:top="678" w:right="599" w:bottom="1440" w:gutter="0" w:footer="0" w:header="0"/>
        </w:sectPr>
      </w:pPr>
    </w:p>
    <w:bookmarkStart w:id="458" w:name="page459"/>
    <w:bookmarkEnd w:id="458"/>
    <w:p>
      <w:pPr>
        <w:ind w:left="1940"/>
        <w:spacing w:after="0"/>
        <w:rPr>
          <w:sz w:val="20"/>
          <w:szCs w:val="20"/>
          <w:color w:val="auto"/>
        </w:rPr>
      </w:pPr>
      <w:r>
        <w:rPr>
          <w:rFonts w:ascii="Times New Roman" w:cs="Times New Roman" w:eastAsia="Times New Roman" w:hAnsi="Times New Roman"/>
          <w:sz w:val="20"/>
          <w:szCs w:val="20"/>
          <w:color w:val="auto"/>
        </w:rPr>
        <w:t>Rate][Adjusted Term SOFR][Adjusted Term CORRA]</w:t>
      </w:r>
      <w:r>
        <w:rPr>
          <w:rFonts w:ascii="Times New Roman" w:cs="Times New Roman" w:eastAsia="Times New Roman" w:hAnsi="Times New Roman"/>
          <w:sz w:val="25"/>
          <w:szCs w:val="25"/>
          <w:color w:val="auto"/>
          <w:vertAlign w:val="superscript"/>
        </w:rPr>
        <w:t>2</w:t>
      </w:r>
    </w:p>
    <w:p>
      <w:pPr>
        <w:spacing w:after="0" w:line="178" w:lineRule="exact"/>
        <w:rPr>
          <w:sz w:val="20"/>
          <w:szCs w:val="20"/>
          <w:color w:val="auto"/>
        </w:rPr>
      </w:pPr>
    </w:p>
    <w:p>
      <w:pPr>
        <w:jc w:val="both"/>
        <w:ind w:left="640" w:firstLine="646"/>
        <w:spacing w:after="0" w:line="257" w:lineRule="auto"/>
        <w:tabs>
          <w:tab w:leader="none" w:pos="1884" w:val="left"/>
        </w:tabs>
        <w:numPr>
          <w:ilvl w:val="0"/>
          <w:numId w:val="3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principal amount of all Loans and L/C Obligations outstanding as of the date hereof (including the Loan(s) requested herein) does not exceed the maximum amount permitted to be outstanding pursuant to the terms of the Credit Agreement.</w:t>
      </w:r>
    </w:p>
    <w:p>
      <w:pPr>
        <w:spacing w:after="0" w:line="183" w:lineRule="exact"/>
        <w:rPr>
          <w:rFonts w:ascii="Times New Roman" w:cs="Times New Roman" w:eastAsia="Times New Roman" w:hAnsi="Times New Roman"/>
          <w:sz w:val="20"/>
          <w:szCs w:val="20"/>
          <w:color w:val="auto"/>
        </w:rPr>
      </w:pPr>
    </w:p>
    <w:p>
      <w:pPr>
        <w:ind w:left="640" w:firstLine="646"/>
        <w:spacing w:after="0" w:line="263" w:lineRule="auto"/>
        <w:tabs>
          <w:tab w:leader="none" w:pos="1884" w:val="left"/>
        </w:tabs>
        <w:numPr>
          <w:ilvl w:val="0"/>
          <w:numId w:val="3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of the conditions applicable to the Loan(s) requested herein as set forth in the Credit Agreement have been satisfied as of the date hereof and will remain satisfied to the date of such Loan.</w:t>
      </w: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640" w:firstLine="4"/>
        <w:spacing w:after="0" w:line="233" w:lineRule="auto"/>
        <w:tabs>
          <w:tab w:leader="none" w:pos="768" w:val="left"/>
        </w:tabs>
        <w:numPr>
          <w:ilvl w:val="0"/>
          <w:numId w:val="35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Complete with (i) the Base Rate or Adjusted Term SOFR for US Revolving Credit Loans, (ii) the Canadian Base Rate or Adjusted Term CORRA for Canadian Revolving Credit Loans, (iii) the Base Rate, Canadian Base Rate, Adjusted Term SOFR or Adjusted Term CORRA for any Incremental Term Loan, (v) the Base Rate for US Swingline Loans and (vi) the Canadian Base Rate for Canadian Swingline Loans.</w:t>
      </w:r>
    </w:p>
    <w:p>
      <w:pPr>
        <w:sectPr>
          <w:pgSz w:w="11900" w:h="16838" w:orient="portrait"/>
          <w:cols w:equalWidth="0" w:num="1">
            <w:col w:w="11080"/>
          </w:cols>
          <w:pgMar w:left="360" w:top="1389" w:right="45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188871398_2</w:t>
      </w:r>
    </w:p>
    <w:p>
      <w:pPr>
        <w:sectPr>
          <w:pgSz w:w="11900" w:h="16838" w:orient="portrait"/>
          <w:cols w:equalWidth="0" w:num="1">
            <w:col w:w="11080"/>
          </w:cols>
          <w:pgMar w:left="360" w:top="1389" w:right="459" w:bottom="1440" w:gutter="0" w:footer="0" w:header="0"/>
          <w:type w:val="continuous"/>
        </w:sectPr>
      </w:pPr>
    </w:p>
    <w:bookmarkStart w:id="459" w:name="page460"/>
    <w:bookmarkEnd w:id="459"/>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188871398_2</w:t>
      </w:r>
    </w:p>
    <w:p>
      <w:pPr>
        <w:sectPr>
          <w:pgSz w:w="11900" w:h="16838" w:orient="portrait"/>
          <w:cols w:equalWidth="0" w:num="1">
            <w:col w:w="10099"/>
          </w:cols>
          <w:pgMar w:left="360" w:top="1440" w:right="1440" w:bottom="1440" w:gutter="0" w:footer="0" w:header="0"/>
        </w:sectPr>
      </w:pPr>
    </w:p>
    <w:bookmarkStart w:id="460" w:name="page461"/>
    <w:bookmarkEnd w:id="460"/>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IN WITNESS WHEREOF, the undersigned has executed this Notice of Borrowing as of the day and year first written above.</w:t>
      </w:r>
    </w:p>
    <w:p>
      <w:pPr>
        <w:spacing w:after="0" w:line="200" w:lineRule="exact"/>
        <w:rPr>
          <w:sz w:val="20"/>
          <w:szCs w:val="20"/>
          <w:color w:val="auto"/>
        </w:rPr>
      </w:pPr>
    </w:p>
    <w:p>
      <w:pPr>
        <w:spacing w:after="0" w:line="30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[CENTURI GROUP, INC., as [a] US Borrower</w:t>
      </w:r>
    </w:p>
    <w:p>
      <w:pPr>
        <w:spacing w:after="0" w:line="200" w:lineRule="exact"/>
        <w:rPr>
          <w:sz w:val="20"/>
          <w:szCs w:val="20"/>
          <w:color w:val="auto"/>
        </w:rPr>
      </w:pPr>
    </w:p>
    <w:p>
      <w:pPr>
        <w:spacing w:after="0" w:line="279" w:lineRule="exact"/>
        <w:rPr>
          <w:sz w:val="20"/>
          <w:szCs w:val="20"/>
          <w:color w:val="auto"/>
        </w:rPr>
      </w:pPr>
    </w:p>
    <w:p>
      <w:pPr>
        <w:ind w:left="4520"/>
        <w:spacing w:after="0"/>
        <w:tabs>
          <w:tab w:leader="none" w:pos="5020" w:val="left"/>
          <w:tab w:leader="none" w:pos="5780" w:val="left"/>
          <w:tab w:leader="none" w:pos="6400" w:val="left"/>
        </w:tabs>
        <w:rPr>
          <w:sz w:val="20"/>
          <w:szCs w:val="20"/>
          <w:color w:val="auto"/>
        </w:rPr>
      </w:pPr>
      <w:r>
        <w:rPr>
          <w:rFonts w:ascii="Times New Roman" w:cs="Times New Roman" w:eastAsia="Times New Roman" w:hAnsi="Times New Roman"/>
          <w:sz w:val="20"/>
          <w:szCs w:val="20"/>
          <w:color w:val="auto"/>
        </w:rPr>
        <w:t>By:</w:t>
        <w:tab/>
        <w:t>Name:</w:t>
        <w:tab/>
        <w:t>Title:</w:t>
      </w:r>
      <w:r>
        <w:rPr>
          <w:sz w:val="20"/>
          <w:szCs w:val="20"/>
          <w:color w:val="auto"/>
        </w:rPr>
        <w:tab/>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3044825</wp:posOffset>
            </wp:positionH>
            <wp:positionV relativeFrom="paragraph">
              <wp:posOffset>-12065</wp:posOffset>
            </wp:positionV>
            <wp:extent cx="12446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624">
                      <a:extLst>
                        <a:ext uri="{28A0092B-C50C-407E-A947-70E740481C1C}"/>
                      </a:extLst>
                    </a:blip>
                    <a:srcRect/>
                    <a:stretch>
                      <a:fillRect/>
                    </a:stretch>
                  </pic:blipFill>
                  <pic:spPr bwMode="auto">
                    <a:xfrm>
                      <a:off x="0" y="0"/>
                      <a:ext cx="124460" cy="8255"/>
                    </a:xfrm>
                    <a:prstGeom prst="rect">
                      <a:avLst/>
                    </a:prstGeom>
                    <a:noFill/>
                  </pic:spPr>
                </pic:pic>
              </a:graphicData>
            </a:graphic>
          </wp:anchor>
        </w:drawing>
        <w:drawing>
          <wp:anchor simplePos="0" relativeHeight="251657728" behindDoc="1" locked="0" layoutInCell="0" allowOverlap="1">
            <wp:simplePos x="0" y="0"/>
            <wp:positionH relativeFrom="column">
              <wp:posOffset>3531870</wp:posOffset>
            </wp:positionH>
            <wp:positionV relativeFrom="paragraph">
              <wp:posOffset>-12065</wp:posOffset>
            </wp:positionV>
            <wp:extent cx="12446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625">
                      <a:extLst>
                        <a:ext uri="{28A0092B-C50C-407E-A947-70E740481C1C}"/>
                      </a:extLst>
                    </a:blip>
                    <a:srcRect/>
                    <a:stretch>
                      <a:fillRect/>
                    </a:stretch>
                  </pic:blipFill>
                  <pic:spPr bwMode="auto">
                    <a:xfrm>
                      <a:off x="0" y="0"/>
                      <a:ext cx="124460" cy="825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-12065</wp:posOffset>
            </wp:positionV>
            <wp:extent cx="12446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626">
                      <a:extLst>
                        <a:ext uri="{28A0092B-C50C-407E-A947-70E740481C1C}"/>
                      </a:extLst>
                    </a:blip>
                    <a:srcRect/>
                    <a:stretch>
                      <a:fillRect/>
                    </a:stretch>
                  </pic:blipFill>
                  <pic:spPr bwMode="auto">
                    <a:xfrm>
                      <a:off x="0" y="0"/>
                      <a:ext cx="124460"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[[INSERT EACH ADDITIONAL US BORROWER], as</w:t>
      </w:r>
    </w:p>
    <w:p>
      <w:pPr>
        <w:spacing w:after="0" w:line="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a US Borrower</w:t>
      </w:r>
    </w:p>
    <w:p>
      <w:pPr>
        <w:spacing w:after="0" w:line="200" w:lineRule="exact"/>
        <w:rPr>
          <w:sz w:val="20"/>
          <w:szCs w:val="20"/>
          <w:color w:val="auto"/>
        </w:rPr>
      </w:pPr>
    </w:p>
    <w:p>
      <w:pPr>
        <w:spacing w:after="0" w:line="252" w:lineRule="exact"/>
        <w:rPr>
          <w:sz w:val="20"/>
          <w:szCs w:val="20"/>
          <w:color w:val="auto"/>
        </w:rPr>
      </w:pPr>
    </w:p>
    <w:p>
      <w:pPr>
        <w:ind w:left="4520"/>
        <w:spacing w:after="0"/>
        <w:tabs>
          <w:tab w:leader="none" w:pos="5020" w:val="left"/>
          <w:tab w:leader="none" w:pos="5780" w:val="left"/>
          <w:tab w:leader="none" w:pos="6440" w:val="left"/>
        </w:tabs>
        <w:rPr>
          <w:sz w:val="20"/>
          <w:szCs w:val="20"/>
          <w:color w:val="auto"/>
        </w:rPr>
      </w:pPr>
      <w:r>
        <w:rPr>
          <w:rFonts w:ascii="Times New Roman" w:cs="Times New Roman" w:eastAsia="Times New Roman" w:hAnsi="Times New Roman"/>
          <w:sz w:val="20"/>
          <w:szCs w:val="20"/>
          <w:color w:val="auto"/>
        </w:rPr>
        <w:t>By:</w:t>
        <w:tab/>
        <w:t>Name:</w:t>
        <w:tab/>
        <w:t>Title:</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3044825</wp:posOffset>
            </wp:positionH>
            <wp:positionV relativeFrom="paragraph">
              <wp:posOffset>-12065</wp:posOffset>
            </wp:positionV>
            <wp:extent cx="12446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627">
                      <a:extLst>
                        <a:ext uri="{28A0092B-C50C-407E-A947-70E740481C1C}"/>
                      </a:extLst>
                    </a:blip>
                    <a:srcRect/>
                    <a:stretch>
                      <a:fillRect/>
                    </a:stretch>
                  </pic:blipFill>
                  <pic:spPr bwMode="auto">
                    <a:xfrm>
                      <a:off x="0" y="0"/>
                      <a:ext cx="124460" cy="8255"/>
                    </a:xfrm>
                    <a:prstGeom prst="rect">
                      <a:avLst/>
                    </a:prstGeom>
                    <a:noFill/>
                  </pic:spPr>
                </pic:pic>
              </a:graphicData>
            </a:graphic>
          </wp:anchor>
        </w:drawing>
        <w:drawing>
          <wp:anchor simplePos="0" relativeHeight="251657728" behindDoc="1" locked="0" layoutInCell="0" allowOverlap="1">
            <wp:simplePos x="0" y="0"/>
            <wp:positionH relativeFrom="column">
              <wp:posOffset>3531870</wp:posOffset>
            </wp:positionH>
            <wp:positionV relativeFrom="paragraph">
              <wp:posOffset>-12065</wp:posOffset>
            </wp:positionV>
            <wp:extent cx="12446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628">
                      <a:extLst>
                        <a:ext uri="{28A0092B-C50C-407E-A947-70E740481C1C}"/>
                      </a:extLst>
                    </a:blip>
                    <a:srcRect/>
                    <a:stretch>
                      <a:fillRect/>
                    </a:stretch>
                  </pic:blipFill>
                  <pic:spPr bwMode="auto">
                    <a:xfrm>
                      <a:off x="0" y="0"/>
                      <a:ext cx="124460" cy="825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-12065</wp:posOffset>
            </wp:positionV>
            <wp:extent cx="19685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629">
                      <a:extLst>
                        <a:ext uri="{28A0092B-C50C-407E-A947-70E740481C1C}"/>
                      </a:extLst>
                    </a:blip>
                    <a:srcRect/>
                    <a:stretch>
                      <a:fillRect/>
                    </a:stretch>
                  </pic:blipFill>
                  <pic:spPr bwMode="auto">
                    <a:xfrm>
                      <a:off x="0" y="0"/>
                      <a:ext cx="196850"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[CENTURI CANADA DIVISION INC., as [a]</w:t>
      </w:r>
    </w:p>
    <w:p>
      <w:pPr>
        <w:spacing w:after="0" w:line="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Canadian Borrower</w:t>
      </w:r>
    </w:p>
    <w:p>
      <w:pPr>
        <w:spacing w:after="0" w:line="200" w:lineRule="exact"/>
        <w:rPr>
          <w:sz w:val="20"/>
          <w:szCs w:val="20"/>
          <w:color w:val="auto"/>
        </w:rPr>
      </w:pPr>
    </w:p>
    <w:p>
      <w:pPr>
        <w:spacing w:after="0" w:line="270" w:lineRule="exact"/>
        <w:rPr>
          <w:sz w:val="20"/>
          <w:szCs w:val="20"/>
          <w:color w:val="auto"/>
        </w:rPr>
      </w:pPr>
    </w:p>
    <w:p>
      <w:pPr>
        <w:ind w:left="4520"/>
        <w:spacing w:after="0"/>
        <w:tabs>
          <w:tab w:leader="none" w:pos="5020" w:val="left"/>
          <w:tab w:leader="none" w:pos="5780" w:val="left"/>
          <w:tab w:leader="none" w:pos="6400" w:val="left"/>
        </w:tabs>
        <w:rPr>
          <w:sz w:val="20"/>
          <w:szCs w:val="20"/>
          <w:color w:val="auto"/>
        </w:rPr>
      </w:pPr>
      <w:r>
        <w:rPr>
          <w:rFonts w:ascii="Times New Roman" w:cs="Times New Roman" w:eastAsia="Times New Roman" w:hAnsi="Times New Roman"/>
          <w:sz w:val="20"/>
          <w:szCs w:val="20"/>
          <w:color w:val="auto"/>
        </w:rPr>
        <w:t>By:</w:t>
        <w:tab/>
        <w:t>Name:</w:t>
        <w:tab/>
        <w:t>Title:</w:t>
      </w:r>
      <w:r>
        <w:rPr>
          <w:sz w:val="20"/>
          <w:szCs w:val="20"/>
          <w:color w:val="auto"/>
        </w:rPr>
        <w:tab/>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3044825</wp:posOffset>
            </wp:positionH>
            <wp:positionV relativeFrom="paragraph">
              <wp:posOffset>-12065</wp:posOffset>
            </wp:positionV>
            <wp:extent cx="12446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630">
                      <a:extLst>
                        <a:ext uri="{28A0092B-C50C-407E-A947-70E740481C1C}"/>
                      </a:extLst>
                    </a:blip>
                    <a:srcRect/>
                    <a:stretch>
                      <a:fillRect/>
                    </a:stretch>
                  </pic:blipFill>
                  <pic:spPr bwMode="auto">
                    <a:xfrm>
                      <a:off x="0" y="0"/>
                      <a:ext cx="124460" cy="8255"/>
                    </a:xfrm>
                    <a:prstGeom prst="rect">
                      <a:avLst/>
                    </a:prstGeom>
                    <a:noFill/>
                  </pic:spPr>
                </pic:pic>
              </a:graphicData>
            </a:graphic>
          </wp:anchor>
        </w:drawing>
        <w:drawing>
          <wp:anchor simplePos="0" relativeHeight="251657728" behindDoc="1" locked="0" layoutInCell="0" allowOverlap="1">
            <wp:simplePos x="0" y="0"/>
            <wp:positionH relativeFrom="column">
              <wp:posOffset>3531870</wp:posOffset>
            </wp:positionH>
            <wp:positionV relativeFrom="paragraph">
              <wp:posOffset>-12065</wp:posOffset>
            </wp:positionV>
            <wp:extent cx="12446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631">
                      <a:extLst>
                        <a:ext uri="{28A0092B-C50C-407E-A947-70E740481C1C}"/>
                      </a:extLst>
                    </a:blip>
                    <a:srcRect/>
                    <a:stretch>
                      <a:fillRect/>
                    </a:stretch>
                  </pic:blipFill>
                  <pic:spPr bwMode="auto">
                    <a:xfrm>
                      <a:off x="0" y="0"/>
                      <a:ext cx="124460" cy="825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-12065</wp:posOffset>
            </wp:positionV>
            <wp:extent cx="12446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632">
                      <a:extLst>
                        <a:ext uri="{28A0092B-C50C-407E-A947-70E740481C1C}"/>
                      </a:extLst>
                    </a:blip>
                    <a:srcRect/>
                    <a:stretch>
                      <a:fillRect/>
                    </a:stretch>
                  </pic:blipFill>
                  <pic:spPr bwMode="auto">
                    <a:xfrm>
                      <a:off x="0" y="0"/>
                      <a:ext cx="124460" cy="82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[[INSERT EACH ADDITIONAL CANADIAN</w:t>
      </w:r>
    </w:p>
    <w:p>
      <w:pPr>
        <w:spacing w:after="0" w:line="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BORROWER], as a Canadian Borrower</w:t>
      </w:r>
    </w:p>
    <w:p>
      <w:pPr>
        <w:spacing w:after="0" w:line="200" w:lineRule="exact"/>
        <w:rPr>
          <w:sz w:val="20"/>
          <w:szCs w:val="20"/>
          <w:color w:val="auto"/>
        </w:rPr>
      </w:pPr>
    </w:p>
    <w:p>
      <w:pPr>
        <w:spacing w:after="0" w:line="257" w:lineRule="exact"/>
        <w:rPr>
          <w:sz w:val="20"/>
          <w:szCs w:val="20"/>
          <w:color w:val="auto"/>
        </w:rPr>
      </w:pPr>
    </w:p>
    <w:p>
      <w:pPr>
        <w:ind w:left="4520"/>
        <w:spacing w:after="0"/>
        <w:tabs>
          <w:tab w:leader="none" w:pos="5020" w:val="left"/>
          <w:tab w:leader="none" w:pos="5780" w:val="left"/>
          <w:tab w:leader="none" w:pos="6440" w:val="left"/>
        </w:tabs>
        <w:rPr>
          <w:sz w:val="20"/>
          <w:szCs w:val="20"/>
          <w:color w:val="auto"/>
        </w:rPr>
      </w:pPr>
      <w:r>
        <w:rPr>
          <w:rFonts w:ascii="Times New Roman" w:cs="Times New Roman" w:eastAsia="Times New Roman" w:hAnsi="Times New Roman"/>
          <w:sz w:val="20"/>
          <w:szCs w:val="20"/>
          <w:color w:val="auto"/>
        </w:rPr>
        <w:t>By:</w:t>
        <w:tab/>
        <w:t>Name:</w:t>
        <w:tab/>
        <w:t>Title:</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3044825</wp:posOffset>
            </wp:positionH>
            <wp:positionV relativeFrom="paragraph">
              <wp:posOffset>-12065</wp:posOffset>
            </wp:positionV>
            <wp:extent cx="12446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633">
                      <a:extLst>
                        <a:ext uri="{28A0092B-C50C-407E-A947-70E740481C1C}"/>
                      </a:extLst>
                    </a:blip>
                    <a:srcRect/>
                    <a:stretch>
                      <a:fillRect/>
                    </a:stretch>
                  </pic:blipFill>
                  <pic:spPr bwMode="auto">
                    <a:xfrm>
                      <a:off x="0" y="0"/>
                      <a:ext cx="124460" cy="8255"/>
                    </a:xfrm>
                    <a:prstGeom prst="rect">
                      <a:avLst/>
                    </a:prstGeom>
                    <a:noFill/>
                  </pic:spPr>
                </pic:pic>
              </a:graphicData>
            </a:graphic>
          </wp:anchor>
        </w:drawing>
        <w:drawing>
          <wp:anchor simplePos="0" relativeHeight="251657728" behindDoc="1" locked="0" layoutInCell="0" allowOverlap="1">
            <wp:simplePos x="0" y="0"/>
            <wp:positionH relativeFrom="column">
              <wp:posOffset>3531870</wp:posOffset>
            </wp:positionH>
            <wp:positionV relativeFrom="paragraph">
              <wp:posOffset>-12065</wp:posOffset>
            </wp:positionV>
            <wp:extent cx="12446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634">
                      <a:extLst>
                        <a:ext uri="{28A0092B-C50C-407E-A947-70E740481C1C}"/>
                      </a:extLst>
                    </a:blip>
                    <a:srcRect/>
                    <a:stretch>
                      <a:fillRect/>
                    </a:stretch>
                  </pic:blipFill>
                  <pic:spPr bwMode="auto">
                    <a:xfrm>
                      <a:off x="0" y="0"/>
                      <a:ext cx="124460" cy="825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-12065</wp:posOffset>
            </wp:positionV>
            <wp:extent cx="19685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635">
                      <a:extLst>
                        <a:ext uri="{28A0092B-C50C-407E-A947-70E740481C1C}"/>
                      </a:extLst>
                    </a:blip>
                    <a:srcRect/>
                    <a:stretch>
                      <a:fillRect/>
                    </a:stretch>
                  </pic:blipFill>
                  <pic:spPr bwMode="auto">
                    <a:xfrm>
                      <a:off x="0" y="0"/>
                      <a:ext cx="1968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188871398_2</w:t>
      </w:r>
    </w:p>
    <w:p>
      <w:pPr>
        <w:sectPr>
          <w:pgSz w:w="11900" w:h="16838" w:orient="portrait"/>
          <w:cols w:equalWidth="0" w:num="1">
            <w:col w:w="10440"/>
          </w:cols>
          <w:pgMar w:left="360" w:top="1440" w:right="1099" w:bottom="1440" w:gutter="0" w:footer="0" w:header="0"/>
        </w:sectPr>
      </w:pPr>
    </w:p>
    <w:bookmarkStart w:id="461" w:name="page462"/>
    <w:bookmarkEnd w:id="461"/>
    <w:p>
      <w:pPr>
        <w:spacing w:after="0" w:line="202"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20"/>
          <w:szCs w:val="20"/>
          <w:u w:val="single" w:color="auto"/>
          <w:color w:val="auto"/>
        </w:rPr>
        <w:t>EXHIBIT D</w:t>
      </w:r>
    </w:p>
    <w:p>
      <w:pPr>
        <w:spacing w:after="0" w:line="17"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20"/>
          <w:szCs w:val="20"/>
          <w:color w:val="auto"/>
        </w:rPr>
        <w:t>to</w:t>
      </w:r>
    </w:p>
    <w:p>
      <w:pPr>
        <w:jc w:val="center"/>
        <w:ind w:right="-1080"/>
        <w:spacing w:after="0"/>
        <w:rPr>
          <w:sz w:val="20"/>
          <w:szCs w:val="20"/>
          <w:color w:val="auto"/>
        </w:rPr>
      </w:pPr>
      <w:r>
        <w:rPr>
          <w:rFonts w:ascii="Times New Roman" w:cs="Times New Roman" w:eastAsia="Times New Roman" w:hAnsi="Times New Roman"/>
          <w:sz w:val="20"/>
          <w:szCs w:val="20"/>
          <w:color w:val="auto"/>
        </w:rPr>
        <w:t>Second Amended and Restated Credit Agreement dated as of August 27,</w:t>
      </w:r>
    </w:p>
    <w:p>
      <w:pPr>
        <w:spacing w:after="0" w:line="3"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20"/>
          <w:szCs w:val="20"/>
          <w:color w:val="auto"/>
        </w:rPr>
        <w:t>2021</w:t>
      </w:r>
    </w:p>
    <w:p>
      <w:pPr>
        <w:spacing w:after="0" w:line="5"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20"/>
          <w:szCs w:val="20"/>
          <w:color w:val="auto"/>
        </w:rPr>
        <w:t>by and among Centuri Group, Inc.</w:t>
      </w:r>
    </w:p>
    <w:p>
      <w:pPr>
        <w:spacing w:after="0" w:line="3"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20"/>
          <w:szCs w:val="20"/>
          <w:color w:val="auto"/>
        </w:rPr>
        <w:t>and each Additional Borrower that becomes a party thereto as a US Borrower, as US Borrowers,</w:t>
      </w:r>
    </w:p>
    <w:p>
      <w:pPr>
        <w:spacing w:after="0" w:line="3"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20"/>
          <w:szCs w:val="20"/>
          <w:color w:val="auto"/>
        </w:rPr>
        <w:t>Centuri Canada Division Inc.</w:t>
      </w:r>
    </w:p>
    <w:p>
      <w:pPr>
        <w:jc w:val="center"/>
        <w:ind w:right="-1080"/>
        <w:spacing w:after="0"/>
        <w:rPr>
          <w:sz w:val="20"/>
          <w:szCs w:val="20"/>
          <w:color w:val="auto"/>
        </w:rPr>
      </w:pPr>
      <w:r>
        <w:rPr>
          <w:rFonts w:ascii="Times New Roman" w:cs="Times New Roman" w:eastAsia="Times New Roman" w:hAnsi="Times New Roman"/>
          <w:sz w:val="19"/>
          <w:szCs w:val="19"/>
          <w:color w:val="auto"/>
        </w:rPr>
        <w:t>and each Additional Borrower that becomes a party thereto as a Canadian Borrower, as Canadian Borrowers,</w:t>
      </w:r>
    </w:p>
    <w:p>
      <w:pPr>
        <w:spacing w:after="0" w:line="14"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20"/>
          <w:szCs w:val="20"/>
          <w:color w:val="auto"/>
        </w:rPr>
        <w:t>the lenders party thereto, as Lenders,</w:t>
      </w:r>
    </w:p>
    <w:p>
      <w:pPr>
        <w:spacing w:after="0" w:line="3"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20"/>
          <w:szCs w:val="20"/>
          <w:color w:val="auto"/>
        </w:rPr>
        <w:t>and</w:t>
      </w:r>
    </w:p>
    <w:p>
      <w:pPr>
        <w:jc w:val="center"/>
        <w:ind w:right="-1080"/>
        <w:spacing w:after="0"/>
        <w:rPr>
          <w:sz w:val="20"/>
          <w:szCs w:val="20"/>
          <w:color w:val="auto"/>
        </w:rPr>
      </w:pPr>
      <w:r>
        <w:rPr>
          <w:rFonts w:ascii="Times New Roman" w:cs="Times New Roman" w:eastAsia="Times New Roman" w:hAnsi="Times New Roman"/>
          <w:sz w:val="20"/>
          <w:szCs w:val="20"/>
          <w:color w:val="auto"/>
        </w:rPr>
        <w:t>Wells Fargo Bank, National Association, as Administrative Agent</w:t>
      </w:r>
    </w:p>
    <w:p>
      <w:pPr>
        <w:spacing w:after="0" w:line="200" w:lineRule="exact"/>
        <w:rPr>
          <w:sz w:val="20"/>
          <w:szCs w:val="20"/>
          <w:color w:val="auto"/>
        </w:rPr>
      </w:pPr>
    </w:p>
    <w:p>
      <w:pPr>
        <w:spacing w:after="0" w:line="270"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0"/>
          <w:szCs w:val="20"/>
          <w:u w:val="single" w:color="auto"/>
          <w:color w:val="auto"/>
        </w:rPr>
        <w:t>FORM OF NOTICE OF PREPAYMENT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188871398_2</w:t>
      </w:r>
    </w:p>
    <w:p>
      <w:pPr>
        <w:sectPr>
          <w:pgSz w:w="11900" w:h="16838" w:orient="portrait"/>
          <w:cols w:equalWidth="0" w:num="1">
            <w:col w:w="10099"/>
          </w:cols>
          <w:pgMar w:left="360" w:top="1440" w:right="1440" w:bottom="1440" w:gutter="0" w:footer="0" w:header="0"/>
        </w:sectPr>
      </w:pPr>
    </w:p>
    <w:bookmarkStart w:id="462" w:name="page463"/>
    <w:bookmarkEnd w:id="462"/>
    <w:p>
      <w:pPr>
        <w:spacing w:after="0" w:line="186" w:lineRule="auto"/>
        <w:framePr w:w="1980" w:h="143" w:wrap="auto" w:vAnchor="page" w:hAnchor="page" w:x="9500" w:y="6576"/>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(Complete with an amount in</w:t>
      </w:r>
    </w:p>
    <w:p>
      <w:pPr>
        <w:spacing w:after="0" w:line="201" w:lineRule="exact"/>
        <w:rPr>
          <w:rFonts w:ascii="Times New Roman" w:cs="Times New Roman" w:eastAsia="Times New Roman" w:hAnsi="Times New Roman"/>
          <w:sz w:val="16"/>
          <w:szCs w:val="16"/>
          <w:color w:val="auto"/>
        </w:rPr>
      </w:pPr>
    </w:p>
    <w:p>
      <w:pPr>
        <w:jc w:val="center"/>
        <w:ind w:right="-99"/>
        <w:spacing w:after="0"/>
        <w:rPr>
          <w:sz w:val="20"/>
          <w:szCs w:val="20"/>
          <w:color w:val="auto"/>
        </w:rPr>
      </w:pPr>
      <w:r>
        <w:rPr>
          <w:rFonts w:ascii="Times New Roman" w:cs="Times New Roman" w:eastAsia="Times New Roman" w:hAnsi="Times New Roman"/>
          <w:sz w:val="20"/>
          <w:szCs w:val="20"/>
          <w:u w:val="single" w:color="auto"/>
          <w:color w:val="auto"/>
        </w:rPr>
        <w:t>NOTICE OF PREPAYMENT</w:t>
      </w:r>
    </w:p>
    <w:p>
      <w:pPr>
        <w:spacing w:after="0" w:line="200" w:lineRule="exact"/>
        <w:rPr>
          <w:rFonts w:ascii="Times New Roman" w:cs="Times New Roman" w:eastAsia="Times New Roman" w:hAnsi="Times New Roman"/>
          <w:sz w:val="16"/>
          <w:szCs w:val="16"/>
          <w:color w:val="auto"/>
        </w:rPr>
      </w:pPr>
    </w:p>
    <w:p>
      <w:pPr>
        <w:spacing w:after="0" w:line="252" w:lineRule="exact"/>
        <w:rPr>
          <w:rFonts w:ascii="Times New Roman" w:cs="Times New Roman" w:eastAsia="Times New Roman" w:hAnsi="Times New Roman"/>
          <w:sz w:val="16"/>
          <w:szCs w:val="16"/>
          <w:color w:val="auto"/>
        </w:rPr>
      </w:pPr>
    </w:p>
    <w:p>
      <w:pPr>
        <w:ind w:left="4980"/>
        <w:spacing w:after="0"/>
        <w:rPr>
          <w:sz w:val="20"/>
          <w:szCs w:val="20"/>
          <w:color w:val="auto"/>
        </w:rPr>
      </w:pPr>
      <w:r>
        <w:rPr>
          <w:rFonts w:ascii="Times New Roman" w:cs="Times New Roman" w:eastAsia="Times New Roman" w:hAnsi="Times New Roman"/>
          <w:sz w:val="20"/>
          <w:szCs w:val="20"/>
          <w:color w:val="auto"/>
        </w:rPr>
        <w:t>Dated as of:</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3799840</wp:posOffset>
            </wp:positionH>
            <wp:positionV relativeFrom="paragraph">
              <wp:posOffset>-12065</wp:posOffset>
            </wp:positionV>
            <wp:extent cx="12446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636">
                      <a:extLst>
                        <a:ext uri="{28A0092B-C50C-407E-A947-70E740481C1C}"/>
                      </a:extLst>
                    </a:blip>
                    <a:srcRect/>
                    <a:stretch>
                      <a:fillRect/>
                    </a:stretch>
                  </pic:blipFill>
                  <pic:spPr bwMode="auto">
                    <a:xfrm>
                      <a:off x="0" y="0"/>
                      <a:ext cx="124460" cy="8255"/>
                    </a:xfrm>
                    <a:prstGeom prst="rect">
                      <a:avLst/>
                    </a:prstGeom>
                    <a:noFill/>
                  </pic:spPr>
                </pic:pic>
              </a:graphicData>
            </a:graphic>
          </wp:anchor>
        </w:drawing>
      </w:r>
    </w:p>
    <w:p>
      <w:pPr>
        <w:spacing w:after="0" w:line="231" w:lineRule="exact"/>
        <w:rPr>
          <w:rFonts w:ascii="Times New Roman" w:cs="Times New Roman" w:eastAsia="Times New Roman" w:hAnsi="Times New Roman"/>
          <w:sz w:val="16"/>
          <w:szCs w:val="16"/>
          <w:color w:val="auto"/>
        </w:rPr>
      </w:pPr>
    </w:p>
    <w:p>
      <w:pPr>
        <w:ind w:left="640"/>
        <w:spacing w:after="0"/>
        <w:rPr>
          <w:sz w:val="20"/>
          <w:szCs w:val="20"/>
          <w:color w:val="auto"/>
        </w:rPr>
      </w:pPr>
      <w:r>
        <w:rPr>
          <w:rFonts w:ascii="Times New Roman" w:cs="Times New Roman" w:eastAsia="Times New Roman" w:hAnsi="Times New Roman"/>
          <w:sz w:val="20"/>
          <w:szCs w:val="20"/>
          <w:color w:val="auto"/>
        </w:rPr>
        <w:t>Wells Fargo Bank, National Association, as Administrative Agent</w:t>
      </w:r>
    </w:p>
    <w:p>
      <w:pPr>
        <w:spacing w:after="0" w:line="19" w:lineRule="exact"/>
        <w:rPr>
          <w:rFonts w:ascii="Times New Roman" w:cs="Times New Roman" w:eastAsia="Times New Roman" w:hAnsi="Times New Roman"/>
          <w:sz w:val="16"/>
          <w:szCs w:val="16"/>
          <w:color w:val="auto"/>
        </w:rPr>
      </w:pPr>
    </w:p>
    <w:p>
      <w:pPr>
        <w:ind w:left="640"/>
        <w:spacing w:after="0"/>
        <w:rPr>
          <w:sz w:val="20"/>
          <w:szCs w:val="20"/>
          <w:color w:val="auto"/>
        </w:rPr>
      </w:pPr>
      <w:r>
        <w:rPr>
          <w:rFonts w:ascii="Times New Roman" w:cs="Times New Roman" w:eastAsia="Times New Roman" w:hAnsi="Times New Roman"/>
          <w:sz w:val="20"/>
          <w:szCs w:val="20"/>
          <w:color w:val="auto"/>
        </w:rPr>
        <w:t>MAC D 1109-019</w:t>
      </w:r>
    </w:p>
    <w:p>
      <w:pPr>
        <w:spacing w:after="0" w:line="3" w:lineRule="exact"/>
        <w:rPr>
          <w:rFonts w:ascii="Times New Roman" w:cs="Times New Roman" w:eastAsia="Times New Roman" w:hAnsi="Times New Roman"/>
          <w:sz w:val="16"/>
          <w:szCs w:val="16"/>
          <w:color w:val="auto"/>
        </w:rPr>
      </w:pPr>
    </w:p>
    <w:p>
      <w:pPr>
        <w:ind w:left="640"/>
        <w:spacing w:after="0"/>
        <w:rPr>
          <w:sz w:val="20"/>
          <w:szCs w:val="20"/>
          <w:color w:val="auto"/>
        </w:rPr>
      </w:pPr>
      <w:r>
        <w:rPr>
          <w:rFonts w:ascii="Times New Roman" w:cs="Times New Roman" w:eastAsia="Times New Roman" w:hAnsi="Times New Roman"/>
          <w:sz w:val="20"/>
          <w:szCs w:val="20"/>
          <w:color w:val="auto"/>
        </w:rPr>
        <w:t>1525 West W.T. Harris Blvd. Charlotte, North Carolina 28262</w:t>
      </w:r>
    </w:p>
    <w:p>
      <w:pPr>
        <w:spacing w:after="0" w:line="117" w:lineRule="exact"/>
        <w:rPr>
          <w:rFonts w:ascii="Times New Roman" w:cs="Times New Roman" w:eastAsia="Times New Roman" w:hAnsi="Times New Roman"/>
          <w:sz w:val="16"/>
          <w:szCs w:val="16"/>
          <w:color w:val="auto"/>
        </w:rPr>
      </w:pPr>
    </w:p>
    <w:p>
      <w:pPr>
        <w:ind w:left="640"/>
        <w:spacing w:after="0"/>
        <w:rPr>
          <w:sz w:val="20"/>
          <w:szCs w:val="20"/>
          <w:color w:val="auto"/>
        </w:rPr>
      </w:pPr>
      <w:r>
        <w:rPr>
          <w:rFonts w:ascii="Times New Roman" w:cs="Times New Roman" w:eastAsia="Times New Roman" w:hAnsi="Times New Roman"/>
          <w:sz w:val="20"/>
          <w:szCs w:val="20"/>
          <w:color w:val="auto"/>
        </w:rPr>
        <w:t>Attention: Syndication Agency Services Ladies and Gentlemen:</w:t>
      </w:r>
    </w:p>
    <w:p>
      <w:pPr>
        <w:spacing w:after="0" w:line="100" w:lineRule="exact"/>
        <w:rPr>
          <w:rFonts w:ascii="Times New Roman" w:cs="Times New Roman" w:eastAsia="Times New Roman" w:hAnsi="Times New Roman"/>
          <w:sz w:val="16"/>
          <w:szCs w:val="16"/>
          <w:color w:val="auto"/>
        </w:rPr>
      </w:pPr>
    </w:p>
    <w:p>
      <w:pPr>
        <w:jc w:val="both"/>
        <w:ind w:left="640" w:firstLine="642"/>
        <w:spacing w:after="0" w:line="264" w:lineRule="auto"/>
        <w:rPr>
          <w:sz w:val="20"/>
          <w:szCs w:val="20"/>
          <w:color w:val="auto"/>
        </w:rPr>
      </w:pPr>
      <w:r>
        <w:rPr>
          <w:rFonts w:ascii="Times New Roman" w:cs="Times New Roman" w:eastAsia="Times New Roman" w:hAnsi="Times New Roman"/>
          <w:sz w:val="19"/>
          <w:szCs w:val="19"/>
          <w:color w:val="auto"/>
        </w:rPr>
        <w:t xml:space="preserve">This irrevocable Notice of Prepayment is delivered to you pursuant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u w:val="single" w:color="auto"/>
          <w:color w:val="auto"/>
        </w:rPr>
        <w:t>2.4(c)</w:t>
      </w:r>
      <w:r>
        <w:rPr>
          <w:rFonts w:ascii="Times New Roman" w:cs="Times New Roman" w:eastAsia="Times New Roman" w:hAnsi="Times New Roman"/>
          <w:sz w:val="19"/>
          <w:szCs w:val="19"/>
          <w:b w:val="1"/>
          <w:bCs w:val="1"/>
          <w:color w:val="auto"/>
        </w:rPr>
        <w:t>] [</w:t>
      </w:r>
      <w:r>
        <w:rPr>
          <w:rFonts w:ascii="Times New Roman" w:cs="Times New Roman" w:eastAsia="Times New Roman" w:hAnsi="Times New Roman"/>
          <w:sz w:val="19"/>
          <w:szCs w:val="19"/>
          <w:u w:val="single" w:color="auto"/>
          <w:color w:val="auto"/>
        </w:rPr>
        <w:t>4.4(a)</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of the Second Amended and Restated Credit Agreement, dated as of August 27, 2021 (as amended, amended and restated, supplemented or otherwise modified from time to time, the “</w:t>
      </w:r>
      <w:r>
        <w:rPr>
          <w:rFonts w:ascii="Times New Roman" w:cs="Times New Roman" w:eastAsia="Times New Roman" w:hAnsi="Times New Roman"/>
          <w:sz w:val="19"/>
          <w:szCs w:val="19"/>
          <w:u w:val="single" w:color="auto"/>
          <w:color w:val="auto"/>
        </w:rPr>
        <w:t>Credit Agreement</w:t>
      </w:r>
      <w:r>
        <w:rPr>
          <w:rFonts w:ascii="Times New Roman" w:cs="Times New Roman" w:eastAsia="Times New Roman" w:hAnsi="Times New Roman"/>
          <w:sz w:val="19"/>
          <w:szCs w:val="19"/>
          <w:color w:val="auto"/>
        </w:rPr>
        <w:t>”), by and among Centuri Group, Inc., a Nevada corporation (“</w:t>
      </w:r>
      <w:r>
        <w:rPr>
          <w:rFonts w:ascii="Times New Roman" w:cs="Times New Roman" w:eastAsia="Times New Roman" w:hAnsi="Times New Roman"/>
          <w:sz w:val="19"/>
          <w:szCs w:val="19"/>
          <w:u w:val="single" w:color="auto"/>
          <w:color w:val="auto"/>
        </w:rPr>
        <w:t>Centuri</w:t>
      </w:r>
      <w:r>
        <w:rPr>
          <w:rFonts w:ascii="Times New Roman" w:cs="Times New Roman" w:eastAsia="Times New Roman" w:hAnsi="Times New Roman"/>
          <w:sz w:val="19"/>
          <w:szCs w:val="19"/>
          <w:color w:val="auto"/>
        </w:rPr>
        <w:t xml:space="preserve">”), and each Additional Borrower that becomes a party thereto in accordance with </w:t>
      </w:r>
      <w:r>
        <w:rPr>
          <w:rFonts w:ascii="Times New Roman" w:cs="Times New Roman" w:eastAsia="Times New Roman" w:hAnsi="Times New Roman"/>
          <w:sz w:val="19"/>
          <w:szCs w:val="19"/>
          <w:u w:val="single" w:color="auto"/>
          <w:color w:val="auto"/>
        </w:rPr>
        <w:t>Section 5.17</w:t>
      </w:r>
      <w:r>
        <w:rPr>
          <w:rFonts w:ascii="Times New Roman" w:cs="Times New Roman" w:eastAsia="Times New Roman" w:hAnsi="Times New Roman"/>
          <w:sz w:val="19"/>
          <w:szCs w:val="19"/>
          <w:color w:val="auto"/>
        </w:rPr>
        <w:t xml:space="preserve"> thereof (collectively, the “</w:t>
      </w:r>
      <w:r>
        <w:rPr>
          <w:rFonts w:ascii="Times New Roman" w:cs="Times New Roman" w:eastAsia="Times New Roman" w:hAnsi="Times New Roman"/>
          <w:sz w:val="19"/>
          <w:szCs w:val="19"/>
          <w:u w:val="single" w:color="auto"/>
          <w:color w:val="auto"/>
        </w:rPr>
        <w:t>US Borrowers</w:t>
      </w:r>
      <w:r>
        <w:rPr>
          <w:rFonts w:ascii="Times New Roman" w:cs="Times New Roman" w:eastAsia="Times New Roman" w:hAnsi="Times New Roman"/>
          <w:sz w:val="19"/>
          <w:szCs w:val="19"/>
          <w:color w:val="auto"/>
        </w:rPr>
        <w:t>”), Centuri Canada Division Inc., a corporation organized under the laws of the Province of Ontario (“</w:t>
      </w:r>
      <w:r>
        <w:rPr>
          <w:rFonts w:ascii="Times New Roman" w:cs="Times New Roman" w:eastAsia="Times New Roman" w:hAnsi="Times New Roman"/>
          <w:sz w:val="19"/>
          <w:szCs w:val="19"/>
          <w:u w:val="single" w:color="auto"/>
          <w:color w:val="auto"/>
        </w:rPr>
        <w:t>Centuri Canada</w:t>
      </w:r>
      <w:r>
        <w:rPr>
          <w:rFonts w:ascii="Times New Roman" w:cs="Times New Roman" w:eastAsia="Times New Roman" w:hAnsi="Times New Roman"/>
          <w:sz w:val="19"/>
          <w:szCs w:val="19"/>
          <w:color w:val="auto"/>
        </w:rPr>
        <w:t xml:space="preserve">”), Canada, and each Additional Borrower that becomes a party thereto in accordance with </w:t>
      </w:r>
      <w:r>
        <w:rPr>
          <w:rFonts w:ascii="Times New Roman" w:cs="Times New Roman" w:eastAsia="Times New Roman" w:hAnsi="Times New Roman"/>
          <w:sz w:val="19"/>
          <w:szCs w:val="19"/>
          <w:u w:val="single" w:color="auto"/>
          <w:color w:val="auto"/>
        </w:rPr>
        <w:t>Section 5.17</w:t>
      </w:r>
      <w:r>
        <w:rPr>
          <w:rFonts w:ascii="Times New Roman" w:cs="Times New Roman" w:eastAsia="Times New Roman" w:hAnsi="Times New Roman"/>
          <w:sz w:val="19"/>
          <w:szCs w:val="19"/>
          <w:color w:val="auto"/>
        </w:rPr>
        <w:t xml:space="preserve"> thereof (collectively, the “</w:t>
      </w:r>
      <w:r>
        <w:rPr>
          <w:rFonts w:ascii="Times New Roman" w:cs="Times New Roman" w:eastAsia="Times New Roman" w:hAnsi="Times New Roman"/>
          <w:sz w:val="19"/>
          <w:szCs w:val="19"/>
          <w:u w:val="single" w:color="auto"/>
          <w:color w:val="auto"/>
        </w:rPr>
        <w:t>Canadian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Borrowers</w:t>
      </w:r>
      <w:r>
        <w:rPr>
          <w:rFonts w:ascii="Times New Roman" w:cs="Times New Roman" w:eastAsia="Times New Roman" w:hAnsi="Times New Roman"/>
          <w:sz w:val="19"/>
          <w:szCs w:val="19"/>
          <w:color w:val="auto"/>
        </w:rPr>
        <w:t>”), the Lenders party thereto and Wells Fargo Bank, National Association, as Administrative Agent. Capitalized terms used herein and not defined herein shall have the meanings assigned thereto in the Credit Agreement.</w:t>
      </w:r>
    </w:p>
    <w:p>
      <w:pPr>
        <w:spacing w:after="0" w:line="168" w:lineRule="exact"/>
        <w:rPr>
          <w:rFonts w:ascii="Times New Roman" w:cs="Times New Roman" w:eastAsia="Times New Roman" w:hAnsi="Times New Roman"/>
          <w:sz w:val="16"/>
          <w:szCs w:val="16"/>
          <w:color w:val="auto"/>
        </w:rPr>
      </w:pPr>
    </w:p>
    <w:p>
      <w:pPr>
        <w:ind w:left="1920" w:hanging="633"/>
        <w:spacing w:after="0"/>
        <w:tabs>
          <w:tab w:leader="none" w:pos="1920" w:val="left"/>
        </w:tabs>
        <w:numPr>
          <w:ilvl w:val="0"/>
          <w:numId w:val="3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[Centuri][INSERT EACH ADDITIONAL US BORROWER][Centuri Canada][INSERT</w:t>
      </w:r>
    </w:p>
    <w:p>
      <w:pPr>
        <w:spacing w:after="0" w:line="19" w:lineRule="exact"/>
        <w:rPr>
          <w:rFonts w:ascii="Times New Roman" w:cs="Times New Roman" w:eastAsia="Times New Roman" w:hAnsi="Times New Roman"/>
          <w:sz w:val="16"/>
          <w:szCs w:val="16"/>
          <w:color w:val="auto"/>
        </w:rPr>
      </w:pPr>
    </w:p>
    <w:p>
      <w:pPr>
        <w:ind w:left="640"/>
        <w:spacing w:after="0" w:line="188" w:lineRule="auto"/>
        <w:rPr>
          <w:sz w:val="20"/>
          <w:szCs w:val="20"/>
          <w:color w:val="auto"/>
        </w:rPr>
      </w:pPr>
      <w:r>
        <w:rPr>
          <w:rFonts w:ascii="Times New Roman" w:cs="Times New Roman" w:eastAsia="Times New Roman" w:hAnsi="Times New Roman"/>
          <w:sz w:val="14"/>
          <w:szCs w:val="14"/>
          <w:color w:val="auto"/>
        </w:rPr>
        <w:t>EACH ADDITIONAL CANADIAN BORROWER] hereby provide[s] notice to the Administrative Agent that it shall prepay the following [Base Rate Loans] [SOFR Loans] [Canadian Base Rate Loans] and/or [Term CORRA Loans]: .</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5640705</wp:posOffset>
            </wp:positionH>
            <wp:positionV relativeFrom="paragraph">
              <wp:posOffset>112395</wp:posOffset>
            </wp:positionV>
            <wp:extent cx="12446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637">
                      <a:extLst>
                        <a:ext uri="{28A0092B-C50C-407E-A947-70E740481C1C}"/>
                      </a:extLst>
                    </a:blip>
                    <a:srcRect/>
                    <a:stretch>
                      <a:fillRect/>
                    </a:stretch>
                  </pic:blipFill>
                  <pic:spPr bwMode="auto">
                    <a:xfrm>
                      <a:off x="0" y="0"/>
                      <a:ext cx="124460" cy="8255"/>
                    </a:xfrm>
                    <a:prstGeom prst="rect">
                      <a:avLst/>
                    </a:prstGeom>
                    <a:noFill/>
                  </pic:spPr>
                </pic:pic>
              </a:graphicData>
            </a:graphic>
          </wp:anchor>
        </w:drawing>
      </w:r>
    </w:p>
    <w:p>
      <w:pPr>
        <w:spacing w:after="0" w:line="183" w:lineRule="exact"/>
        <w:rPr>
          <w:rFonts w:ascii="Times New Roman" w:cs="Times New Roman" w:eastAsia="Times New Roman" w:hAnsi="Times New Roman"/>
          <w:sz w:val="16"/>
          <w:szCs w:val="16"/>
          <w:color w:val="auto"/>
        </w:rPr>
      </w:pPr>
    </w:p>
    <w:p>
      <w:pPr>
        <w:ind w:left="640"/>
        <w:spacing w:after="0"/>
        <w:rPr>
          <w:sz w:val="20"/>
          <w:szCs w:val="20"/>
          <w:color w:val="auto"/>
        </w:rPr>
      </w:pPr>
      <w:r>
        <w:rPr>
          <w:rFonts w:ascii="Times New Roman" w:cs="Times New Roman" w:eastAsia="Times New Roman" w:hAnsi="Times New Roman"/>
          <w:sz w:val="16"/>
          <w:szCs w:val="16"/>
          <w:color w:val="auto"/>
        </w:rPr>
        <w:t xml:space="preserve">accordance with </w:t>
      </w:r>
      <w:r>
        <w:rPr>
          <w:rFonts w:ascii="Times New Roman" w:cs="Times New Roman" w:eastAsia="Times New Roman" w:hAnsi="Times New Roman"/>
          <w:sz w:val="16"/>
          <w:szCs w:val="16"/>
          <w:u w:val="single" w:color="auto"/>
          <w:color w:val="auto"/>
        </w:rPr>
        <w:t>Section 2.4</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4.4</w:t>
      </w:r>
      <w:r>
        <w:rPr>
          <w:rFonts w:ascii="Times New Roman" w:cs="Times New Roman" w:eastAsia="Times New Roman" w:hAnsi="Times New Roman"/>
          <w:sz w:val="16"/>
          <w:szCs w:val="16"/>
          <w:color w:val="auto"/>
        </w:rPr>
        <w:t xml:space="preserve"> of the Credit Agreement.)</w:t>
      </w:r>
    </w:p>
    <w:p>
      <w:pPr>
        <w:spacing w:after="0" w:line="218" w:lineRule="exact"/>
        <w:rPr>
          <w:rFonts w:ascii="Times New Roman" w:cs="Times New Roman" w:eastAsia="Times New Roman" w:hAnsi="Times New Roman"/>
          <w:sz w:val="16"/>
          <w:szCs w:val="16"/>
          <w:color w:val="auto"/>
        </w:rPr>
      </w:pPr>
    </w:p>
    <w:p>
      <w:pPr>
        <w:ind w:left="2580" w:right="4020" w:hanging="1293"/>
        <w:spacing w:after="0" w:line="469" w:lineRule="auto"/>
        <w:tabs>
          <w:tab w:leader="none" w:pos="1925" w:val="left"/>
        </w:tabs>
        <w:numPr>
          <w:ilvl w:val="0"/>
          <w:numId w:val="3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Loan(s) to be prepaid consist of: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check each applicable box</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a US Swingline Loan</w:t>
      </w:r>
    </w:p>
    <w:p>
      <w:pPr>
        <w:spacing w:after="0" w:line="1" w:lineRule="exact"/>
        <w:rPr>
          <w:rFonts w:ascii="Times New Roman" w:cs="Times New Roman" w:eastAsia="Times New Roman" w:hAnsi="Times New Roman"/>
          <w:sz w:val="20"/>
          <w:szCs w:val="20"/>
          <w:color w:val="auto"/>
        </w:rPr>
      </w:pPr>
    </w:p>
    <w:p>
      <w:pPr>
        <w:ind w:left="2580" w:right="6260"/>
        <w:spacing w:after="0" w:line="492"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a Canadian Swingline Loan a US Revolving Credit Loan</w:t>
      </w:r>
    </w:p>
    <w:p>
      <w:pPr>
        <w:ind w:left="2580" w:right="5780"/>
        <w:spacing w:after="0" w:line="46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Canadian Revolving Credit Loan the Initial Term Loan</w:t>
      </w:r>
    </w:p>
    <w:p>
      <w:pPr>
        <w:spacing w:after="0" w:line="1" w:lineRule="exact"/>
        <w:rPr>
          <w:rFonts w:ascii="Times New Roman" w:cs="Times New Roman" w:eastAsia="Times New Roman" w:hAnsi="Times New Roman"/>
          <w:sz w:val="20"/>
          <w:szCs w:val="20"/>
          <w:color w:val="auto"/>
        </w:rPr>
      </w:pPr>
    </w:p>
    <w:p>
      <w:pPr>
        <w:ind w:left="25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Incremental Term Loan</w:t>
      </w:r>
    </w:p>
    <w:p>
      <w:pPr>
        <w:spacing w:after="0" w:line="224" w:lineRule="exact"/>
        <w:rPr>
          <w:rFonts w:ascii="Times New Roman" w:cs="Times New Roman" w:eastAsia="Times New Roman" w:hAnsi="Times New Roman"/>
          <w:sz w:val="20"/>
          <w:szCs w:val="20"/>
          <w:color w:val="auto"/>
        </w:rPr>
      </w:pPr>
    </w:p>
    <w:p>
      <w:pPr>
        <w:ind w:left="1920" w:hanging="634"/>
        <w:spacing w:after="0"/>
        <w:tabs>
          <w:tab w:leader="none" w:pos="1920" w:val="left"/>
        </w:tabs>
        <w:numPr>
          <w:ilvl w:val="0"/>
          <w:numId w:val="3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[Centuri][INSERT EACH ADDITIONAL US BORROWER][Centuri Canada][INSERT</w:t>
      </w:r>
    </w:p>
    <w:p>
      <w:pPr>
        <w:spacing w:after="0" w:line="19" w:lineRule="exact"/>
        <w:rPr>
          <w:rFonts w:ascii="Times New Roman" w:cs="Times New Roman" w:eastAsia="Times New Roman" w:hAnsi="Times New Roman"/>
          <w:sz w:val="16"/>
          <w:szCs w:val="16"/>
          <w:color w:val="auto"/>
        </w:rPr>
      </w:pPr>
    </w:p>
    <w:p>
      <w:pPr>
        <w:ind w:left="640"/>
        <w:spacing w:after="0"/>
        <w:tabs>
          <w:tab w:leader="none" w:pos="11000" w:val="left"/>
        </w:tabs>
        <w:rPr>
          <w:sz w:val="20"/>
          <w:szCs w:val="20"/>
          <w:color w:val="auto"/>
        </w:rPr>
      </w:pPr>
      <w:r>
        <w:rPr>
          <w:rFonts w:ascii="Times New Roman" w:cs="Times New Roman" w:eastAsia="Times New Roman" w:hAnsi="Times New Roman"/>
          <w:sz w:val="20"/>
          <w:szCs w:val="20"/>
          <w:color w:val="auto"/>
        </w:rPr>
        <w:t>EACH ADDITIONAL CANADIAN BORROWER] shall repay the above-referenced Loans on the following Business Day:</w:t>
      </w:r>
      <w:r>
        <w:rPr>
          <w:sz w:val="20"/>
          <w:szCs w:val="20"/>
          <w:color w:val="auto"/>
        </w:rPr>
        <w:tab/>
      </w:r>
      <w:r>
        <w:rPr>
          <w:rFonts w:ascii="Times New Roman" w:cs="Times New Roman" w:eastAsia="Times New Roman" w:hAnsi="Times New Roman"/>
          <w:sz w:val="20"/>
          <w:szCs w:val="20"/>
          <w:color w:val="auto"/>
        </w:rPr>
        <w:t>.</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6823075</wp:posOffset>
            </wp:positionH>
            <wp:positionV relativeFrom="paragraph">
              <wp:posOffset>-26035</wp:posOffset>
            </wp:positionV>
            <wp:extent cx="17526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638">
                      <a:extLst>
                        <a:ext uri="{28A0092B-C50C-407E-A947-70E740481C1C}"/>
                      </a:extLst>
                    </a:blip>
                    <a:srcRect/>
                    <a:stretch>
                      <a:fillRect/>
                    </a:stretch>
                  </pic:blipFill>
                  <pic:spPr bwMode="auto">
                    <a:xfrm>
                      <a:off x="0" y="0"/>
                      <a:ext cx="175260" cy="8255"/>
                    </a:xfrm>
                    <a:prstGeom prst="rect">
                      <a:avLst/>
                    </a:prstGeom>
                    <a:noFill/>
                  </pic:spPr>
                </pic:pic>
              </a:graphicData>
            </a:graphic>
          </wp:anchor>
        </w:drawing>
      </w:r>
    </w:p>
    <w:p>
      <w:pPr>
        <w:ind w:left="640"/>
        <w:spacing w:after="0" w:line="255" w:lineRule="auto"/>
        <w:rPr>
          <w:sz w:val="20"/>
          <w:szCs w:val="20"/>
          <w:color w:val="auto"/>
        </w:rPr>
      </w:pPr>
      <w:r>
        <w:rPr>
          <w:rFonts w:ascii="Times New Roman" w:cs="Times New Roman" w:eastAsia="Times New Roman" w:hAnsi="Times New Roman"/>
          <w:sz w:val="16"/>
          <w:szCs w:val="16"/>
          <w:color w:val="auto"/>
        </w:rPr>
        <w:t>(Complete with a date no earlier than (i) the same Business Day as of the date of this Notice of Prepayment with respect to any US Swingline Loan, Canadian Swingline Loan or Base Rate Loan, (ii) one</w:t>
      </w:r>
    </w:p>
    <w:p>
      <w:pPr>
        <w:ind w:left="880" w:hanging="236"/>
        <w:spacing w:after="0"/>
        <w:tabs>
          <w:tab w:leader="none" w:pos="880" w:val="left"/>
        </w:tabs>
        <w:numPr>
          <w:ilvl w:val="0"/>
          <w:numId w:val="3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Day subsequent to the date of this Notice of Prepayment with respect to each Canadian Base Rate Loan, (iii) three</w:t>
      </w:r>
    </w:p>
    <w:p>
      <w:pPr>
        <w:spacing w:after="0" w:line="12" w:lineRule="exact"/>
        <w:rPr>
          <w:rFonts w:ascii="Times New Roman" w:cs="Times New Roman" w:eastAsia="Times New Roman" w:hAnsi="Times New Roman"/>
          <w:sz w:val="16"/>
          <w:szCs w:val="16"/>
          <w:color w:val="auto"/>
        </w:rPr>
      </w:pPr>
    </w:p>
    <w:p>
      <w:pPr>
        <w:ind w:left="880" w:hanging="236"/>
        <w:spacing w:after="0"/>
        <w:tabs>
          <w:tab w:leader="none" w:pos="880" w:val="left"/>
        </w:tabs>
        <w:numPr>
          <w:ilvl w:val="0"/>
          <w:numId w:val="3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 Government Securities Business Days subsequent to the date of this Notice of Prepayment with respect to any SOFR</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12" w:lineRule="exact"/>
        <w:rPr>
          <w:rFonts w:ascii="Times New Roman" w:cs="Times New Roman" w:eastAsia="Times New Roman" w:hAnsi="Times New Roman"/>
          <w:sz w:val="16"/>
          <w:szCs w:val="16"/>
          <w:color w:val="auto"/>
        </w:rPr>
      </w:pPr>
    </w:p>
    <w:p>
      <w:pPr>
        <w:spacing w:after="0"/>
        <w:rPr>
          <w:sz w:val="20"/>
          <w:szCs w:val="20"/>
          <w:color w:val="auto"/>
        </w:rPr>
      </w:pPr>
      <w:r>
        <w:rPr>
          <w:rFonts w:ascii="Times New Roman" w:cs="Times New Roman" w:eastAsia="Times New Roman" w:hAnsi="Times New Roman"/>
          <w:sz w:val="14"/>
          <w:szCs w:val="14"/>
          <w:color w:val="auto"/>
        </w:rPr>
        <w:t>188871398_2</w:t>
      </w:r>
    </w:p>
    <w:p>
      <w:pPr>
        <w:sectPr>
          <w:pgSz w:w="11900" w:h="16838" w:orient="portrait"/>
          <w:cols w:equalWidth="0" w:num="1">
            <w:col w:w="11080"/>
          </w:cols>
          <w:pgMar w:left="360" w:top="1440" w:right="459" w:bottom="1440" w:gutter="0" w:footer="0" w:header="0"/>
        </w:sectPr>
      </w:pPr>
    </w:p>
    <w:bookmarkStart w:id="463" w:name="page464"/>
    <w:bookmarkEnd w:id="463"/>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Loan and (iv) three (3) Business days subsequent to the date of this Notice of Prepayment with respect to any Term CORRA Loan.)</w:t>
      </w:r>
    </w:p>
    <w:p>
      <w:pPr>
        <w:spacing w:after="0" w:line="26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188871398_2</w:t>
      </w:r>
    </w:p>
    <w:p>
      <w:pPr>
        <w:sectPr>
          <w:pgSz w:w="11900" w:h="16838" w:orient="portrait"/>
          <w:cols w:equalWidth="0" w:num="1">
            <w:col w:w="10099"/>
          </w:cols>
          <w:pgMar w:left="360" w:top="1440" w:right="1440" w:bottom="1440" w:gutter="0" w:footer="0" w:header="0"/>
        </w:sectPr>
      </w:pPr>
    </w:p>
    <w:bookmarkStart w:id="464" w:name="page465"/>
    <w:bookmarkEnd w:id="464"/>
    <w:p>
      <w:pPr>
        <w:spacing w:after="0" w:line="2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IN WITNESS WHEREOF, the undersigned has executed this Notice of Prepayment as of the day and year first written above.</w:t>
      </w:r>
    </w:p>
    <w:p>
      <w:pPr>
        <w:spacing w:after="0" w:line="200" w:lineRule="exact"/>
        <w:rPr>
          <w:sz w:val="20"/>
          <w:szCs w:val="20"/>
          <w:color w:val="auto"/>
        </w:rPr>
      </w:pPr>
    </w:p>
    <w:p>
      <w:pPr>
        <w:spacing w:after="0" w:line="29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[CENTURI GROUP, INC., as [a] US Borrower</w:t>
      </w:r>
    </w:p>
    <w:p>
      <w:pPr>
        <w:spacing w:after="0" w:line="200" w:lineRule="exact"/>
        <w:rPr>
          <w:sz w:val="20"/>
          <w:szCs w:val="20"/>
          <w:color w:val="auto"/>
        </w:rPr>
      </w:pPr>
    </w:p>
    <w:p>
      <w:pPr>
        <w:spacing w:after="0" w:line="279" w:lineRule="exact"/>
        <w:rPr>
          <w:sz w:val="20"/>
          <w:szCs w:val="20"/>
          <w:color w:val="auto"/>
        </w:rPr>
      </w:pPr>
    </w:p>
    <w:p>
      <w:pPr>
        <w:jc w:val="center"/>
        <w:ind w:right="180"/>
        <w:spacing w:after="0"/>
        <w:tabs>
          <w:tab w:leader="none" w:pos="220" w:val="left"/>
          <w:tab w:leader="none" w:pos="220" w:val="left"/>
          <w:tab w:leader="none" w:pos="180" w:val="left"/>
        </w:tabs>
        <w:rPr>
          <w:sz w:val="20"/>
          <w:szCs w:val="20"/>
          <w:color w:val="auto"/>
        </w:rPr>
      </w:pPr>
      <w:r>
        <w:rPr>
          <w:rFonts w:ascii="Times New Roman" w:cs="Times New Roman" w:eastAsia="Times New Roman" w:hAnsi="Times New Roman"/>
          <w:sz w:val="20"/>
          <w:szCs w:val="20"/>
          <w:color w:val="auto"/>
        </w:rPr>
        <w:t>By:</w:t>
        <w:tab/>
        <w:t>Name:</w:t>
        <w:tab/>
        <w:t>Title:</w:t>
      </w:r>
      <w:r>
        <w:rPr>
          <w:sz w:val="20"/>
          <w:szCs w:val="20"/>
          <w:color w:val="auto"/>
        </w:rPr>
        <w:tab/>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3044825</wp:posOffset>
            </wp:positionH>
            <wp:positionV relativeFrom="paragraph">
              <wp:posOffset>-12065</wp:posOffset>
            </wp:positionV>
            <wp:extent cx="12446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639">
                      <a:extLst>
                        <a:ext uri="{28A0092B-C50C-407E-A947-70E740481C1C}"/>
                      </a:extLst>
                    </a:blip>
                    <a:srcRect/>
                    <a:stretch>
                      <a:fillRect/>
                    </a:stretch>
                  </pic:blipFill>
                  <pic:spPr bwMode="auto">
                    <a:xfrm>
                      <a:off x="0" y="0"/>
                      <a:ext cx="124460" cy="8255"/>
                    </a:xfrm>
                    <a:prstGeom prst="rect">
                      <a:avLst/>
                    </a:prstGeom>
                    <a:noFill/>
                  </pic:spPr>
                </pic:pic>
              </a:graphicData>
            </a:graphic>
          </wp:anchor>
        </w:drawing>
        <w:drawing>
          <wp:anchor simplePos="0" relativeHeight="251657728" behindDoc="1" locked="0" layoutInCell="0" allowOverlap="1">
            <wp:simplePos x="0" y="0"/>
            <wp:positionH relativeFrom="column">
              <wp:posOffset>3531870</wp:posOffset>
            </wp:positionH>
            <wp:positionV relativeFrom="paragraph">
              <wp:posOffset>-12065</wp:posOffset>
            </wp:positionV>
            <wp:extent cx="12446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640">
                      <a:extLst>
                        <a:ext uri="{28A0092B-C50C-407E-A947-70E740481C1C}"/>
                      </a:extLst>
                    </a:blip>
                    <a:srcRect/>
                    <a:stretch>
                      <a:fillRect/>
                    </a:stretch>
                  </pic:blipFill>
                  <pic:spPr bwMode="auto">
                    <a:xfrm>
                      <a:off x="0" y="0"/>
                      <a:ext cx="124460" cy="825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-12065</wp:posOffset>
            </wp:positionV>
            <wp:extent cx="12446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641">
                      <a:extLst>
                        <a:ext uri="{28A0092B-C50C-407E-A947-70E740481C1C}"/>
                      </a:extLst>
                    </a:blip>
                    <a:srcRect/>
                    <a:stretch>
                      <a:fillRect/>
                    </a:stretch>
                  </pic:blipFill>
                  <pic:spPr bwMode="auto">
                    <a:xfrm>
                      <a:off x="0" y="0"/>
                      <a:ext cx="124460"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[[INSERT EACH ADDITIONAL US BORROWER], as</w:t>
      </w:r>
    </w:p>
    <w:p>
      <w:pPr>
        <w:spacing w:after="0" w:line="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a US Borrower</w:t>
      </w:r>
    </w:p>
    <w:p>
      <w:pPr>
        <w:spacing w:after="0" w:line="200" w:lineRule="exact"/>
        <w:rPr>
          <w:sz w:val="20"/>
          <w:szCs w:val="20"/>
          <w:color w:val="auto"/>
        </w:rPr>
      </w:pPr>
    </w:p>
    <w:p>
      <w:pPr>
        <w:spacing w:after="0" w:line="252" w:lineRule="exact"/>
        <w:rPr>
          <w:sz w:val="20"/>
          <w:szCs w:val="20"/>
          <w:color w:val="auto"/>
        </w:rPr>
      </w:pPr>
    </w:p>
    <w:p>
      <w:pPr>
        <w:jc w:val="center"/>
        <w:ind w:right="120"/>
        <w:spacing w:after="0"/>
        <w:tabs>
          <w:tab w:leader="none" w:pos="220" w:val="left"/>
          <w:tab w:leader="none" w:pos="220" w:val="left"/>
          <w:tab w:leader="none" w:pos="220" w:val="left"/>
        </w:tabs>
        <w:rPr>
          <w:sz w:val="20"/>
          <w:szCs w:val="20"/>
          <w:color w:val="auto"/>
        </w:rPr>
      </w:pPr>
      <w:r>
        <w:rPr>
          <w:rFonts w:ascii="Times New Roman" w:cs="Times New Roman" w:eastAsia="Times New Roman" w:hAnsi="Times New Roman"/>
          <w:sz w:val="20"/>
          <w:szCs w:val="20"/>
          <w:color w:val="auto"/>
        </w:rPr>
        <w:t>By:</w:t>
        <w:tab/>
        <w:t>Name:</w:t>
        <w:tab/>
        <w:t>Title:</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3044825</wp:posOffset>
            </wp:positionH>
            <wp:positionV relativeFrom="paragraph">
              <wp:posOffset>-12065</wp:posOffset>
            </wp:positionV>
            <wp:extent cx="12446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642">
                      <a:extLst>
                        <a:ext uri="{28A0092B-C50C-407E-A947-70E740481C1C}"/>
                      </a:extLst>
                    </a:blip>
                    <a:srcRect/>
                    <a:stretch>
                      <a:fillRect/>
                    </a:stretch>
                  </pic:blipFill>
                  <pic:spPr bwMode="auto">
                    <a:xfrm>
                      <a:off x="0" y="0"/>
                      <a:ext cx="124460" cy="8255"/>
                    </a:xfrm>
                    <a:prstGeom prst="rect">
                      <a:avLst/>
                    </a:prstGeom>
                    <a:noFill/>
                  </pic:spPr>
                </pic:pic>
              </a:graphicData>
            </a:graphic>
          </wp:anchor>
        </w:drawing>
        <w:drawing>
          <wp:anchor simplePos="0" relativeHeight="251657728" behindDoc="1" locked="0" layoutInCell="0" allowOverlap="1">
            <wp:simplePos x="0" y="0"/>
            <wp:positionH relativeFrom="column">
              <wp:posOffset>3531870</wp:posOffset>
            </wp:positionH>
            <wp:positionV relativeFrom="paragraph">
              <wp:posOffset>-12065</wp:posOffset>
            </wp:positionV>
            <wp:extent cx="12446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643">
                      <a:extLst>
                        <a:ext uri="{28A0092B-C50C-407E-A947-70E740481C1C}"/>
                      </a:extLst>
                    </a:blip>
                    <a:srcRect/>
                    <a:stretch>
                      <a:fillRect/>
                    </a:stretch>
                  </pic:blipFill>
                  <pic:spPr bwMode="auto">
                    <a:xfrm>
                      <a:off x="0" y="0"/>
                      <a:ext cx="124460" cy="825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-12065</wp:posOffset>
            </wp:positionV>
            <wp:extent cx="19685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44">
                      <a:extLst>
                        <a:ext uri="{28A0092B-C50C-407E-A947-70E740481C1C}"/>
                      </a:extLst>
                    </a:blip>
                    <a:srcRect/>
                    <a:stretch>
                      <a:fillRect/>
                    </a:stretch>
                  </pic:blipFill>
                  <pic:spPr bwMode="auto">
                    <a:xfrm>
                      <a:off x="0" y="0"/>
                      <a:ext cx="196850"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[CENTURI CANADA DIVISION INC., as [a]</w:t>
      </w:r>
    </w:p>
    <w:p>
      <w:pPr>
        <w:spacing w:after="0" w:line="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Canadian Borrower</w:t>
      </w:r>
    </w:p>
    <w:p>
      <w:pPr>
        <w:spacing w:after="0" w:line="200" w:lineRule="exact"/>
        <w:rPr>
          <w:sz w:val="20"/>
          <w:szCs w:val="20"/>
          <w:color w:val="auto"/>
        </w:rPr>
      </w:pPr>
    </w:p>
    <w:p>
      <w:pPr>
        <w:spacing w:after="0" w:line="270" w:lineRule="exact"/>
        <w:rPr>
          <w:sz w:val="20"/>
          <w:szCs w:val="20"/>
          <w:color w:val="auto"/>
        </w:rPr>
      </w:pPr>
    </w:p>
    <w:p>
      <w:pPr>
        <w:jc w:val="center"/>
        <w:ind w:right="180"/>
        <w:spacing w:after="0"/>
        <w:tabs>
          <w:tab w:leader="none" w:pos="220" w:val="left"/>
          <w:tab w:leader="none" w:pos="220" w:val="left"/>
          <w:tab w:leader="none" w:pos="180" w:val="left"/>
        </w:tabs>
        <w:rPr>
          <w:sz w:val="20"/>
          <w:szCs w:val="20"/>
          <w:color w:val="auto"/>
        </w:rPr>
      </w:pPr>
      <w:r>
        <w:rPr>
          <w:rFonts w:ascii="Times New Roman" w:cs="Times New Roman" w:eastAsia="Times New Roman" w:hAnsi="Times New Roman"/>
          <w:sz w:val="20"/>
          <w:szCs w:val="20"/>
          <w:color w:val="auto"/>
        </w:rPr>
        <w:t>By:</w:t>
        <w:tab/>
        <w:t>Name:</w:t>
        <w:tab/>
        <w:t>Title:</w:t>
      </w:r>
      <w:r>
        <w:rPr>
          <w:sz w:val="20"/>
          <w:szCs w:val="20"/>
          <w:color w:val="auto"/>
        </w:rPr>
        <w:tab/>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3044825</wp:posOffset>
            </wp:positionH>
            <wp:positionV relativeFrom="paragraph">
              <wp:posOffset>-12065</wp:posOffset>
            </wp:positionV>
            <wp:extent cx="12446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45">
                      <a:extLst>
                        <a:ext uri="{28A0092B-C50C-407E-A947-70E740481C1C}"/>
                      </a:extLst>
                    </a:blip>
                    <a:srcRect/>
                    <a:stretch>
                      <a:fillRect/>
                    </a:stretch>
                  </pic:blipFill>
                  <pic:spPr bwMode="auto">
                    <a:xfrm>
                      <a:off x="0" y="0"/>
                      <a:ext cx="124460" cy="8255"/>
                    </a:xfrm>
                    <a:prstGeom prst="rect">
                      <a:avLst/>
                    </a:prstGeom>
                    <a:noFill/>
                  </pic:spPr>
                </pic:pic>
              </a:graphicData>
            </a:graphic>
          </wp:anchor>
        </w:drawing>
        <w:drawing>
          <wp:anchor simplePos="0" relativeHeight="251657728" behindDoc="1" locked="0" layoutInCell="0" allowOverlap="1">
            <wp:simplePos x="0" y="0"/>
            <wp:positionH relativeFrom="column">
              <wp:posOffset>3531870</wp:posOffset>
            </wp:positionH>
            <wp:positionV relativeFrom="paragraph">
              <wp:posOffset>-12065</wp:posOffset>
            </wp:positionV>
            <wp:extent cx="12446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46">
                      <a:extLst>
                        <a:ext uri="{28A0092B-C50C-407E-A947-70E740481C1C}"/>
                      </a:extLst>
                    </a:blip>
                    <a:srcRect/>
                    <a:stretch>
                      <a:fillRect/>
                    </a:stretch>
                  </pic:blipFill>
                  <pic:spPr bwMode="auto">
                    <a:xfrm>
                      <a:off x="0" y="0"/>
                      <a:ext cx="124460" cy="825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-12065</wp:posOffset>
            </wp:positionV>
            <wp:extent cx="12446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47">
                      <a:extLst>
                        <a:ext uri="{28A0092B-C50C-407E-A947-70E740481C1C}"/>
                      </a:extLst>
                    </a:blip>
                    <a:srcRect/>
                    <a:stretch>
                      <a:fillRect/>
                    </a:stretch>
                  </pic:blipFill>
                  <pic:spPr bwMode="auto">
                    <a:xfrm>
                      <a:off x="0" y="0"/>
                      <a:ext cx="124460" cy="82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[[INSERT EACH ADDITIONAL CANADIAN</w:t>
      </w:r>
    </w:p>
    <w:p>
      <w:pPr>
        <w:spacing w:after="0" w:line="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BORROWER], as a Canadian Borrower</w:t>
      </w:r>
    </w:p>
    <w:p>
      <w:pPr>
        <w:spacing w:after="0" w:line="200" w:lineRule="exact"/>
        <w:rPr>
          <w:sz w:val="20"/>
          <w:szCs w:val="20"/>
          <w:color w:val="auto"/>
        </w:rPr>
      </w:pPr>
    </w:p>
    <w:p>
      <w:pPr>
        <w:spacing w:after="0" w:line="257" w:lineRule="exact"/>
        <w:rPr>
          <w:sz w:val="20"/>
          <w:szCs w:val="20"/>
          <w:color w:val="auto"/>
        </w:rPr>
      </w:pPr>
    </w:p>
    <w:p>
      <w:pPr>
        <w:jc w:val="center"/>
        <w:ind w:right="120"/>
        <w:spacing w:after="0"/>
        <w:tabs>
          <w:tab w:leader="none" w:pos="220" w:val="left"/>
          <w:tab w:leader="none" w:pos="220" w:val="left"/>
          <w:tab w:leader="none" w:pos="220" w:val="left"/>
        </w:tabs>
        <w:rPr>
          <w:sz w:val="20"/>
          <w:szCs w:val="20"/>
          <w:color w:val="auto"/>
        </w:rPr>
      </w:pPr>
      <w:r>
        <w:rPr>
          <w:rFonts w:ascii="Times New Roman" w:cs="Times New Roman" w:eastAsia="Times New Roman" w:hAnsi="Times New Roman"/>
          <w:sz w:val="20"/>
          <w:szCs w:val="20"/>
          <w:color w:val="auto"/>
        </w:rPr>
        <w:t>By:</w:t>
        <w:tab/>
        <w:t>Name:</w:t>
        <w:tab/>
        <w:t>Title:</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3044825</wp:posOffset>
            </wp:positionH>
            <wp:positionV relativeFrom="paragraph">
              <wp:posOffset>-12065</wp:posOffset>
            </wp:positionV>
            <wp:extent cx="12446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48">
                      <a:extLst>
                        <a:ext uri="{28A0092B-C50C-407E-A947-70E740481C1C}"/>
                      </a:extLst>
                    </a:blip>
                    <a:srcRect/>
                    <a:stretch>
                      <a:fillRect/>
                    </a:stretch>
                  </pic:blipFill>
                  <pic:spPr bwMode="auto">
                    <a:xfrm>
                      <a:off x="0" y="0"/>
                      <a:ext cx="124460" cy="8255"/>
                    </a:xfrm>
                    <a:prstGeom prst="rect">
                      <a:avLst/>
                    </a:prstGeom>
                    <a:noFill/>
                  </pic:spPr>
                </pic:pic>
              </a:graphicData>
            </a:graphic>
          </wp:anchor>
        </w:drawing>
        <w:drawing>
          <wp:anchor simplePos="0" relativeHeight="251657728" behindDoc="1" locked="0" layoutInCell="0" allowOverlap="1">
            <wp:simplePos x="0" y="0"/>
            <wp:positionH relativeFrom="column">
              <wp:posOffset>3531870</wp:posOffset>
            </wp:positionH>
            <wp:positionV relativeFrom="paragraph">
              <wp:posOffset>-12065</wp:posOffset>
            </wp:positionV>
            <wp:extent cx="12446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49">
                      <a:extLst>
                        <a:ext uri="{28A0092B-C50C-407E-A947-70E740481C1C}"/>
                      </a:extLst>
                    </a:blip>
                    <a:srcRect/>
                    <a:stretch>
                      <a:fillRect/>
                    </a:stretch>
                  </pic:blipFill>
                  <pic:spPr bwMode="auto">
                    <a:xfrm>
                      <a:off x="0" y="0"/>
                      <a:ext cx="124460" cy="825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-12065</wp:posOffset>
            </wp:positionV>
            <wp:extent cx="19685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50">
                      <a:extLst>
                        <a:ext uri="{28A0092B-C50C-407E-A947-70E740481C1C}"/>
                      </a:extLst>
                    </a:blip>
                    <a:srcRect/>
                    <a:stretch>
                      <a:fillRect/>
                    </a:stretch>
                  </pic:blipFill>
                  <pic:spPr bwMode="auto">
                    <a:xfrm>
                      <a:off x="0" y="0"/>
                      <a:ext cx="1968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188871398_2</w:t>
      </w:r>
    </w:p>
    <w:p>
      <w:pPr>
        <w:sectPr>
          <w:pgSz w:w="11900" w:h="16838" w:orient="portrait"/>
          <w:cols w:equalWidth="0" w:num="1">
            <w:col w:w="11180"/>
          </w:cols>
          <w:pgMar w:left="360" w:top="1440" w:right="359" w:bottom="1440" w:gutter="0" w:footer="0" w:header="0"/>
        </w:sectPr>
      </w:pPr>
    </w:p>
    <w:bookmarkStart w:id="465" w:name="page466"/>
    <w:bookmarkEnd w:id="465"/>
    <w:p>
      <w:pPr>
        <w:spacing w:after="0" w:line="202"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20"/>
          <w:szCs w:val="20"/>
          <w:u w:val="single" w:color="auto"/>
          <w:color w:val="auto"/>
        </w:rPr>
        <w:t>EXHIBIT E</w:t>
      </w:r>
    </w:p>
    <w:p>
      <w:pPr>
        <w:spacing w:after="0" w:line="17"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20"/>
          <w:szCs w:val="20"/>
          <w:color w:val="auto"/>
        </w:rPr>
        <w:t>to</w:t>
      </w:r>
    </w:p>
    <w:p>
      <w:pPr>
        <w:jc w:val="center"/>
        <w:ind w:right="-1080"/>
        <w:spacing w:after="0"/>
        <w:rPr>
          <w:sz w:val="20"/>
          <w:szCs w:val="20"/>
          <w:color w:val="auto"/>
        </w:rPr>
      </w:pPr>
      <w:r>
        <w:rPr>
          <w:rFonts w:ascii="Times New Roman" w:cs="Times New Roman" w:eastAsia="Times New Roman" w:hAnsi="Times New Roman"/>
          <w:sz w:val="20"/>
          <w:szCs w:val="20"/>
          <w:color w:val="auto"/>
        </w:rPr>
        <w:t>Second Amended and Restated Credit Agreement dated as of August 27,</w:t>
      </w:r>
    </w:p>
    <w:p>
      <w:pPr>
        <w:spacing w:after="0" w:line="3"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20"/>
          <w:szCs w:val="20"/>
          <w:color w:val="auto"/>
        </w:rPr>
        <w:t>2021</w:t>
      </w:r>
    </w:p>
    <w:p>
      <w:pPr>
        <w:spacing w:after="0" w:line="5"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20"/>
          <w:szCs w:val="20"/>
          <w:color w:val="auto"/>
        </w:rPr>
        <w:t>by and among Centuri Group, Inc.</w:t>
      </w:r>
    </w:p>
    <w:p>
      <w:pPr>
        <w:spacing w:after="0" w:line="3"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20"/>
          <w:szCs w:val="20"/>
          <w:color w:val="auto"/>
        </w:rPr>
        <w:t>and each Additional Borrower that becomes a party thereto as a US Borrower, as US Borrowers,</w:t>
      </w:r>
    </w:p>
    <w:p>
      <w:pPr>
        <w:spacing w:after="0" w:line="3"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20"/>
          <w:szCs w:val="20"/>
          <w:color w:val="auto"/>
        </w:rPr>
        <w:t>Centuri Canada Division Inc.</w:t>
      </w:r>
    </w:p>
    <w:p>
      <w:pPr>
        <w:jc w:val="center"/>
        <w:ind w:right="-1080"/>
        <w:spacing w:after="0"/>
        <w:rPr>
          <w:sz w:val="20"/>
          <w:szCs w:val="20"/>
          <w:color w:val="auto"/>
        </w:rPr>
      </w:pPr>
      <w:r>
        <w:rPr>
          <w:rFonts w:ascii="Times New Roman" w:cs="Times New Roman" w:eastAsia="Times New Roman" w:hAnsi="Times New Roman"/>
          <w:sz w:val="19"/>
          <w:szCs w:val="19"/>
          <w:color w:val="auto"/>
        </w:rPr>
        <w:t>and each Additional Borrower that becomes a party thereto as a Canadian Borrower, as Canadian Borrowers,</w:t>
      </w:r>
    </w:p>
    <w:p>
      <w:pPr>
        <w:spacing w:after="0" w:line="14"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20"/>
          <w:szCs w:val="20"/>
          <w:color w:val="auto"/>
        </w:rPr>
        <w:t>the lenders party thereto, as Lenders,</w:t>
      </w:r>
    </w:p>
    <w:p>
      <w:pPr>
        <w:spacing w:after="0" w:line="3"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20"/>
          <w:szCs w:val="20"/>
          <w:color w:val="auto"/>
        </w:rPr>
        <w:t>and</w:t>
      </w:r>
    </w:p>
    <w:p>
      <w:pPr>
        <w:jc w:val="center"/>
        <w:ind w:right="-1080"/>
        <w:spacing w:after="0"/>
        <w:rPr>
          <w:sz w:val="20"/>
          <w:szCs w:val="20"/>
          <w:color w:val="auto"/>
        </w:rPr>
      </w:pPr>
      <w:r>
        <w:rPr>
          <w:rFonts w:ascii="Times New Roman" w:cs="Times New Roman" w:eastAsia="Times New Roman" w:hAnsi="Times New Roman"/>
          <w:sz w:val="20"/>
          <w:szCs w:val="20"/>
          <w:color w:val="auto"/>
        </w:rPr>
        <w:t>Wells Fargo Bank, National Association, as Administrative Agent</w:t>
      </w:r>
    </w:p>
    <w:p>
      <w:pPr>
        <w:spacing w:after="0" w:line="22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u w:val="single" w:color="auto"/>
          <w:color w:val="auto"/>
        </w:rPr>
        <w:t>FORM OF NOTICE OF CONVERSION/CONTINUATION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188871398_2</w:t>
      </w:r>
    </w:p>
    <w:p>
      <w:pPr>
        <w:sectPr>
          <w:pgSz w:w="11900" w:h="16838" w:orient="portrait"/>
          <w:cols w:equalWidth="0" w:num="1">
            <w:col w:w="10099"/>
          </w:cols>
          <w:pgMar w:left="360" w:top="1440" w:right="1440" w:bottom="1440" w:gutter="0" w:footer="0" w:header="0"/>
        </w:sectPr>
      </w:pPr>
    </w:p>
    <w:bookmarkStart w:id="466" w:name="page467"/>
    <w:bookmarkEnd w:id="466"/>
    <w:p>
      <w:pPr>
        <w:spacing w:after="0" w:line="20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0"/>
          <w:szCs w:val="20"/>
          <w:u w:val="single" w:color="auto"/>
          <w:color w:val="auto"/>
        </w:rPr>
        <w:t>NOTICE OF CONVERSION/CONTINUATION</w:t>
      </w:r>
    </w:p>
    <w:p>
      <w:pPr>
        <w:spacing w:after="0" w:line="200" w:lineRule="exact"/>
        <w:rPr>
          <w:sz w:val="20"/>
          <w:szCs w:val="20"/>
          <w:color w:val="auto"/>
        </w:rPr>
      </w:pPr>
    </w:p>
    <w:p>
      <w:pPr>
        <w:spacing w:after="0" w:line="25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Dated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3799840</wp:posOffset>
            </wp:positionH>
            <wp:positionV relativeFrom="paragraph">
              <wp:posOffset>-12065</wp:posOffset>
            </wp:positionV>
            <wp:extent cx="12446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51">
                      <a:extLst>
                        <a:ext uri="{28A0092B-C50C-407E-A947-70E740481C1C}"/>
                      </a:extLst>
                    </a:blip>
                    <a:srcRect/>
                    <a:stretch>
                      <a:fillRect/>
                    </a:stretch>
                  </pic:blipFill>
                  <pic:spPr bwMode="auto">
                    <a:xfrm>
                      <a:off x="0" y="0"/>
                      <a:ext cx="124460" cy="8255"/>
                    </a:xfrm>
                    <a:prstGeom prst="rect">
                      <a:avLst/>
                    </a:prstGeom>
                    <a:noFill/>
                  </pic:spPr>
                </pic:pic>
              </a:graphicData>
            </a:graphic>
          </wp:anchor>
        </w:drawing>
      </w:r>
    </w:p>
    <w:p>
      <w:pPr>
        <w:spacing w:after="0" w:line="2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Wells Fargo Bank, National Association, as Administrative Agent</w:t>
      </w:r>
    </w:p>
    <w:p>
      <w:pPr>
        <w:spacing w:after="0" w:line="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MAC D 1109-019</w:t>
      </w:r>
    </w:p>
    <w:p>
      <w:pPr>
        <w:spacing w:after="0" w:line="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1525 West W.T. Harris Blvd. Charlotte, North Carolina 28262</w:t>
      </w:r>
    </w:p>
    <w:p>
      <w:pPr>
        <w:spacing w:after="0" w:line="1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Attention: Syndication Agency Services Ladies and Gentlemen:</w:t>
      </w:r>
    </w:p>
    <w:p>
      <w:pPr>
        <w:spacing w:after="0" w:line="104" w:lineRule="exact"/>
        <w:rPr>
          <w:sz w:val="20"/>
          <w:szCs w:val="20"/>
          <w:color w:val="auto"/>
        </w:rPr>
      </w:pPr>
    </w:p>
    <w:p>
      <w:pPr>
        <w:jc w:val="both"/>
        <w:ind w:left="640" w:firstLine="642"/>
        <w:spacing w:after="0" w:line="248" w:lineRule="auto"/>
        <w:rPr>
          <w:sz w:val="20"/>
          <w:szCs w:val="20"/>
          <w:color w:val="auto"/>
        </w:rPr>
      </w:pPr>
      <w:r>
        <w:rPr>
          <w:rFonts w:ascii="Times New Roman" w:cs="Times New Roman" w:eastAsia="Times New Roman" w:hAnsi="Times New Roman"/>
          <w:sz w:val="20"/>
          <w:szCs w:val="20"/>
          <w:color w:val="auto"/>
        </w:rPr>
        <w:t>This irrevocable Notice of Conversion/Continuation (this “</w:t>
      </w: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xml:space="preserve">”) is delivered to you pursuant to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of the Second Amended and Restated Credit Agreement, dated as of August 27, 2021 (as amended, amended and restated, supplemented or otherwise modified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xml:space="preserve">”), by and among Centuri Group, Inc., a Nevada corporation, and each Additional Borrower that becomes a party thereto in accordance with </w:t>
      </w:r>
      <w:r>
        <w:rPr>
          <w:rFonts w:ascii="Times New Roman" w:cs="Times New Roman" w:eastAsia="Times New Roman" w:hAnsi="Times New Roman"/>
          <w:sz w:val="20"/>
          <w:szCs w:val="20"/>
          <w:u w:val="single" w:color="auto"/>
          <w:color w:val="auto"/>
        </w:rPr>
        <w:t>Section 5.17</w:t>
      </w:r>
      <w:r>
        <w:rPr>
          <w:rFonts w:ascii="Times New Roman" w:cs="Times New Roman" w:eastAsia="Times New Roman" w:hAnsi="Times New Roman"/>
          <w:sz w:val="20"/>
          <w:szCs w:val="20"/>
          <w:color w:val="auto"/>
        </w:rPr>
        <w:t xml:space="preserve"> thereof (collectively, the “</w:t>
      </w:r>
      <w:r>
        <w:rPr>
          <w:rFonts w:ascii="Times New Roman" w:cs="Times New Roman" w:eastAsia="Times New Roman" w:hAnsi="Times New Roman"/>
          <w:sz w:val="20"/>
          <w:szCs w:val="20"/>
          <w:u w:val="single" w:color="auto"/>
          <w:color w:val="auto"/>
        </w:rPr>
        <w:t>US Borrowers</w:t>
      </w:r>
      <w:r>
        <w:rPr>
          <w:rFonts w:ascii="Times New Roman" w:cs="Times New Roman" w:eastAsia="Times New Roman" w:hAnsi="Times New Roman"/>
          <w:sz w:val="20"/>
          <w:szCs w:val="20"/>
          <w:color w:val="auto"/>
        </w:rPr>
        <w:t xml:space="preserve">”), Centuri Canada Division Inc., a corporation organized under the laws of the Province of Ontario, Canada, and each Additional Borrower that becomes a party thereto in accordance with </w:t>
      </w:r>
      <w:r>
        <w:rPr>
          <w:rFonts w:ascii="Times New Roman" w:cs="Times New Roman" w:eastAsia="Times New Roman" w:hAnsi="Times New Roman"/>
          <w:sz w:val="20"/>
          <w:szCs w:val="20"/>
          <w:u w:val="single" w:color="auto"/>
          <w:color w:val="auto"/>
        </w:rPr>
        <w:t>Section 5.17</w:t>
      </w:r>
      <w:r>
        <w:rPr>
          <w:rFonts w:ascii="Times New Roman" w:cs="Times New Roman" w:eastAsia="Times New Roman" w:hAnsi="Times New Roman"/>
          <w:sz w:val="20"/>
          <w:szCs w:val="20"/>
          <w:color w:val="auto"/>
        </w:rPr>
        <w:t xml:space="preserve"> thereof (collectively, the “</w:t>
      </w:r>
      <w:r>
        <w:rPr>
          <w:rFonts w:ascii="Times New Roman" w:cs="Times New Roman" w:eastAsia="Times New Roman" w:hAnsi="Times New Roman"/>
          <w:sz w:val="20"/>
          <w:szCs w:val="20"/>
          <w:u w:val="single" w:color="auto"/>
          <w:color w:val="auto"/>
        </w:rPr>
        <w:t>Canadian Borrowers</w:t>
      </w:r>
      <w:r>
        <w:rPr>
          <w:rFonts w:ascii="Times New Roman" w:cs="Times New Roman" w:eastAsia="Times New Roman" w:hAnsi="Times New Roman"/>
          <w:sz w:val="20"/>
          <w:szCs w:val="20"/>
          <w:color w:val="auto"/>
        </w:rPr>
        <w:t>”), the Lenders party thereto and Wells Fargo Bank, National Association, as Administrative Agent. Capitalized terms used herein and not defined herein shall have the meanings assigned thereto in the Credit Agreement.</w:t>
      </w:r>
    </w:p>
    <w:p>
      <w:pPr>
        <w:spacing w:after="0" w:line="181" w:lineRule="exact"/>
        <w:rPr>
          <w:sz w:val="20"/>
          <w:szCs w:val="20"/>
          <w:color w:val="auto"/>
        </w:rPr>
      </w:pPr>
    </w:p>
    <w:p>
      <w:pPr>
        <w:ind w:left="640" w:right="20" w:firstLine="646"/>
        <w:spacing w:after="0" w:line="281" w:lineRule="auto"/>
        <w:tabs>
          <w:tab w:leader="none" w:pos="1884" w:val="left"/>
        </w:tabs>
        <w:numPr>
          <w:ilvl w:val="0"/>
          <w:numId w:val="3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Loan to which this Notice relates is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a US Revolving Credit Loan</w:t>
      </w:r>
      <w:r>
        <w:rPr>
          <w:rFonts w:ascii="Times New Roman" w:cs="Times New Roman" w:eastAsia="Times New Roman" w:hAnsi="Times New Roman"/>
          <w:sz w:val="20"/>
          <w:szCs w:val="20"/>
          <w:b w:val="1"/>
          <w:bCs w:val="1"/>
          <w:color w:val="auto"/>
        </w:rPr>
        <w:t>] [</w:t>
      </w:r>
      <w:r>
        <w:rPr>
          <w:rFonts w:ascii="Times New Roman" w:cs="Times New Roman" w:eastAsia="Times New Roman" w:hAnsi="Times New Roman"/>
          <w:sz w:val="20"/>
          <w:szCs w:val="20"/>
          <w:color w:val="auto"/>
        </w:rPr>
        <w:t>a Canadian Revolving Credit Loan</w:t>
      </w:r>
      <w:r>
        <w:rPr>
          <w:rFonts w:ascii="Times New Roman" w:cs="Times New Roman" w:eastAsia="Times New Roman" w:hAnsi="Times New Roman"/>
          <w:sz w:val="20"/>
          <w:szCs w:val="20"/>
          <w:b w:val="1"/>
          <w:bCs w:val="1"/>
          <w:color w:val="auto"/>
        </w:rPr>
        <w:t>] [</w:t>
      </w:r>
      <w:r>
        <w:rPr>
          <w:rFonts w:ascii="Times New Roman" w:cs="Times New Roman" w:eastAsia="Times New Roman" w:hAnsi="Times New Roman"/>
          <w:sz w:val="20"/>
          <w:szCs w:val="20"/>
          <w:color w:val="auto"/>
        </w:rPr>
        <w:t>the Initial Term Loan</w:t>
      </w:r>
      <w:r>
        <w:rPr>
          <w:rFonts w:ascii="Times New Roman" w:cs="Times New Roman" w:eastAsia="Times New Roman" w:hAnsi="Times New Roman"/>
          <w:sz w:val="20"/>
          <w:szCs w:val="20"/>
          <w:b w:val="1"/>
          <w:bCs w:val="1"/>
          <w:color w:val="auto"/>
        </w:rPr>
        <w:t>] [</w:t>
      </w:r>
      <w:r>
        <w:rPr>
          <w:rFonts w:ascii="Times New Roman" w:cs="Times New Roman" w:eastAsia="Times New Roman" w:hAnsi="Times New Roman"/>
          <w:sz w:val="20"/>
          <w:szCs w:val="20"/>
          <w:color w:val="auto"/>
        </w:rPr>
        <w:t>an Incremental Term Loan</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6"/>
          <w:szCs w:val="16"/>
          <w:color w:val="auto"/>
        </w:rPr>
        <w:t>(Delete as applicable.)</w:t>
      </w:r>
    </w:p>
    <w:p>
      <w:pPr>
        <w:spacing w:after="0" w:line="147" w:lineRule="exact"/>
        <w:rPr>
          <w:rFonts w:ascii="Times New Roman" w:cs="Times New Roman" w:eastAsia="Times New Roman" w:hAnsi="Times New Roman"/>
          <w:sz w:val="20"/>
          <w:szCs w:val="20"/>
          <w:color w:val="auto"/>
        </w:rPr>
      </w:pPr>
    </w:p>
    <w:p>
      <w:pPr>
        <w:ind w:left="1880" w:hanging="594"/>
        <w:spacing w:after="0"/>
        <w:tabs>
          <w:tab w:leader="none" w:pos="1880" w:val="left"/>
        </w:tabs>
        <w:numPr>
          <w:ilvl w:val="0"/>
          <w:numId w:val="3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Notice is submitted for the purpose of: </w:t>
      </w:r>
      <w:r>
        <w:rPr>
          <w:rFonts w:ascii="Times New Roman" w:cs="Times New Roman" w:eastAsia="Times New Roman" w:hAnsi="Times New Roman"/>
          <w:sz w:val="16"/>
          <w:szCs w:val="16"/>
          <w:color w:val="auto"/>
        </w:rPr>
        <w:t>(Check one and complete applicable information in accordance with the Credit</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Agreement.)</w:t>
      </w:r>
    </w:p>
    <w:p>
      <w:pPr>
        <w:spacing w:after="0" w:line="203" w:lineRule="exact"/>
        <w:rPr>
          <w:sz w:val="20"/>
          <w:szCs w:val="20"/>
          <w:color w:val="auto"/>
        </w:rPr>
      </w:pPr>
    </w:p>
    <w:p>
      <w:pPr>
        <w:ind w:left="1920" w:right="40"/>
        <w:spacing w:after="0" w:line="277" w:lineRule="auto"/>
        <w:rPr>
          <w:sz w:val="20"/>
          <w:szCs w:val="20"/>
          <w:color w:val="auto"/>
        </w:rPr>
      </w:pPr>
      <w:r>
        <w:rPr>
          <w:rFonts w:ascii="Times New Roman" w:cs="Times New Roman" w:eastAsia="Times New Roman" w:hAnsi="Times New Roman"/>
          <w:sz w:val="20"/>
          <w:szCs w:val="20"/>
          <w:u w:val="single" w:color="auto"/>
          <w:color w:val="auto"/>
        </w:rPr>
        <w:t>Converting all or a portion of a [Base Rate Loan into a SOFR Loan][Canadian Base Rate Loan into a Term CORRA Loan]</w:t>
      </w:r>
    </w:p>
    <w:p>
      <w:pPr>
        <w:spacing w:after="0" w:line="165" w:lineRule="exact"/>
        <w:rPr>
          <w:sz w:val="20"/>
          <w:szCs w:val="20"/>
          <w:color w:val="auto"/>
        </w:rPr>
      </w:pPr>
    </w:p>
    <w:p>
      <w:pPr>
        <w:ind w:left="1920"/>
        <w:spacing w:after="0"/>
        <w:tabs>
          <w:tab w:leader="none" w:pos="4520" w:val="left"/>
        </w:tabs>
        <w:rPr>
          <w:sz w:val="20"/>
          <w:szCs w:val="20"/>
          <w:color w:val="auto"/>
        </w:rPr>
      </w:pPr>
      <w:r>
        <w:rPr>
          <w:rFonts w:ascii="Times New Roman" w:cs="Times New Roman" w:eastAsia="Times New Roman" w:hAnsi="Times New Roman"/>
          <w:sz w:val="20"/>
          <w:szCs w:val="20"/>
          <w:color w:val="auto"/>
        </w:rPr>
        <w:t>Outstanding principal balance:</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2938780</wp:posOffset>
            </wp:positionH>
            <wp:positionV relativeFrom="paragraph">
              <wp:posOffset>-12065</wp:posOffset>
            </wp:positionV>
            <wp:extent cx="12446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52">
                      <a:extLst>
                        <a:ext uri="{28A0092B-C50C-407E-A947-70E740481C1C}"/>
                      </a:extLst>
                    </a:blip>
                    <a:srcRect/>
                    <a:stretch>
                      <a:fillRect/>
                    </a:stretch>
                  </pic:blipFill>
                  <pic:spPr bwMode="auto">
                    <a:xfrm>
                      <a:off x="0" y="0"/>
                      <a:ext cx="124460" cy="8255"/>
                    </a:xfrm>
                    <a:prstGeom prst="rect">
                      <a:avLst/>
                    </a:prstGeom>
                    <a:noFill/>
                  </pic:spPr>
                </pic:pic>
              </a:graphicData>
            </a:graphic>
          </wp:anchor>
        </w:drawing>
      </w:r>
    </w:p>
    <w:p>
      <w:pPr>
        <w:spacing w:after="0" w:line="205" w:lineRule="exact"/>
        <w:rPr>
          <w:sz w:val="20"/>
          <w:szCs w:val="20"/>
          <w:color w:val="auto"/>
        </w:rPr>
      </w:pPr>
    </w:p>
    <w:p>
      <w:pPr>
        <w:ind w:left="1920"/>
        <w:spacing w:after="0"/>
        <w:tabs>
          <w:tab w:leader="none" w:pos="4760" w:val="left"/>
        </w:tabs>
        <w:rPr>
          <w:sz w:val="20"/>
          <w:szCs w:val="20"/>
          <w:color w:val="auto"/>
        </w:rPr>
      </w:pPr>
      <w:r>
        <w:rPr>
          <w:rFonts w:ascii="Times New Roman" w:cs="Times New Roman" w:eastAsia="Times New Roman" w:hAnsi="Times New Roman"/>
          <w:sz w:val="20"/>
          <w:szCs w:val="20"/>
          <w:color w:val="auto"/>
        </w:rPr>
        <w:t>Principal amount to be converted:</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3098165</wp:posOffset>
            </wp:positionH>
            <wp:positionV relativeFrom="paragraph">
              <wp:posOffset>-12065</wp:posOffset>
            </wp:positionV>
            <wp:extent cx="12446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53">
                      <a:extLst>
                        <a:ext uri="{28A0092B-C50C-407E-A947-70E740481C1C}"/>
                      </a:extLst>
                    </a:blip>
                    <a:srcRect/>
                    <a:stretch>
                      <a:fillRect/>
                    </a:stretch>
                  </pic:blipFill>
                  <pic:spPr bwMode="auto">
                    <a:xfrm>
                      <a:off x="0" y="0"/>
                      <a:ext cx="124460" cy="8255"/>
                    </a:xfrm>
                    <a:prstGeom prst="rect">
                      <a:avLst/>
                    </a:prstGeom>
                    <a:noFill/>
                  </pic:spPr>
                </pic:pic>
              </a:graphicData>
            </a:graphic>
          </wp:anchor>
        </w:drawing>
      </w:r>
    </w:p>
    <w:p>
      <w:pPr>
        <w:spacing w:after="0" w:line="20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0"/>
          <w:szCs w:val="20"/>
          <w:color w:val="auto"/>
        </w:rPr>
        <w:t>Requested effective date of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3316605</wp:posOffset>
            </wp:positionH>
            <wp:positionV relativeFrom="paragraph">
              <wp:posOffset>-12065</wp:posOffset>
            </wp:positionV>
            <wp:extent cx="12446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54">
                      <a:extLst>
                        <a:ext uri="{28A0092B-C50C-407E-A947-70E740481C1C}"/>
                      </a:extLst>
                    </a:blip>
                    <a:srcRect/>
                    <a:stretch>
                      <a:fillRect/>
                    </a:stretch>
                  </pic:blipFill>
                  <pic:spPr bwMode="auto">
                    <a:xfrm>
                      <a:off x="0" y="0"/>
                      <a:ext cx="124460" cy="8255"/>
                    </a:xfrm>
                    <a:prstGeom prst="rect">
                      <a:avLst/>
                    </a:prstGeom>
                    <a:noFill/>
                  </pic:spPr>
                </pic:pic>
              </a:graphicData>
            </a:graphic>
          </wp:anchor>
        </w:drawing>
      </w:r>
    </w:p>
    <w:p>
      <w:pPr>
        <w:spacing w:after="0" w:line="19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0"/>
          <w:szCs w:val="20"/>
          <w:color w:val="auto"/>
        </w:rPr>
        <w:t>Requested new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2900680</wp:posOffset>
            </wp:positionH>
            <wp:positionV relativeFrom="paragraph">
              <wp:posOffset>-12065</wp:posOffset>
            </wp:positionV>
            <wp:extent cx="12446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55">
                      <a:extLst>
                        <a:ext uri="{28A0092B-C50C-407E-A947-70E740481C1C}"/>
                      </a:extLst>
                    </a:blip>
                    <a:srcRect/>
                    <a:stretch>
                      <a:fillRect/>
                    </a:stretch>
                  </pic:blipFill>
                  <pic:spPr bwMode="auto">
                    <a:xfrm>
                      <a:off x="0" y="0"/>
                      <a:ext cx="124460"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1920" w:right="40"/>
        <w:spacing w:after="0" w:line="263" w:lineRule="auto"/>
        <w:rPr>
          <w:sz w:val="20"/>
          <w:szCs w:val="20"/>
          <w:color w:val="auto"/>
        </w:rPr>
      </w:pPr>
      <w:r>
        <w:rPr>
          <w:rFonts w:ascii="Times New Roman" w:cs="Times New Roman" w:eastAsia="Times New Roman" w:hAnsi="Times New Roman"/>
          <w:sz w:val="20"/>
          <w:szCs w:val="20"/>
          <w:u w:val="single" w:color="auto"/>
          <w:color w:val="auto"/>
        </w:rPr>
        <w:t>Converting all or a portion of a [SOFR Loan into a Base Rate Loan][Term CORRA Loan into a Canadian Base Rate Loan]</w:t>
      </w:r>
    </w:p>
    <w:p>
      <w:pPr>
        <w:spacing w:after="0" w:line="205" w:lineRule="exact"/>
        <w:rPr>
          <w:sz w:val="20"/>
          <w:szCs w:val="20"/>
          <w:color w:val="auto"/>
        </w:rPr>
      </w:pPr>
    </w:p>
    <w:p>
      <w:pPr>
        <w:ind w:left="1920"/>
        <w:spacing w:after="0"/>
        <w:tabs>
          <w:tab w:leader="none" w:pos="4520" w:val="left"/>
        </w:tabs>
        <w:rPr>
          <w:sz w:val="20"/>
          <w:szCs w:val="20"/>
          <w:color w:val="auto"/>
        </w:rPr>
      </w:pPr>
      <w:r>
        <w:rPr>
          <w:rFonts w:ascii="Times New Roman" w:cs="Times New Roman" w:eastAsia="Times New Roman" w:hAnsi="Times New Roman"/>
          <w:sz w:val="20"/>
          <w:szCs w:val="20"/>
          <w:color w:val="auto"/>
        </w:rPr>
        <w:t>Outstanding principal balance:</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2938780</wp:posOffset>
            </wp:positionH>
            <wp:positionV relativeFrom="paragraph">
              <wp:posOffset>-12065</wp:posOffset>
            </wp:positionV>
            <wp:extent cx="12446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56">
                      <a:extLst>
                        <a:ext uri="{28A0092B-C50C-407E-A947-70E740481C1C}"/>
                      </a:extLst>
                    </a:blip>
                    <a:srcRect/>
                    <a:stretch>
                      <a:fillRect/>
                    </a:stretch>
                  </pic:blipFill>
                  <pic:spPr bwMode="auto">
                    <a:xfrm>
                      <a:off x="0" y="0"/>
                      <a:ext cx="124460" cy="8255"/>
                    </a:xfrm>
                    <a:prstGeom prst="rect">
                      <a:avLst/>
                    </a:prstGeom>
                    <a:noFill/>
                  </pic:spPr>
                </pic:pic>
              </a:graphicData>
            </a:graphic>
          </wp:anchor>
        </w:drawing>
      </w:r>
    </w:p>
    <w:p>
      <w:pPr>
        <w:spacing w:after="0" w:line="205" w:lineRule="exact"/>
        <w:rPr>
          <w:sz w:val="20"/>
          <w:szCs w:val="20"/>
          <w:color w:val="auto"/>
        </w:rPr>
      </w:pPr>
    </w:p>
    <w:p>
      <w:pPr>
        <w:ind w:left="1920"/>
        <w:spacing w:after="0"/>
        <w:tabs>
          <w:tab w:leader="none" w:pos="4760" w:val="left"/>
        </w:tabs>
        <w:rPr>
          <w:sz w:val="20"/>
          <w:szCs w:val="20"/>
          <w:color w:val="auto"/>
        </w:rPr>
      </w:pPr>
      <w:r>
        <w:rPr>
          <w:rFonts w:ascii="Times New Roman" w:cs="Times New Roman" w:eastAsia="Times New Roman" w:hAnsi="Times New Roman"/>
          <w:sz w:val="20"/>
          <w:szCs w:val="20"/>
          <w:color w:val="auto"/>
        </w:rPr>
        <w:t>Principal amount to be converted:</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3098165</wp:posOffset>
            </wp:positionH>
            <wp:positionV relativeFrom="paragraph">
              <wp:posOffset>-12065</wp:posOffset>
            </wp:positionV>
            <wp:extent cx="12446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57">
                      <a:extLst>
                        <a:ext uri="{28A0092B-C50C-407E-A947-70E740481C1C}"/>
                      </a:extLst>
                    </a:blip>
                    <a:srcRect/>
                    <a:stretch>
                      <a:fillRect/>
                    </a:stretch>
                  </pic:blipFill>
                  <pic:spPr bwMode="auto">
                    <a:xfrm>
                      <a:off x="0" y="0"/>
                      <a:ext cx="124460" cy="8255"/>
                    </a:xfrm>
                    <a:prstGeom prst="rect">
                      <a:avLst/>
                    </a:prstGeom>
                    <a:noFill/>
                  </pic:spPr>
                </pic:pic>
              </a:graphicData>
            </a:graphic>
          </wp:anchor>
        </w:drawing>
      </w:r>
    </w:p>
    <w:p>
      <w:pPr>
        <w:spacing w:after="0" w:line="19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0"/>
          <w:szCs w:val="20"/>
          <w:color w:val="auto"/>
        </w:rPr>
        <w:t>Last day of the current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3270250</wp:posOffset>
            </wp:positionH>
            <wp:positionV relativeFrom="paragraph">
              <wp:posOffset>-12065</wp:posOffset>
            </wp:positionV>
            <wp:extent cx="12446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58">
                      <a:extLst>
                        <a:ext uri="{28A0092B-C50C-407E-A947-70E740481C1C}"/>
                      </a:extLst>
                    </a:blip>
                    <a:srcRect/>
                    <a:stretch>
                      <a:fillRect/>
                    </a:stretch>
                  </pic:blipFill>
                  <pic:spPr bwMode="auto">
                    <a:xfrm>
                      <a:off x="0" y="0"/>
                      <a:ext cx="124460"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188871398_2</w:t>
      </w:r>
    </w:p>
    <w:p>
      <w:pPr>
        <w:sectPr>
          <w:pgSz w:w="11900" w:h="16838" w:orient="portrait"/>
          <w:cols w:equalWidth="0" w:num="1">
            <w:col w:w="11080"/>
          </w:cols>
          <w:pgMar w:left="360" w:top="1440" w:right="459" w:bottom="1440" w:gutter="0" w:footer="0" w:header="0"/>
        </w:sectPr>
      </w:pPr>
    </w:p>
    <w:bookmarkStart w:id="467" w:name="page468"/>
    <w:bookmarkEnd w:id="467"/>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188871398_2</w:t>
      </w:r>
    </w:p>
    <w:p>
      <w:pPr>
        <w:sectPr>
          <w:pgSz w:w="11900" w:h="16838" w:orient="portrait"/>
          <w:cols w:equalWidth="0" w:num="1">
            <w:col w:w="10099"/>
          </w:cols>
          <w:pgMar w:left="360" w:top="1440" w:right="1440" w:bottom="1440" w:gutter="0" w:footer="0" w:header="0"/>
        </w:sectPr>
      </w:pPr>
    </w:p>
    <w:bookmarkStart w:id="468" w:name="page469"/>
    <w:bookmarkEnd w:id="468"/>
    <w:p>
      <w:pPr>
        <w:spacing w:after="0" w:line="20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0"/>
          <w:szCs w:val="20"/>
          <w:color w:val="auto"/>
        </w:rPr>
        <w:t>Requested effective date of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3316605</wp:posOffset>
            </wp:positionH>
            <wp:positionV relativeFrom="paragraph">
              <wp:posOffset>-12065</wp:posOffset>
            </wp:positionV>
            <wp:extent cx="12446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59">
                      <a:extLst>
                        <a:ext uri="{28A0092B-C50C-407E-A947-70E740481C1C}"/>
                      </a:extLst>
                    </a:blip>
                    <a:srcRect/>
                    <a:stretch>
                      <a:fillRect/>
                    </a:stretch>
                  </pic:blipFill>
                  <pic:spPr bwMode="auto">
                    <a:xfrm>
                      <a:off x="0" y="0"/>
                      <a:ext cx="12446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0"/>
          <w:szCs w:val="20"/>
          <w:u w:val="single" w:color="auto"/>
          <w:color w:val="auto"/>
        </w:rPr>
        <w:t>Continuing all or a portion of a [SOFR Loan as a SOFR Loan][Term CORRA Loan as a Term CORRA Loan]</w:t>
      </w:r>
    </w:p>
    <w:p>
      <w:pPr>
        <w:spacing w:after="0" w:line="251" w:lineRule="exact"/>
        <w:rPr>
          <w:sz w:val="20"/>
          <w:szCs w:val="20"/>
          <w:color w:val="auto"/>
        </w:rPr>
      </w:pPr>
    </w:p>
    <w:p>
      <w:pPr>
        <w:ind w:left="1920"/>
        <w:spacing w:after="0"/>
        <w:tabs>
          <w:tab w:leader="none" w:pos="4520" w:val="left"/>
        </w:tabs>
        <w:rPr>
          <w:sz w:val="20"/>
          <w:szCs w:val="20"/>
          <w:color w:val="auto"/>
        </w:rPr>
      </w:pPr>
      <w:r>
        <w:rPr>
          <w:rFonts w:ascii="Times New Roman" w:cs="Times New Roman" w:eastAsia="Times New Roman" w:hAnsi="Times New Roman"/>
          <w:sz w:val="20"/>
          <w:szCs w:val="20"/>
          <w:color w:val="auto"/>
        </w:rPr>
        <w:t>Outstanding principal balance:</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2938780</wp:posOffset>
            </wp:positionH>
            <wp:positionV relativeFrom="paragraph">
              <wp:posOffset>-12065</wp:posOffset>
            </wp:positionV>
            <wp:extent cx="12446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60">
                      <a:extLst>
                        <a:ext uri="{28A0092B-C50C-407E-A947-70E740481C1C}"/>
                      </a:extLst>
                    </a:blip>
                    <a:srcRect/>
                    <a:stretch>
                      <a:fillRect/>
                    </a:stretch>
                  </pic:blipFill>
                  <pic:spPr bwMode="auto">
                    <a:xfrm>
                      <a:off x="0" y="0"/>
                      <a:ext cx="124460" cy="8255"/>
                    </a:xfrm>
                    <a:prstGeom prst="rect">
                      <a:avLst/>
                    </a:prstGeom>
                    <a:noFill/>
                  </pic:spPr>
                </pic:pic>
              </a:graphicData>
            </a:graphic>
          </wp:anchor>
        </w:drawing>
      </w:r>
    </w:p>
    <w:p>
      <w:pPr>
        <w:spacing w:after="0" w:line="191" w:lineRule="exact"/>
        <w:rPr>
          <w:sz w:val="20"/>
          <w:szCs w:val="20"/>
          <w:color w:val="auto"/>
        </w:rPr>
      </w:pPr>
    </w:p>
    <w:p>
      <w:pPr>
        <w:ind w:left="1920"/>
        <w:spacing w:after="0"/>
        <w:tabs>
          <w:tab w:leader="none" w:pos="4760" w:val="left"/>
        </w:tabs>
        <w:rPr>
          <w:sz w:val="20"/>
          <w:szCs w:val="20"/>
          <w:color w:val="auto"/>
        </w:rPr>
      </w:pPr>
      <w:r>
        <w:rPr>
          <w:rFonts w:ascii="Times New Roman" w:cs="Times New Roman" w:eastAsia="Times New Roman" w:hAnsi="Times New Roman"/>
          <w:sz w:val="20"/>
          <w:szCs w:val="20"/>
          <w:color w:val="auto"/>
        </w:rPr>
        <w:t>Principal amount to be continued:</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3098165</wp:posOffset>
            </wp:positionH>
            <wp:positionV relativeFrom="paragraph">
              <wp:posOffset>-12065</wp:posOffset>
            </wp:positionV>
            <wp:extent cx="12446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61">
                      <a:extLst>
                        <a:ext uri="{28A0092B-C50C-407E-A947-70E740481C1C}"/>
                      </a:extLst>
                    </a:blip>
                    <a:srcRect/>
                    <a:stretch>
                      <a:fillRect/>
                    </a:stretch>
                  </pic:blipFill>
                  <pic:spPr bwMode="auto">
                    <a:xfrm>
                      <a:off x="0" y="0"/>
                      <a:ext cx="124460" cy="8255"/>
                    </a:xfrm>
                    <a:prstGeom prst="rect">
                      <a:avLst/>
                    </a:prstGeom>
                    <a:noFill/>
                  </pic:spPr>
                </pic:pic>
              </a:graphicData>
            </a:graphic>
          </wp:anchor>
        </w:drawing>
      </w:r>
    </w:p>
    <w:p>
      <w:pPr>
        <w:spacing w:after="0" w:line="20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0"/>
          <w:szCs w:val="20"/>
          <w:color w:val="auto"/>
        </w:rPr>
        <w:t>Last day of the current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3270250</wp:posOffset>
            </wp:positionH>
            <wp:positionV relativeFrom="paragraph">
              <wp:posOffset>-12065</wp:posOffset>
            </wp:positionV>
            <wp:extent cx="12446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62">
                      <a:extLst>
                        <a:ext uri="{28A0092B-C50C-407E-A947-70E740481C1C}"/>
                      </a:extLst>
                    </a:blip>
                    <a:srcRect/>
                    <a:stretch>
                      <a:fillRect/>
                    </a:stretch>
                  </pic:blipFill>
                  <pic:spPr bwMode="auto">
                    <a:xfrm>
                      <a:off x="0" y="0"/>
                      <a:ext cx="124460" cy="8255"/>
                    </a:xfrm>
                    <a:prstGeom prst="rect">
                      <a:avLst/>
                    </a:prstGeom>
                    <a:noFill/>
                  </pic:spPr>
                </pic:pic>
              </a:graphicData>
            </a:graphic>
          </wp:anchor>
        </w:drawing>
      </w:r>
    </w:p>
    <w:p>
      <w:pPr>
        <w:spacing w:after="0" w:line="20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0"/>
          <w:szCs w:val="20"/>
          <w:color w:val="auto"/>
        </w:rPr>
        <w:t>Requested effective date of continuation: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-12065</wp:posOffset>
            </wp:positionV>
            <wp:extent cx="12446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63">
                      <a:extLst>
                        <a:ext uri="{28A0092B-C50C-407E-A947-70E740481C1C}"/>
                      </a:extLst>
                    </a:blip>
                    <a:srcRect/>
                    <a:stretch>
                      <a:fillRect/>
                    </a:stretch>
                  </pic:blipFill>
                  <pic:spPr bwMode="auto">
                    <a:xfrm>
                      <a:off x="0" y="0"/>
                      <a:ext cx="124460" cy="8255"/>
                    </a:xfrm>
                    <a:prstGeom prst="rect">
                      <a:avLst/>
                    </a:prstGeom>
                    <a:noFill/>
                  </pic:spPr>
                </pic:pic>
              </a:graphicData>
            </a:graphic>
          </wp:anchor>
        </w:drawing>
      </w:r>
    </w:p>
    <w:p>
      <w:pPr>
        <w:spacing w:after="0" w:line="19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0"/>
          <w:szCs w:val="20"/>
          <w:color w:val="auto"/>
        </w:rPr>
        <w:t>Requested new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2900680</wp:posOffset>
            </wp:positionH>
            <wp:positionV relativeFrom="paragraph">
              <wp:posOffset>-12065</wp:posOffset>
            </wp:positionV>
            <wp:extent cx="12446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64">
                      <a:extLst>
                        <a:ext uri="{28A0092B-C50C-407E-A947-70E740481C1C}"/>
                      </a:extLst>
                    </a:blip>
                    <a:srcRect/>
                    <a:stretch>
                      <a:fillRect/>
                    </a:stretch>
                  </pic:blipFill>
                  <pic:spPr bwMode="auto">
                    <a:xfrm>
                      <a:off x="0" y="0"/>
                      <a:ext cx="124460" cy="8255"/>
                    </a:xfrm>
                    <a:prstGeom prst="rect">
                      <a:avLst/>
                    </a:prstGeom>
                    <a:noFill/>
                  </pic:spPr>
                </pic:pic>
              </a:graphicData>
            </a:graphic>
          </wp:anchor>
        </w:drawing>
      </w:r>
    </w:p>
    <w:p>
      <w:pPr>
        <w:spacing w:after="0" w:line="205" w:lineRule="exact"/>
        <w:rPr>
          <w:sz w:val="20"/>
          <w:szCs w:val="20"/>
          <w:color w:val="auto"/>
        </w:rPr>
      </w:pPr>
    </w:p>
    <w:p>
      <w:pPr>
        <w:ind w:left="640" w:firstLine="646"/>
        <w:spacing w:after="0" w:line="263" w:lineRule="auto"/>
        <w:tabs>
          <w:tab w:leader="none" w:pos="1884" w:val="left"/>
        </w:tabs>
        <w:numPr>
          <w:ilvl w:val="0"/>
          <w:numId w:val="3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principal amount of all Loans and L/C Obligations outstanding as of the date hereof does not exceed the maximum amount permitted to be outstanding pursuant to the terms of the Credit Agreement.</w:t>
      </w:r>
    </w:p>
    <w:p>
      <w:pPr>
        <w:spacing w:after="0" w:line="1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188871398_2</w:t>
      </w:r>
    </w:p>
    <w:p>
      <w:pPr>
        <w:sectPr>
          <w:pgSz w:w="11900" w:h="16838" w:orient="portrait"/>
          <w:cols w:equalWidth="0" w:num="1">
            <w:col w:w="11080"/>
          </w:cols>
          <w:pgMar w:left="360" w:top="1440" w:right="459" w:bottom="1440" w:gutter="0" w:footer="0" w:header="0"/>
        </w:sectPr>
      </w:pPr>
    </w:p>
    <w:bookmarkStart w:id="469" w:name="page470"/>
    <w:bookmarkEnd w:id="469"/>
    <w:p>
      <w:pPr>
        <w:spacing w:after="0" w:line="201" w:lineRule="exact"/>
        <w:rPr>
          <w:sz w:val="20"/>
          <w:szCs w:val="20"/>
          <w:color w:val="auto"/>
        </w:rPr>
      </w:pPr>
    </w:p>
    <w:p>
      <w:pPr>
        <w:ind w:left="640" w:firstLine="642"/>
        <w:spacing w:after="0" w:line="263" w:lineRule="auto"/>
        <w:rPr>
          <w:sz w:val="20"/>
          <w:szCs w:val="20"/>
          <w:color w:val="auto"/>
        </w:rPr>
      </w:pPr>
      <w:r>
        <w:rPr>
          <w:rFonts w:ascii="Times New Roman" w:cs="Times New Roman" w:eastAsia="Times New Roman" w:hAnsi="Times New Roman"/>
          <w:sz w:val="20"/>
          <w:szCs w:val="20"/>
          <w:color w:val="auto"/>
        </w:rPr>
        <w:t>IN WITNESS WHEREOF, the undersigned has executed this Notice of Conversion/Continuation as of the day and year first written above.</w:t>
      </w:r>
    </w:p>
    <w:p>
      <w:pPr>
        <w:spacing w:after="0" w:line="200" w:lineRule="exact"/>
        <w:rPr>
          <w:sz w:val="20"/>
          <w:szCs w:val="20"/>
          <w:color w:val="auto"/>
        </w:rPr>
      </w:pPr>
    </w:p>
    <w:p>
      <w:pPr>
        <w:spacing w:after="0" w:line="24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[CENTURI GROUP, INC., as [a] US Borrower</w:t>
      </w:r>
    </w:p>
    <w:p>
      <w:pPr>
        <w:spacing w:after="0" w:line="200" w:lineRule="exact"/>
        <w:rPr>
          <w:sz w:val="20"/>
          <w:szCs w:val="20"/>
          <w:color w:val="auto"/>
        </w:rPr>
      </w:pPr>
    </w:p>
    <w:p>
      <w:pPr>
        <w:spacing w:after="0" w:line="292" w:lineRule="exact"/>
        <w:rPr>
          <w:sz w:val="20"/>
          <w:szCs w:val="20"/>
          <w:color w:val="auto"/>
        </w:rPr>
      </w:pPr>
    </w:p>
    <w:p>
      <w:pPr>
        <w:jc w:val="center"/>
        <w:ind w:right="40"/>
        <w:spacing w:after="0"/>
        <w:tabs>
          <w:tab w:leader="none" w:pos="220" w:val="left"/>
          <w:tab w:leader="none" w:pos="220" w:val="left"/>
          <w:tab w:leader="none" w:pos="180" w:val="left"/>
        </w:tabs>
        <w:rPr>
          <w:sz w:val="20"/>
          <w:szCs w:val="20"/>
          <w:color w:val="auto"/>
        </w:rPr>
      </w:pPr>
      <w:r>
        <w:rPr>
          <w:rFonts w:ascii="Times New Roman" w:cs="Times New Roman" w:eastAsia="Times New Roman" w:hAnsi="Times New Roman"/>
          <w:sz w:val="20"/>
          <w:szCs w:val="20"/>
          <w:color w:val="auto"/>
        </w:rPr>
        <w:t>By:</w:t>
        <w:tab/>
        <w:t>Name:</w:t>
        <w:tab/>
        <w:t>Title:</w:t>
      </w:r>
      <w:r>
        <w:rPr>
          <w:sz w:val="20"/>
          <w:szCs w:val="20"/>
          <w:color w:val="auto"/>
        </w:rPr>
        <w:tab/>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3044825</wp:posOffset>
            </wp:positionH>
            <wp:positionV relativeFrom="paragraph">
              <wp:posOffset>-12065</wp:posOffset>
            </wp:positionV>
            <wp:extent cx="12446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65">
                      <a:extLst>
                        <a:ext uri="{28A0092B-C50C-407E-A947-70E740481C1C}"/>
                      </a:extLst>
                    </a:blip>
                    <a:srcRect/>
                    <a:stretch>
                      <a:fillRect/>
                    </a:stretch>
                  </pic:blipFill>
                  <pic:spPr bwMode="auto">
                    <a:xfrm>
                      <a:off x="0" y="0"/>
                      <a:ext cx="124460" cy="8255"/>
                    </a:xfrm>
                    <a:prstGeom prst="rect">
                      <a:avLst/>
                    </a:prstGeom>
                    <a:noFill/>
                  </pic:spPr>
                </pic:pic>
              </a:graphicData>
            </a:graphic>
          </wp:anchor>
        </w:drawing>
        <w:drawing>
          <wp:anchor simplePos="0" relativeHeight="251657728" behindDoc="1" locked="0" layoutInCell="0" allowOverlap="1">
            <wp:simplePos x="0" y="0"/>
            <wp:positionH relativeFrom="column">
              <wp:posOffset>3531870</wp:posOffset>
            </wp:positionH>
            <wp:positionV relativeFrom="paragraph">
              <wp:posOffset>-12065</wp:posOffset>
            </wp:positionV>
            <wp:extent cx="12446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66">
                      <a:extLst>
                        <a:ext uri="{28A0092B-C50C-407E-A947-70E740481C1C}"/>
                      </a:extLst>
                    </a:blip>
                    <a:srcRect/>
                    <a:stretch>
                      <a:fillRect/>
                    </a:stretch>
                  </pic:blipFill>
                  <pic:spPr bwMode="auto">
                    <a:xfrm>
                      <a:off x="0" y="0"/>
                      <a:ext cx="124460" cy="825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-12065</wp:posOffset>
            </wp:positionV>
            <wp:extent cx="12446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67">
                      <a:extLst>
                        <a:ext uri="{28A0092B-C50C-407E-A947-70E740481C1C}"/>
                      </a:extLst>
                    </a:blip>
                    <a:srcRect/>
                    <a:stretch>
                      <a:fillRect/>
                    </a:stretch>
                  </pic:blipFill>
                  <pic:spPr bwMode="auto">
                    <a:xfrm>
                      <a:off x="0" y="0"/>
                      <a:ext cx="124460"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[[INSERT EACH ADDITIONAL US BORROWER], as</w:t>
      </w:r>
    </w:p>
    <w:p>
      <w:pPr>
        <w:spacing w:after="0" w:line="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a US Borrower</w:t>
      </w:r>
    </w:p>
    <w:p>
      <w:pPr>
        <w:spacing w:after="0" w:line="200" w:lineRule="exact"/>
        <w:rPr>
          <w:sz w:val="20"/>
          <w:szCs w:val="20"/>
          <w:color w:val="auto"/>
        </w:rPr>
      </w:pPr>
    </w:p>
    <w:p>
      <w:pPr>
        <w:spacing w:after="0" w:line="257" w:lineRule="exact"/>
        <w:rPr>
          <w:sz w:val="20"/>
          <w:szCs w:val="20"/>
          <w:color w:val="auto"/>
        </w:rPr>
      </w:pPr>
    </w:p>
    <w:p>
      <w:pPr>
        <w:jc w:val="center"/>
        <w:ind w:right="-19"/>
        <w:spacing w:after="0"/>
        <w:tabs>
          <w:tab w:leader="none" w:pos="220" w:val="left"/>
          <w:tab w:leader="none" w:pos="220" w:val="left"/>
          <w:tab w:leader="none" w:pos="220" w:val="left"/>
        </w:tabs>
        <w:rPr>
          <w:sz w:val="20"/>
          <w:szCs w:val="20"/>
          <w:color w:val="auto"/>
        </w:rPr>
      </w:pPr>
      <w:r>
        <w:rPr>
          <w:rFonts w:ascii="Times New Roman" w:cs="Times New Roman" w:eastAsia="Times New Roman" w:hAnsi="Times New Roman"/>
          <w:sz w:val="20"/>
          <w:szCs w:val="20"/>
          <w:color w:val="auto"/>
        </w:rPr>
        <w:t>By:</w:t>
        <w:tab/>
        <w:t>Name:</w:t>
        <w:tab/>
        <w:t>Title:</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3044825</wp:posOffset>
            </wp:positionH>
            <wp:positionV relativeFrom="paragraph">
              <wp:posOffset>-12065</wp:posOffset>
            </wp:positionV>
            <wp:extent cx="12446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68">
                      <a:extLst>
                        <a:ext uri="{28A0092B-C50C-407E-A947-70E740481C1C}"/>
                      </a:extLst>
                    </a:blip>
                    <a:srcRect/>
                    <a:stretch>
                      <a:fillRect/>
                    </a:stretch>
                  </pic:blipFill>
                  <pic:spPr bwMode="auto">
                    <a:xfrm>
                      <a:off x="0" y="0"/>
                      <a:ext cx="124460" cy="8255"/>
                    </a:xfrm>
                    <a:prstGeom prst="rect">
                      <a:avLst/>
                    </a:prstGeom>
                    <a:noFill/>
                  </pic:spPr>
                </pic:pic>
              </a:graphicData>
            </a:graphic>
          </wp:anchor>
        </w:drawing>
        <w:drawing>
          <wp:anchor simplePos="0" relativeHeight="251657728" behindDoc="1" locked="0" layoutInCell="0" allowOverlap="1">
            <wp:simplePos x="0" y="0"/>
            <wp:positionH relativeFrom="column">
              <wp:posOffset>3531870</wp:posOffset>
            </wp:positionH>
            <wp:positionV relativeFrom="paragraph">
              <wp:posOffset>-12065</wp:posOffset>
            </wp:positionV>
            <wp:extent cx="12446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69">
                      <a:extLst>
                        <a:ext uri="{28A0092B-C50C-407E-A947-70E740481C1C}"/>
                      </a:extLst>
                    </a:blip>
                    <a:srcRect/>
                    <a:stretch>
                      <a:fillRect/>
                    </a:stretch>
                  </pic:blipFill>
                  <pic:spPr bwMode="auto">
                    <a:xfrm>
                      <a:off x="0" y="0"/>
                      <a:ext cx="124460" cy="825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-12065</wp:posOffset>
            </wp:positionV>
            <wp:extent cx="19685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70">
                      <a:extLst>
                        <a:ext uri="{28A0092B-C50C-407E-A947-70E740481C1C}"/>
                      </a:extLst>
                    </a:blip>
                    <a:srcRect/>
                    <a:stretch>
                      <a:fillRect/>
                    </a:stretch>
                  </pic:blipFill>
                  <pic:spPr bwMode="auto">
                    <a:xfrm>
                      <a:off x="0" y="0"/>
                      <a:ext cx="196850" cy="82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[CENTURI CANADA DIVISION INC., as [a]</w:t>
      </w:r>
    </w:p>
    <w:p>
      <w:pPr>
        <w:spacing w:after="0" w:line="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Canadian Borrower</w:t>
      </w:r>
    </w:p>
    <w:p>
      <w:pPr>
        <w:spacing w:after="0" w:line="200" w:lineRule="exact"/>
        <w:rPr>
          <w:sz w:val="20"/>
          <w:szCs w:val="20"/>
          <w:color w:val="auto"/>
        </w:rPr>
      </w:pPr>
    </w:p>
    <w:p>
      <w:pPr>
        <w:spacing w:after="0" w:line="265" w:lineRule="exact"/>
        <w:rPr>
          <w:sz w:val="20"/>
          <w:szCs w:val="20"/>
          <w:color w:val="auto"/>
        </w:rPr>
      </w:pPr>
    </w:p>
    <w:p>
      <w:pPr>
        <w:jc w:val="center"/>
        <w:ind w:right="40"/>
        <w:spacing w:after="0"/>
        <w:tabs>
          <w:tab w:leader="none" w:pos="220" w:val="left"/>
          <w:tab w:leader="none" w:pos="220" w:val="left"/>
          <w:tab w:leader="none" w:pos="180" w:val="left"/>
        </w:tabs>
        <w:rPr>
          <w:sz w:val="20"/>
          <w:szCs w:val="20"/>
          <w:color w:val="auto"/>
        </w:rPr>
      </w:pPr>
      <w:r>
        <w:rPr>
          <w:rFonts w:ascii="Times New Roman" w:cs="Times New Roman" w:eastAsia="Times New Roman" w:hAnsi="Times New Roman"/>
          <w:sz w:val="20"/>
          <w:szCs w:val="20"/>
          <w:color w:val="auto"/>
        </w:rPr>
        <w:t>By:</w:t>
        <w:tab/>
        <w:t>Name:</w:t>
        <w:tab/>
        <w:t>Title:</w:t>
      </w:r>
      <w:r>
        <w:rPr>
          <w:sz w:val="20"/>
          <w:szCs w:val="20"/>
          <w:color w:val="auto"/>
        </w:rPr>
        <w:tab/>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3044825</wp:posOffset>
            </wp:positionH>
            <wp:positionV relativeFrom="paragraph">
              <wp:posOffset>-12065</wp:posOffset>
            </wp:positionV>
            <wp:extent cx="12446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71">
                      <a:extLst>
                        <a:ext uri="{28A0092B-C50C-407E-A947-70E740481C1C}"/>
                      </a:extLst>
                    </a:blip>
                    <a:srcRect/>
                    <a:stretch>
                      <a:fillRect/>
                    </a:stretch>
                  </pic:blipFill>
                  <pic:spPr bwMode="auto">
                    <a:xfrm>
                      <a:off x="0" y="0"/>
                      <a:ext cx="124460" cy="8255"/>
                    </a:xfrm>
                    <a:prstGeom prst="rect">
                      <a:avLst/>
                    </a:prstGeom>
                    <a:noFill/>
                  </pic:spPr>
                </pic:pic>
              </a:graphicData>
            </a:graphic>
          </wp:anchor>
        </w:drawing>
        <w:drawing>
          <wp:anchor simplePos="0" relativeHeight="251657728" behindDoc="1" locked="0" layoutInCell="0" allowOverlap="1">
            <wp:simplePos x="0" y="0"/>
            <wp:positionH relativeFrom="column">
              <wp:posOffset>3531870</wp:posOffset>
            </wp:positionH>
            <wp:positionV relativeFrom="paragraph">
              <wp:posOffset>-12065</wp:posOffset>
            </wp:positionV>
            <wp:extent cx="12446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72">
                      <a:extLst>
                        <a:ext uri="{28A0092B-C50C-407E-A947-70E740481C1C}"/>
                      </a:extLst>
                    </a:blip>
                    <a:srcRect/>
                    <a:stretch>
                      <a:fillRect/>
                    </a:stretch>
                  </pic:blipFill>
                  <pic:spPr bwMode="auto">
                    <a:xfrm>
                      <a:off x="0" y="0"/>
                      <a:ext cx="124460" cy="825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-12065</wp:posOffset>
            </wp:positionV>
            <wp:extent cx="12446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73">
                      <a:extLst>
                        <a:ext uri="{28A0092B-C50C-407E-A947-70E740481C1C}"/>
                      </a:extLst>
                    </a:blip>
                    <a:srcRect/>
                    <a:stretch>
                      <a:fillRect/>
                    </a:stretch>
                  </pic:blipFill>
                  <pic:spPr bwMode="auto">
                    <a:xfrm>
                      <a:off x="0" y="0"/>
                      <a:ext cx="124460"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[[INSERT EACH ADDITIONAL CANADIAN</w:t>
      </w:r>
    </w:p>
    <w:p>
      <w:pPr>
        <w:spacing w:after="0" w:line="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BORROWER], as a Canadian Borrower</w:t>
      </w:r>
    </w:p>
    <w:p>
      <w:pPr>
        <w:spacing w:after="0" w:line="200" w:lineRule="exact"/>
        <w:rPr>
          <w:sz w:val="20"/>
          <w:szCs w:val="20"/>
          <w:color w:val="auto"/>
        </w:rPr>
      </w:pPr>
    </w:p>
    <w:p>
      <w:pPr>
        <w:spacing w:after="0" w:line="257" w:lineRule="exact"/>
        <w:rPr>
          <w:sz w:val="20"/>
          <w:szCs w:val="20"/>
          <w:color w:val="auto"/>
        </w:rPr>
      </w:pPr>
    </w:p>
    <w:p>
      <w:pPr>
        <w:jc w:val="center"/>
        <w:ind w:right="-19"/>
        <w:spacing w:after="0"/>
        <w:tabs>
          <w:tab w:leader="none" w:pos="220" w:val="left"/>
          <w:tab w:leader="none" w:pos="220" w:val="left"/>
          <w:tab w:leader="none" w:pos="220" w:val="left"/>
        </w:tabs>
        <w:rPr>
          <w:sz w:val="20"/>
          <w:szCs w:val="20"/>
          <w:color w:val="auto"/>
        </w:rPr>
      </w:pPr>
      <w:r>
        <w:rPr>
          <w:rFonts w:ascii="Times New Roman" w:cs="Times New Roman" w:eastAsia="Times New Roman" w:hAnsi="Times New Roman"/>
          <w:sz w:val="20"/>
          <w:szCs w:val="20"/>
          <w:color w:val="auto"/>
        </w:rPr>
        <w:t>By:</w:t>
        <w:tab/>
        <w:t>Name:</w:t>
        <w:tab/>
        <w:t>Title:</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3044825</wp:posOffset>
            </wp:positionH>
            <wp:positionV relativeFrom="paragraph">
              <wp:posOffset>-12065</wp:posOffset>
            </wp:positionV>
            <wp:extent cx="12446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74">
                      <a:extLst>
                        <a:ext uri="{28A0092B-C50C-407E-A947-70E740481C1C}"/>
                      </a:extLst>
                    </a:blip>
                    <a:srcRect/>
                    <a:stretch>
                      <a:fillRect/>
                    </a:stretch>
                  </pic:blipFill>
                  <pic:spPr bwMode="auto">
                    <a:xfrm>
                      <a:off x="0" y="0"/>
                      <a:ext cx="124460" cy="8255"/>
                    </a:xfrm>
                    <a:prstGeom prst="rect">
                      <a:avLst/>
                    </a:prstGeom>
                    <a:noFill/>
                  </pic:spPr>
                </pic:pic>
              </a:graphicData>
            </a:graphic>
          </wp:anchor>
        </w:drawing>
        <w:drawing>
          <wp:anchor simplePos="0" relativeHeight="251657728" behindDoc="1" locked="0" layoutInCell="0" allowOverlap="1">
            <wp:simplePos x="0" y="0"/>
            <wp:positionH relativeFrom="column">
              <wp:posOffset>3531870</wp:posOffset>
            </wp:positionH>
            <wp:positionV relativeFrom="paragraph">
              <wp:posOffset>-12065</wp:posOffset>
            </wp:positionV>
            <wp:extent cx="12446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75">
                      <a:extLst>
                        <a:ext uri="{28A0092B-C50C-407E-A947-70E740481C1C}"/>
                      </a:extLst>
                    </a:blip>
                    <a:srcRect/>
                    <a:stretch>
                      <a:fillRect/>
                    </a:stretch>
                  </pic:blipFill>
                  <pic:spPr bwMode="auto">
                    <a:xfrm>
                      <a:off x="0" y="0"/>
                      <a:ext cx="124460" cy="825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-12065</wp:posOffset>
            </wp:positionV>
            <wp:extent cx="19685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76">
                      <a:extLst>
                        <a:ext uri="{28A0092B-C50C-407E-A947-70E740481C1C}"/>
                      </a:extLst>
                    </a:blip>
                    <a:srcRect/>
                    <a:stretch>
                      <a:fillRect/>
                    </a:stretch>
                  </pic:blipFill>
                  <pic:spPr bwMode="auto">
                    <a:xfrm>
                      <a:off x="0" y="0"/>
                      <a:ext cx="196850"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188871398_2</w:t>
      </w:r>
    </w:p>
    <w:p>
      <w:pPr>
        <w:sectPr>
          <w:pgSz w:w="11900" w:h="16838" w:orient="portrait"/>
          <w:cols w:equalWidth="0" w:num="1">
            <w:col w:w="11040"/>
          </w:cols>
          <w:pgMar w:left="360" w:top="1440" w:right="499" w:bottom="1440" w:gutter="0" w:footer="0" w:header="0"/>
        </w:sectPr>
      </w:pPr>
    </w:p>
    <w:bookmarkStart w:id="470" w:name="page471"/>
    <w:bookmarkEnd w:id="470"/>
    <w:p>
      <w:pPr>
        <w:jc w:val="center"/>
        <w:spacing w:after="0"/>
        <w:rPr>
          <w:sz w:val="20"/>
          <w:szCs w:val="20"/>
          <w:color w:val="auto"/>
        </w:rPr>
      </w:pPr>
      <w:r>
        <w:rPr>
          <w:rFonts w:ascii="Times New Roman" w:cs="Times New Roman" w:eastAsia="Times New Roman" w:hAnsi="Times New Roman"/>
          <w:sz w:val="20"/>
          <w:szCs w:val="20"/>
          <w:b w:val="1"/>
          <w:bCs w:val="1"/>
          <w:color w:val="auto"/>
        </w:rPr>
        <w:t>UNUTILIZED TAX ASSETS SETTLEMENT AGREEMENT</w:t>
      </w:r>
    </w:p>
    <w:p>
      <w:pPr>
        <w:spacing w:after="0" w:line="215" w:lineRule="exact"/>
        <w:rPr>
          <w:sz w:val="20"/>
          <w:szCs w:val="20"/>
          <w:color w:val="auto"/>
        </w:rPr>
      </w:pPr>
    </w:p>
    <w:p>
      <w:pPr>
        <w:ind w:left="640"/>
        <w:spacing w:after="0"/>
        <w:tabs>
          <w:tab w:leader="none" w:pos="1240" w:val="left"/>
          <w:tab w:leader="none" w:pos="2620" w:val="left"/>
          <w:tab w:leader="none" w:pos="3580" w:val="left"/>
          <w:tab w:leader="none" w:pos="4160" w:val="left"/>
          <w:tab w:leader="none" w:pos="5060" w:val="left"/>
          <w:tab w:leader="none" w:pos="6500" w:val="left"/>
          <w:tab w:leader="none" w:pos="7900" w:val="left"/>
        </w:tabs>
        <w:rPr>
          <w:sz w:val="20"/>
          <w:szCs w:val="20"/>
          <w:color w:val="auto"/>
        </w:rPr>
      </w:pPr>
      <w:r>
        <w:rPr>
          <w:rFonts w:ascii="Times New Roman" w:cs="Times New Roman" w:eastAsia="Times New Roman" w:hAnsi="Times New Roman"/>
          <w:sz w:val="20"/>
          <w:szCs w:val="20"/>
          <w:color w:val="auto"/>
        </w:rPr>
        <w:t>THIS</w:t>
        <w:tab/>
        <w:t>UNUTILIZED</w:t>
        <w:tab/>
        <w:t>INCOME</w:t>
        <w:tab/>
        <w:t>TAX</w:t>
        <w:tab/>
        <w:t>ASSETS</w:t>
        <w:tab/>
        <w:t>SETTLEMENT</w:t>
        <w:tab/>
        <w:t>AGREEMENT</w:t>
        <w:tab/>
        <w:t>(this</w:t>
      </w:r>
    </w:p>
    <w:p>
      <w:pPr>
        <w:spacing w:after="0" w:line="2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is made as of February 24, 2025, by and between Southwest Gas Holdings, Inc., a Delaware corporation (and “</w:t>
      </w:r>
      <w:r>
        <w:rPr>
          <w:rFonts w:ascii="Times New Roman" w:cs="Times New Roman" w:eastAsia="Times New Roman" w:hAnsi="Times New Roman"/>
          <w:sz w:val="20"/>
          <w:szCs w:val="20"/>
          <w:b w:val="1"/>
          <w:bCs w:val="1"/>
          <w:i w:val="1"/>
          <w:iCs w:val="1"/>
          <w:color w:val="auto"/>
        </w:rPr>
        <w:t>Southwest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Gas Holdings</w:t>
      </w:r>
      <w:r>
        <w:rPr>
          <w:rFonts w:ascii="Times New Roman" w:cs="Times New Roman" w:eastAsia="Times New Roman" w:hAnsi="Times New Roman"/>
          <w:sz w:val="20"/>
          <w:szCs w:val="20"/>
          <w:color w:val="auto"/>
        </w:rPr>
        <w:t>”), Centuri Holdings, Inc., a Delaware corporation (“</w:t>
      </w:r>
      <w:r>
        <w:rPr>
          <w:rFonts w:ascii="Times New Roman" w:cs="Times New Roman" w:eastAsia="Times New Roman" w:hAnsi="Times New Roman"/>
          <w:sz w:val="20"/>
          <w:szCs w:val="20"/>
          <w:b w:val="1"/>
          <w:bCs w:val="1"/>
          <w:i w:val="1"/>
          <w:iCs w:val="1"/>
          <w:color w:val="auto"/>
        </w:rPr>
        <w:t>Centuri Holdings</w:t>
      </w:r>
      <w:r>
        <w:rPr>
          <w:rFonts w:ascii="Times New Roman" w:cs="Times New Roman" w:eastAsia="Times New Roman" w:hAnsi="Times New Roman"/>
          <w:sz w:val="20"/>
          <w:szCs w:val="20"/>
          <w:color w:val="auto"/>
        </w:rPr>
        <w:t>”), and Centuri Group, Inc., a Nevada corporation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wholly owned subsidiary of Centuri Holdings (“</w:t>
      </w:r>
      <w:r>
        <w:rPr>
          <w:rFonts w:ascii="Times New Roman" w:cs="Times New Roman" w:eastAsia="Times New Roman" w:hAnsi="Times New Roman"/>
          <w:sz w:val="20"/>
          <w:szCs w:val="20"/>
          <w:b w:val="1"/>
          <w:bCs w:val="1"/>
          <w:i w:val="1"/>
          <w:iCs w:val="1"/>
          <w:color w:val="auto"/>
        </w:rPr>
        <w:t>Centuri Group</w:t>
      </w:r>
      <w:r>
        <w:rPr>
          <w:rFonts w:ascii="Times New Roman" w:cs="Times New Roman" w:eastAsia="Times New Roman" w:hAnsi="Times New Roman"/>
          <w:sz w:val="20"/>
          <w:szCs w:val="20"/>
          <w:color w:val="auto"/>
        </w:rPr>
        <w:t>” and, together with Centuri Holdings, the “</w:t>
      </w:r>
      <w:r>
        <w:rPr>
          <w:rFonts w:ascii="Times New Roman" w:cs="Times New Roman" w:eastAsia="Times New Roman" w:hAnsi="Times New Roman"/>
          <w:sz w:val="20"/>
          <w:szCs w:val="20"/>
          <w:b w:val="1"/>
          <w:bCs w:val="1"/>
          <w:i w:val="1"/>
          <w:iCs w:val="1"/>
          <w:color w:val="auto"/>
        </w:rPr>
        <w:t>Centuri Parties</w:t>
      </w:r>
      <w:r>
        <w:rPr>
          <w:rFonts w:ascii="Times New Roman" w:cs="Times New Roman" w:eastAsia="Times New Roman" w:hAnsi="Times New Roman"/>
          <w:sz w:val="20"/>
          <w:szCs w:val="20"/>
          <w:color w:val="auto"/>
        </w:rPr>
        <w:t>”). Southwest Gas Holdings and the Centuri Parties are each hereby referred to as a “</w:t>
      </w:r>
      <w:r>
        <w:rPr>
          <w:rFonts w:ascii="Times New Roman" w:cs="Times New Roman" w:eastAsia="Times New Roman" w:hAnsi="Times New Roman"/>
          <w:sz w:val="20"/>
          <w:szCs w:val="20"/>
          <w:b w:val="1"/>
          <w:bCs w:val="1"/>
          <w:i w:val="1"/>
          <w:iCs w:val="1"/>
          <w:color w:val="auto"/>
        </w:rPr>
        <w:t>Party</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b w:val="1"/>
          <w:bCs w:val="1"/>
          <w:i w:val="1"/>
          <w:iCs w:val="1"/>
          <w:color w:val="auto"/>
        </w:rPr>
        <w:t>Parties</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11" w:lineRule="exact"/>
        <w:rPr>
          <w:sz w:val="20"/>
          <w:szCs w:val="20"/>
          <w:color w:val="auto"/>
        </w:rPr>
      </w:pPr>
    </w:p>
    <w:p>
      <w:pPr>
        <w:jc w:val="both"/>
        <w:ind w:firstLine="642"/>
        <w:spacing w:after="0" w:line="255"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Centuri Parties were formerly wholly owned subsidiaries of Southwest Gas Holdings and continue to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consolidated subsidiaries of Southwest Gas Holdings for purposes of the Internal Revenue Code of 1986, as amended (the “</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and part of a group of entities that file tax returns with Southwest Gas Holdings in respect to either federal, state, local or non-U.S. income taxes for an affiliated group, or any other affiliated, consolidated, combined, unitary, fiscal unity or other group basis (including as permitted by Section 1501 of the Code) (the “</w:t>
      </w:r>
      <w:r>
        <w:rPr>
          <w:rFonts w:ascii="Times New Roman" w:cs="Times New Roman" w:eastAsia="Times New Roman" w:hAnsi="Times New Roman"/>
          <w:sz w:val="20"/>
          <w:szCs w:val="20"/>
          <w:b w:val="1"/>
          <w:bCs w:val="1"/>
          <w:i w:val="1"/>
          <w:iCs w:val="1"/>
          <w:color w:val="auto"/>
        </w:rPr>
        <w:t>Southwest Consolidated or Combined Tax Group</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jc w:val="both"/>
        <w:ind w:firstLine="642"/>
        <w:spacing w:after="0" w:line="281"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on April 11, 2024, the Parties entered into that certain Separation Agreement, dated as of April 11, 2024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Separation Agreement</w:t>
      </w:r>
      <w:r>
        <w:rPr>
          <w:rFonts w:ascii="Times New Roman" w:cs="Times New Roman" w:eastAsia="Times New Roman" w:hAnsi="Times New Roman"/>
          <w:sz w:val="20"/>
          <w:szCs w:val="20"/>
          <w:color w:val="auto"/>
        </w:rPr>
        <w:t>”), and that certain Tax Matters Agreement, dated as of April 11, 2024 (the “</w:t>
      </w:r>
      <w:r>
        <w:rPr>
          <w:rFonts w:ascii="Times New Roman" w:cs="Times New Roman" w:eastAsia="Times New Roman" w:hAnsi="Times New Roman"/>
          <w:sz w:val="20"/>
          <w:szCs w:val="20"/>
          <w:b w:val="1"/>
          <w:bCs w:val="1"/>
          <w:i w:val="1"/>
          <w:iCs w:val="1"/>
          <w:color w:val="auto"/>
        </w:rPr>
        <w:t>Tax Matters Agreement</w:t>
      </w:r>
      <w:r>
        <w:rPr>
          <w:rFonts w:ascii="Times New Roman" w:cs="Times New Roman" w:eastAsia="Times New Roman" w:hAnsi="Times New Roman"/>
          <w:sz w:val="20"/>
          <w:szCs w:val="20"/>
          <w:color w:val="auto"/>
        </w:rPr>
        <w:t>”);</w:t>
      </w:r>
    </w:p>
    <w:p>
      <w:pPr>
        <w:spacing w:after="0" w:line="157" w:lineRule="exact"/>
        <w:rPr>
          <w:sz w:val="20"/>
          <w:szCs w:val="20"/>
          <w:color w:val="auto"/>
        </w:rPr>
      </w:pPr>
    </w:p>
    <w:p>
      <w:pPr>
        <w:jc w:val="both"/>
        <w:ind w:firstLine="641"/>
        <w:spacing w:after="0" w:line="259"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as of the date hereof, Southwest Gas Holdings is the beneficial owner of 71,665,592 shares of Centuri Holdings’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common stock, par value $0.01 per share (the “</w:t>
      </w:r>
      <w:r>
        <w:rPr>
          <w:rFonts w:ascii="Times New Roman" w:cs="Times New Roman" w:eastAsia="Times New Roman" w:hAnsi="Times New Roman"/>
          <w:sz w:val="20"/>
          <w:szCs w:val="20"/>
          <w:b w:val="1"/>
          <w:bCs w:val="1"/>
          <w:i w:val="1"/>
          <w:iCs w:val="1"/>
          <w:color w:val="auto"/>
        </w:rPr>
        <w:t>Centuri Common Stock</w:t>
      </w:r>
      <w:r>
        <w:rPr>
          <w:rFonts w:ascii="Times New Roman" w:cs="Times New Roman" w:eastAsia="Times New Roman" w:hAnsi="Times New Roman"/>
          <w:sz w:val="20"/>
          <w:szCs w:val="20"/>
          <w:color w:val="auto"/>
        </w:rPr>
        <w:t>”), which represents approximately 81.0% of the outstanding Centuri Common Stock;</w:t>
      </w:r>
    </w:p>
    <w:p>
      <w:pPr>
        <w:spacing w:after="0" w:line="165" w:lineRule="exact"/>
        <w:rPr>
          <w:sz w:val="20"/>
          <w:szCs w:val="20"/>
          <w:color w:val="auto"/>
        </w:rPr>
      </w:pPr>
    </w:p>
    <w:p>
      <w:pPr>
        <w:jc w:val="both"/>
        <w:ind w:firstLine="642"/>
        <w:spacing w:after="0" w:line="255"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Southwest Gas Holdings may dispose of its remaining shares of Centuri Common Stock, and, at the time Southwest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Gas Holdings reduces its ownership of the Centuri Common Stock or other changes occur to effect a Deconsolidation (as defined below), the Centuri Parties will cease to be part of the Southwest Consolidated or Combined Tax Group for federal income tax purposes under the Code and at such time or a later time for applicable state income tax purposes, without regard to whether the Centuri Parties continue to be consolidated for Southwest Gas Holdings’ financial statement reporting purposes;</w:t>
      </w:r>
    </w:p>
    <w:p>
      <w:pPr>
        <w:spacing w:after="0" w:line="169" w:lineRule="exact"/>
        <w:rPr>
          <w:sz w:val="20"/>
          <w:szCs w:val="20"/>
          <w:color w:val="auto"/>
        </w:rPr>
      </w:pPr>
    </w:p>
    <w:p>
      <w:pPr>
        <w:jc w:val="both"/>
        <w:ind w:firstLine="641"/>
        <w:spacing w:after="0" w:line="281"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Centuri Parties have made payments for the Centuri Separate Tax Liabilities (as defined in the Tax Matters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and will continue to do so until a Deconsolidation (as applicable) occurs with respect to the tax at issue;</w:t>
      </w:r>
    </w:p>
    <w:p>
      <w:pPr>
        <w:spacing w:after="0" w:line="157" w:lineRule="exact"/>
        <w:rPr>
          <w:sz w:val="20"/>
          <w:szCs w:val="20"/>
          <w:color w:val="auto"/>
        </w:rPr>
      </w:pPr>
    </w:p>
    <w:p>
      <w:pPr>
        <w:jc w:val="both"/>
        <w:ind w:firstLine="642"/>
        <w:spacing w:after="0" w:line="249"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during the time that the Centuri Parties have been part of the Southwest Consolidated or Combined Tax Group,</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certain payments have been or will be made by Southwest Gas Holdings to the Centuri Parties, or effectively deemed paid by Southwest Gas Holdings to the Centuri Parties by permitting the Centuri Parties to reduce their tax payments to Southwest Gas Holdings and predecessors related thereto as a result of certain tax attributes, including net operating losses (“NOLs”), that would be available to the Centuri Parties if they were a stand-alone taxpayer, but were not actually utilized by the Southwest Consolidated or Combined Tax Group as of the date of such Deconsolidation (the amount of such payments or effective payments, the “</w:t>
      </w:r>
      <w:r>
        <w:rPr>
          <w:rFonts w:ascii="Times New Roman" w:cs="Times New Roman" w:eastAsia="Times New Roman" w:hAnsi="Times New Roman"/>
          <w:sz w:val="20"/>
          <w:szCs w:val="20"/>
          <w:b w:val="1"/>
          <w:bCs w:val="1"/>
          <w:i w:val="1"/>
          <w:iCs w:val="1"/>
          <w:color w:val="auto"/>
        </w:rPr>
        <w:t>Amounts</w:t>
      </w:r>
      <w:r>
        <w:rPr>
          <w:rFonts w:ascii="Times New Roman" w:cs="Times New Roman" w:eastAsia="Times New Roman" w:hAnsi="Times New Roman"/>
          <w:sz w:val="20"/>
          <w:szCs w:val="20"/>
          <w:color w:val="auto"/>
        </w:rPr>
        <w:t>”), for U.S. federal and state tax attributes created by the Centuri Parties and not utilized by the Southwest Consolidated or Combined Tax Group (the “</w:t>
      </w:r>
      <w:r>
        <w:rPr>
          <w:rFonts w:ascii="Times New Roman" w:cs="Times New Roman" w:eastAsia="Times New Roman" w:hAnsi="Times New Roman"/>
          <w:sz w:val="20"/>
          <w:szCs w:val="20"/>
          <w:b w:val="1"/>
          <w:bCs w:val="1"/>
          <w:i w:val="1"/>
          <w:iCs w:val="1"/>
          <w:color w:val="auto"/>
        </w:rPr>
        <w:t>Unutilized Tax</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Assets</w:t>
      </w:r>
      <w:r>
        <w:rPr>
          <w:rFonts w:ascii="Times New Roman" w:cs="Times New Roman" w:eastAsia="Times New Roman" w:hAnsi="Times New Roman"/>
          <w:sz w:val="20"/>
          <w:szCs w:val="20"/>
          <w:color w:val="auto"/>
        </w:rPr>
        <w:t>”), but available for utilization by the Centuri Parties upon and after a Deconsolidation;</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000"/>
          </w:cols>
          <w:pgMar w:left="440" w:top="1396" w:right="459" w:bottom="1440" w:gutter="0" w:footer="0" w:header="0"/>
        </w:sectPr>
      </w:pPr>
    </w:p>
    <w:bookmarkStart w:id="471" w:name="page472"/>
    <w:bookmarkEnd w:id="471"/>
    <w:p>
      <w:pPr>
        <w:jc w:val="both"/>
        <w:ind w:left="40" w:firstLine="642"/>
        <w:spacing w:after="0" w:line="266"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upon a Deconsolidation, the Southwest Consolidated or Combined Tax Group will no longer be able to benefit from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Unutilized Tax Assets to the extent such Unutilized Tax Assets are included within the NOLs or tax credits allocated to the Centuri Parties upon a Deconsolidation under Treasury Regulation 1.1502-21 or similar provision of state or local law;</w:t>
      </w:r>
    </w:p>
    <w:p>
      <w:pPr>
        <w:spacing w:after="0" w:line="158" w:lineRule="exact"/>
        <w:rPr>
          <w:sz w:val="20"/>
          <w:szCs w:val="20"/>
          <w:color w:val="auto"/>
        </w:rPr>
      </w:pPr>
    </w:p>
    <w:p>
      <w:pPr>
        <w:jc w:val="both"/>
        <w:ind w:left="40" w:firstLine="641"/>
        <w:spacing w:after="0" w:line="259"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specific treatment of the Amounts to Southwest Gas Holdings by the Centuri Parties for the Unutilized Tax Assets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upon the Deconsolidation of the Southwest Consolidated or Combined Tax Group is not specifically detailed in the Separation Agreement or the Tax Matters Agreement; and</w:t>
      </w:r>
    </w:p>
    <w:p>
      <w:pPr>
        <w:spacing w:after="0" w:line="178" w:lineRule="exact"/>
        <w:rPr>
          <w:sz w:val="20"/>
          <w:szCs w:val="20"/>
          <w:color w:val="auto"/>
        </w:rPr>
      </w:pPr>
    </w:p>
    <w:p>
      <w:pPr>
        <w:jc w:val="both"/>
        <w:ind w:left="40" w:firstLine="641"/>
        <w:spacing w:after="0" w:line="281"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Parties desire to enter into this Agreement to formalize and memorialize the treatment of the Amounts in respect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Unutilized Tax Assets upon any Deconsolidation.</w:t>
      </w:r>
    </w:p>
    <w:p>
      <w:pPr>
        <w:spacing w:after="0" w:line="14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b w:val="1"/>
          <w:bCs w:val="1"/>
          <w:color w:val="auto"/>
        </w:rPr>
        <w:t>NOW THEREFORE</w:t>
      </w:r>
      <w:r>
        <w:rPr>
          <w:rFonts w:ascii="Times New Roman" w:cs="Times New Roman" w:eastAsia="Times New Roman" w:hAnsi="Times New Roman"/>
          <w:sz w:val="19"/>
          <w:szCs w:val="19"/>
          <w:color w:val="auto"/>
        </w:rPr>
        <w:t>, in consideration of the foregoing and the mutual promises and covenants contained in this Agreement, the</w:t>
      </w:r>
    </w:p>
    <w:p>
      <w:pPr>
        <w:spacing w:after="0" w:line="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Parties agree as follows:</w:t>
      </w:r>
    </w:p>
    <w:p>
      <w:pPr>
        <w:spacing w:after="0" w:line="197" w:lineRule="exact"/>
        <w:rPr>
          <w:sz w:val="20"/>
          <w:szCs w:val="20"/>
          <w:color w:val="auto"/>
        </w:rPr>
      </w:pPr>
    </w:p>
    <w:p>
      <w:pPr>
        <w:jc w:val="both"/>
        <w:ind w:left="40" w:firstLine="635"/>
        <w:spacing w:after="0" w:line="255" w:lineRule="auto"/>
        <w:tabs>
          <w:tab w:leader="none" w:pos="1216" w:val="left"/>
        </w:tabs>
        <w:numPr>
          <w:ilvl w:val="0"/>
          <w:numId w:val="3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any Deconsolidation, the tax effected amount of Unutilized Tax Assets, which such amount shall be adjusted for payments, or effective payments (through the reduction in the Centuri Parties’ tax payments) made pursuant to the Tax Matters Agreement of Amounts by Southwest Gas Holdings to the Centuri Parties between the date of this Agreement and any Deconsolidation, will be treated as deemed capital contributions by Southwest Gas Holdings to the Centuri Parties in all respects.</w:t>
      </w:r>
    </w:p>
    <w:p>
      <w:pPr>
        <w:spacing w:after="0" w:line="186" w:lineRule="exact"/>
        <w:rPr>
          <w:rFonts w:ascii="Times New Roman" w:cs="Times New Roman" w:eastAsia="Times New Roman" w:hAnsi="Times New Roman"/>
          <w:sz w:val="20"/>
          <w:szCs w:val="20"/>
          <w:color w:val="auto"/>
        </w:rPr>
      </w:pPr>
    </w:p>
    <w:p>
      <w:pPr>
        <w:jc w:val="both"/>
        <w:ind w:left="40" w:firstLine="635"/>
        <w:spacing w:after="0" w:line="250" w:lineRule="auto"/>
        <w:tabs>
          <w:tab w:leader="none" w:pos="1217" w:val="left"/>
        </w:tabs>
        <w:numPr>
          <w:ilvl w:val="0"/>
          <w:numId w:val="3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Southwest Gas Holdings will estimate the tax effected amount of the Unutilized Tax Assets, and therefore, the magnitude of the capital contributions, for financial statement recognition purposes in connection with any Deconsolidation, and will adjust such amounts (upward or downward) based on a final determination of the actual amount of the tax effected amount of the Unutilized Tax Assets as of the date of filing of the final tax return of the Southwest Consolidated Tax Group for the taxable year including the applicable Deconsolidation. The tax effected amounts will be computed as determined by Southwest Gas Holdings in its sole discretion in accordance with its historic practices.</w:t>
      </w:r>
    </w:p>
    <w:p>
      <w:pPr>
        <w:spacing w:after="0" w:line="180" w:lineRule="exact"/>
        <w:rPr>
          <w:rFonts w:ascii="Times New Roman" w:cs="Times New Roman" w:eastAsia="Times New Roman" w:hAnsi="Times New Roman"/>
          <w:sz w:val="20"/>
          <w:szCs w:val="20"/>
          <w:color w:val="auto"/>
        </w:rPr>
      </w:pPr>
    </w:p>
    <w:p>
      <w:pPr>
        <w:jc w:val="both"/>
        <w:ind w:left="40" w:firstLine="635"/>
        <w:spacing w:after="0" w:line="247" w:lineRule="auto"/>
        <w:tabs>
          <w:tab w:leader="none" w:pos="1217" w:val="left"/>
        </w:tabs>
        <w:numPr>
          <w:ilvl w:val="0"/>
          <w:numId w:val="3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hereby agree that, notwithstanding the terms, or absence thereof, of the Separation Agreement and the Tax Matters Agreement, the treatment of the Unrealized Tax Assets between the Parties pursuant to paragraph 1 of this Agreement shall govern the treatment of the Unutilized Tax Assets upon Deconsolidation between the Parties and no payment shall be required by the Centuri Group to Southwest Gas Holdings or its subsidiaries with respect to the Unutilized Tax Assets. The Separation Agreement and Tax Matters Agreement (including, for the avoidance of doubt, the allocation of tax liabilities set forth in Section 2.1 of the Tax Matters Agreement and the associated indemnification obligation under Article V of the Tax Matters Agreement) otherwise remain in full force and effect. Except for the express obligations of the Centuri Group or Southwest Gas Holdings under this Agreement, for and in consideration of the treatment of the Unutilized Tax Assets pursuant to this Agreement and effective as of the date of this Agreement, (a) Southwest Gas Holdings hereby absolutely and unconditionally releases, acquits and forever discharges, and covenants not to sue, and shall cause each of its affiliates to absolutely and unconditionally release, acquit and forever discharge and covenant not to sue, the Centuri Group and each of its affiliates, each of their present and former officers, directors, managers, employees and agents and each of their respective heirs, executors, administrators, successors and assigns, and (b) the Centuri Group hereby absolutely and unconditionally releases, acquits and forever discharges, and covenants not to sue, and shall cause each of its affiliates (other than Southwest Gas Holdings) to absolutely and unconditionally release, acquit and forever discharge and covenant not to sue, Southwest Gas Holdings and each of its affiliates, each of their present and former officers, directors, managers, employees and agents and each of their respective heirs, executors, administrators, successors and assigns, in the case of each of clauses (a) and (b), from any and all costs, expenses, damages, debts or any other obligations, liabilities and claims whatsoever, whether known or unknown, both in law and in</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040"/>
          </w:cols>
          <w:pgMar w:left="400" w:top="1383" w:right="459" w:bottom="1440" w:gutter="0" w:footer="0" w:header="0"/>
        </w:sectPr>
      </w:pPr>
    </w:p>
    <w:bookmarkStart w:id="472" w:name="page473"/>
    <w:bookmarkEnd w:id="472"/>
    <w:p>
      <w:pPr>
        <w:spacing w:after="0" w:line="95" w:lineRule="exact"/>
        <w:rPr>
          <w:sz w:val="20"/>
          <w:szCs w:val="20"/>
          <w:color w:val="auto"/>
        </w:rPr>
      </w:pPr>
    </w:p>
    <w:p>
      <w:pPr>
        <w:jc w:val="both"/>
        <w:ind w:left="40"/>
        <w:spacing w:after="0" w:line="257" w:lineRule="auto"/>
        <w:rPr>
          <w:sz w:val="20"/>
          <w:szCs w:val="20"/>
          <w:color w:val="auto"/>
        </w:rPr>
      </w:pPr>
      <w:r>
        <w:rPr>
          <w:rFonts w:ascii="Times New Roman" w:cs="Times New Roman" w:eastAsia="Times New Roman" w:hAnsi="Times New Roman"/>
          <w:sz w:val="20"/>
          <w:szCs w:val="20"/>
          <w:color w:val="auto"/>
        </w:rPr>
        <w:t>equity, in each case to the extent arising out of or resulting from the treatment of the Unutilized Tax Assets pursuant to this Agreement or payments resulting from the Unutilized Tax Assets due to any Deconsolidation other than allocation of tax liabilities set forth in Section 2.1 of the Tax Matters Agreement and associated indemnification obligation under Article V of the Tax Matters Agreement.</w:t>
      </w:r>
    </w:p>
    <w:p>
      <w:pPr>
        <w:spacing w:after="0" w:line="184" w:lineRule="exact"/>
        <w:rPr>
          <w:sz w:val="20"/>
          <w:szCs w:val="20"/>
          <w:color w:val="auto"/>
        </w:rPr>
      </w:pPr>
    </w:p>
    <w:p>
      <w:pPr>
        <w:jc w:val="both"/>
        <w:ind w:left="40" w:firstLine="635"/>
        <w:spacing w:after="0" w:line="250" w:lineRule="auto"/>
        <w:tabs>
          <w:tab w:leader="none" w:pos="1216" w:val="left"/>
        </w:tabs>
        <w:numPr>
          <w:ilvl w:val="0"/>
          <w:numId w:val="3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hereby agree and intend that the amount of tax attributes (including NOLs) allocated to the Centuri Parties pursuant to Treasury Regulation 1.1502-21 after the execution of this Agreement and making of any deemed capital contribution in respect of Unutilized Tax Attributes shall be the same amount of such tax attributes that would have been allocated to the Centuri Parties pursuant to Treasury Regulation 1.1502-21 if the Parties had not entered into this Agreement or made any deemed capital contribution described in this Agreement.</w:t>
      </w:r>
    </w:p>
    <w:p>
      <w:pPr>
        <w:spacing w:after="0" w:line="189" w:lineRule="exact"/>
        <w:rPr>
          <w:rFonts w:ascii="Times New Roman" w:cs="Times New Roman" w:eastAsia="Times New Roman" w:hAnsi="Times New Roman"/>
          <w:sz w:val="20"/>
          <w:szCs w:val="20"/>
          <w:color w:val="auto"/>
        </w:rPr>
      </w:pPr>
    </w:p>
    <w:p>
      <w:pPr>
        <w:jc w:val="both"/>
        <w:ind w:left="40" w:firstLine="636"/>
        <w:spacing w:after="0" w:line="251" w:lineRule="auto"/>
        <w:tabs>
          <w:tab w:leader="none" w:pos="1217" w:val="left"/>
        </w:tabs>
        <w:numPr>
          <w:ilvl w:val="0"/>
          <w:numId w:val="3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the term “</w:t>
      </w:r>
      <w:r>
        <w:rPr>
          <w:rFonts w:ascii="Times New Roman" w:cs="Times New Roman" w:eastAsia="Times New Roman" w:hAnsi="Times New Roman"/>
          <w:sz w:val="20"/>
          <w:szCs w:val="20"/>
          <w:b w:val="1"/>
          <w:bCs w:val="1"/>
          <w:color w:val="auto"/>
        </w:rPr>
        <w:t>Deconsolidation</w:t>
      </w:r>
      <w:r>
        <w:rPr>
          <w:rFonts w:ascii="Times New Roman" w:cs="Times New Roman" w:eastAsia="Times New Roman" w:hAnsi="Times New Roman"/>
          <w:sz w:val="20"/>
          <w:szCs w:val="20"/>
          <w:color w:val="auto"/>
        </w:rPr>
        <w:t>” shall mean, with respect to federal and state tax laws, any transfer or other disposition of Centuri Common Stock, change or shift in voting power, or other event or change in law or circumstance that causes Centuri to fail to qualify, for purposes of such federal or state tax laws, applicable, as a member of Southwest Consolidated or Combined Tax Group. The determination of a “Deconsolidation” for purposes of this Agreement shall be distinct from any determination as to whether Centuri or any member of the Centuri Group shall remain consolidated for financial accounting purposes with Southwest Gas Holdings or any member of the Southwest Consolidated or Combined Tax Group.</w:t>
      </w:r>
    </w:p>
    <w:p>
      <w:pPr>
        <w:spacing w:after="0" w:line="179" w:lineRule="exact"/>
        <w:rPr>
          <w:rFonts w:ascii="Times New Roman" w:cs="Times New Roman" w:eastAsia="Times New Roman" w:hAnsi="Times New Roman"/>
          <w:sz w:val="20"/>
          <w:szCs w:val="20"/>
          <w:color w:val="auto"/>
        </w:rPr>
      </w:pPr>
    </w:p>
    <w:p>
      <w:pPr>
        <w:ind w:left="1300" w:hanging="624"/>
        <w:spacing w:after="0"/>
        <w:tabs>
          <w:tab w:leader="none" w:pos="1300" w:val="left"/>
        </w:tabs>
        <w:numPr>
          <w:ilvl w:val="0"/>
          <w:numId w:val="3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224" w:lineRule="exact"/>
        <w:rPr>
          <w:rFonts w:ascii="Times New Roman" w:cs="Times New Roman" w:eastAsia="Times New Roman" w:hAnsi="Times New Roman"/>
          <w:sz w:val="20"/>
          <w:szCs w:val="20"/>
          <w:color w:val="auto"/>
        </w:rPr>
      </w:pPr>
    </w:p>
    <w:p>
      <w:pPr>
        <w:ind w:left="40" w:firstLine="1277"/>
        <w:spacing w:after="0" w:line="263" w:lineRule="auto"/>
        <w:tabs>
          <w:tab w:leader="none" w:pos="1849" w:val="left"/>
        </w:tabs>
        <w:numPr>
          <w:ilvl w:val="1"/>
          <w:numId w:val="3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w:t>
      </w:r>
      <w:r>
        <w:rPr>
          <w:rFonts w:ascii="Times New Roman" w:cs="Times New Roman" w:eastAsia="Times New Roman" w:hAnsi="Times New Roman"/>
          <w:sz w:val="20"/>
          <w:szCs w:val="20"/>
          <w:color w:val="auto"/>
        </w:rPr>
        <w:t>. This Agreement shall terminate and be of no further force or effect (except for those terms that expressly survive such termination) upon the written consent of each of the Parties.</w:t>
      </w:r>
    </w:p>
    <w:p>
      <w:pPr>
        <w:spacing w:after="0" w:line="164" w:lineRule="exact"/>
        <w:rPr>
          <w:rFonts w:ascii="Times New Roman" w:cs="Times New Roman" w:eastAsia="Times New Roman" w:hAnsi="Times New Roman"/>
          <w:sz w:val="20"/>
          <w:szCs w:val="20"/>
          <w:color w:val="auto"/>
        </w:rPr>
      </w:pPr>
    </w:p>
    <w:p>
      <w:pPr>
        <w:jc w:val="both"/>
        <w:ind w:left="40" w:firstLine="1277"/>
        <w:spacing w:after="0" w:line="250" w:lineRule="auto"/>
        <w:tabs>
          <w:tab w:leader="none" w:pos="1846" w:val="left"/>
        </w:tabs>
        <w:numPr>
          <w:ilvl w:val="1"/>
          <w:numId w:val="3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requests, claims, demands or other communications under this Agreement shall be in writing, together with a copy by electronic mail (which shall not constitute notice), and shall be given or made (and shall be deemed to have been duly given or made upon acknowledgment of receipt) by delivery in person, by overnight courier service, by registered or certified mail (postage prepaid, return receipt requested) or by email to the respective Parties at the following addresses (or at such other address for a Party as shall be specified in a notice given in accordance with this Section 5(b):</w:t>
      </w:r>
    </w:p>
    <w:p>
      <w:pPr>
        <w:spacing w:after="0" w:line="11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If to Southwest Gas Holdings, to: Southwest Gas Holdings, Inc.</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8360 S. Durango Dr. Post Office Box 98510</w:t>
      </w:r>
    </w:p>
    <w:p>
      <w:pPr>
        <w:spacing w:after="0" w:line="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Las Vegas, Nevada 89113 Attention: Chief Legal Officer</w:t>
      </w:r>
    </w:p>
    <w:p>
      <w:pPr>
        <w:spacing w:after="0" w:line="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E-mail: catherine.mazzeo@swgas.com</w:t>
      </w:r>
    </w:p>
    <w:p>
      <w:pPr>
        <w:spacing w:after="0" w:line="18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If to the Centuri Parties, to:</w:t>
      </w:r>
    </w:p>
    <w:p>
      <w:pPr>
        <w:spacing w:after="0" w:line="25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Centuri Group, Inc.</w:t>
      </w:r>
    </w:p>
    <w:p>
      <w:pPr>
        <w:spacing w:after="0" w:line="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19820 N. 7th Ave., Ste. 120</w:t>
      </w:r>
    </w:p>
    <w:p>
      <w:pPr>
        <w:ind w:left="1320"/>
        <w:spacing w:after="0" w:line="237" w:lineRule="auto"/>
        <w:rPr>
          <w:sz w:val="20"/>
          <w:szCs w:val="20"/>
          <w:color w:val="auto"/>
        </w:rPr>
      </w:pPr>
      <w:r>
        <w:rPr>
          <w:rFonts w:ascii="Times New Roman" w:cs="Times New Roman" w:eastAsia="Times New Roman" w:hAnsi="Times New Roman"/>
          <w:sz w:val="20"/>
          <w:szCs w:val="20"/>
          <w:color w:val="auto"/>
        </w:rPr>
        <w:t>Phoenix, Arizona 85024</w:t>
      </w:r>
    </w:p>
    <w:p>
      <w:pPr>
        <w:ind w:left="1320"/>
        <w:spacing w:after="0"/>
        <w:rPr>
          <w:sz w:val="20"/>
          <w:szCs w:val="20"/>
          <w:color w:val="auto"/>
        </w:rPr>
      </w:pPr>
      <w:r>
        <w:rPr>
          <w:rFonts w:ascii="Times New Roman" w:cs="Times New Roman" w:eastAsia="Times New Roman" w:hAnsi="Times New Roman"/>
          <w:sz w:val="20"/>
          <w:szCs w:val="20"/>
          <w:color w:val="auto"/>
        </w:rPr>
        <w:t>Attention: Chief Legal &amp; Administrative Officer E-mail: jwilcock@centuri.com</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040"/>
          </w:cols>
          <w:pgMar w:left="400" w:top="1440" w:right="459" w:bottom="1440" w:gutter="0" w:footer="0" w:header="0"/>
        </w:sectPr>
      </w:pPr>
    </w:p>
    <w:bookmarkStart w:id="473" w:name="page474"/>
    <w:bookmarkEnd w:id="473"/>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A Party may, by notice to the other Party, change the address to which such notices are to be given or made.</w:t>
      </w:r>
    </w:p>
    <w:p>
      <w:pPr>
        <w:spacing w:after="0" w:line="225" w:lineRule="exact"/>
        <w:rPr>
          <w:sz w:val="20"/>
          <w:szCs w:val="20"/>
          <w:color w:val="auto"/>
        </w:rPr>
      </w:pPr>
    </w:p>
    <w:p>
      <w:pPr>
        <w:jc w:val="both"/>
        <w:ind w:left="40" w:firstLine="1278"/>
        <w:spacing w:after="0" w:line="248" w:lineRule="auto"/>
        <w:tabs>
          <w:tab w:leader="none" w:pos="1849" w:val="left"/>
        </w:tabs>
        <w:numPr>
          <w:ilvl w:val="0"/>
          <w:numId w:val="3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w:t>
      </w:r>
      <w:r>
        <w:rPr>
          <w:rFonts w:ascii="Times New Roman" w:cs="Times New Roman" w:eastAsia="Times New Roman" w:hAnsi="Times New Roman"/>
          <w:sz w:val="20"/>
          <w:szCs w:val="20"/>
          <w:color w:val="auto"/>
        </w:rPr>
        <w:t xml:space="preserve">. This Agreement shall be binding upon and inure to the benefit of the Parties and their respective successors and permitted assigns;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neither Party nor any such party thereto may assign its rights or delegate its obligations under this Agreement without the express prior written consent of the other Party 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a Party may assign this Agreement or any or all of the rights, interests and obligations hereunder in connection with a merger, divisive merger, reorganization or consolidation transaction in which such Party is a constituent party but not the surviving entity or the sale by such Party of all or substantially all of its assets, so long as the surviving entity of such merger, reorganization or consolidation transaction or the transferee of such assets shall assume all the obligations of the relevant Party by operation of law or pursuant to an agreement in writing, reasonably satisfactory to the other Party, to be bound by the terms of this Agreement as if named as a “Party” hereto.</w:t>
      </w:r>
    </w:p>
    <w:p>
      <w:pPr>
        <w:spacing w:after="0" w:line="198" w:lineRule="exact"/>
        <w:rPr>
          <w:rFonts w:ascii="Times New Roman" w:cs="Times New Roman" w:eastAsia="Times New Roman" w:hAnsi="Times New Roman"/>
          <w:sz w:val="20"/>
          <w:szCs w:val="20"/>
          <w:color w:val="auto"/>
        </w:rPr>
      </w:pPr>
    </w:p>
    <w:p>
      <w:pPr>
        <w:jc w:val="both"/>
        <w:ind w:left="40" w:firstLine="1277"/>
        <w:spacing w:after="0" w:line="250" w:lineRule="auto"/>
        <w:tabs>
          <w:tab w:leader="none" w:pos="1846" w:val="left"/>
        </w:tabs>
        <w:numPr>
          <w:ilvl w:val="0"/>
          <w:numId w:val="3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Third-Party Beneficiaries</w:t>
      </w:r>
      <w:r>
        <w:rPr>
          <w:rFonts w:ascii="Times New Roman" w:cs="Times New Roman" w:eastAsia="Times New Roman" w:hAnsi="Times New Roman"/>
          <w:sz w:val="20"/>
          <w:szCs w:val="20"/>
          <w:color w:val="auto"/>
        </w:rPr>
        <w:t>. (i) the provisions of this Agreement are solely for the benefit of the Parties and are not intended to confer upon any person except the Parties any rights or remedies hereunder, and (ii) there are no third-party beneficiaries of this Agreement and this Agreement shall not provide any third party with any remedy, claim, liability, reimbursement, claim of action or other right in excess of those existing without reference to this Agreement.</w:t>
      </w:r>
    </w:p>
    <w:p>
      <w:pPr>
        <w:spacing w:after="0" w:line="191" w:lineRule="exact"/>
        <w:rPr>
          <w:rFonts w:ascii="Times New Roman" w:cs="Times New Roman" w:eastAsia="Times New Roman" w:hAnsi="Times New Roman"/>
          <w:sz w:val="20"/>
          <w:szCs w:val="20"/>
          <w:color w:val="auto"/>
        </w:rPr>
      </w:pPr>
    </w:p>
    <w:p>
      <w:pPr>
        <w:ind w:left="40" w:firstLine="1278"/>
        <w:spacing w:after="0" w:line="263" w:lineRule="auto"/>
        <w:tabs>
          <w:tab w:leader="none" w:pos="1849" w:val="left"/>
        </w:tabs>
        <w:numPr>
          <w:ilvl w:val="0"/>
          <w:numId w:val="3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This Agreement shall not be modified except by the written agreement of each of the Parties, nor shall any waiver be effective against any party unless in writing and executed by such Party.</w:t>
      </w:r>
    </w:p>
    <w:p>
      <w:pPr>
        <w:spacing w:after="0" w:line="164" w:lineRule="exact"/>
        <w:rPr>
          <w:rFonts w:ascii="Times New Roman" w:cs="Times New Roman" w:eastAsia="Times New Roman" w:hAnsi="Times New Roman"/>
          <w:sz w:val="20"/>
          <w:szCs w:val="20"/>
          <w:color w:val="auto"/>
        </w:rPr>
      </w:pPr>
    </w:p>
    <w:p>
      <w:pPr>
        <w:ind w:left="1840" w:hanging="522"/>
        <w:spacing w:after="0"/>
        <w:tabs>
          <w:tab w:leader="none" w:pos="1840" w:val="left"/>
        </w:tabs>
        <w:numPr>
          <w:ilvl w:val="0"/>
          <w:numId w:val="3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This Agreement shall be governed by and construed and interpreted in accordance with the laws of</w:t>
      </w:r>
    </w:p>
    <w:p>
      <w:pPr>
        <w:spacing w:after="0" w:line="30" w:lineRule="exact"/>
        <w:rPr>
          <w:rFonts w:ascii="Times New Roman" w:cs="Times New Roman" w:eastAsia="Times New Roman" w:hAnsi="Times New Roman"/>
          <w:sz w:val="19"/>
          <w:szCs w:val="19"/>
          <w:color w:val="auto"/>
        </w:rPr>
      </w:pPr>
    </w:p>
    <w:p>
      <w:pPr>
        <w:ind w:left="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the State of Delaware.</w:t>
      </w:r>
    </w:p>
    <w:p>
      <w:pPr>
        <w:spacing w:after="0" w:line="189" w:lineRule="exact"/>
        <w:rPr>
          <w:rFonts w:ascii="Times New Roman" w:cs="Times New Roman" w:eastAsia="Times New Roman" w:hAnsi="Times New Roman"/>
          <w:sz w:val="19"/>
          <w:szCs w:val="19"/>
          <w:color w:val="auto"/>
        </w:rPr>
      </w:pPr>
    </w:p>
    <w:p>
      <w:pPr>
        <w:jc w:val="both"/>
        <w:ind w:left="40" w:firstLine="1277"/>
        <w:spacing w:after="0" w:line="250" w:lineRule="auto"/>
        <w:tabs>
          <w:tab w:leader="none" w:pos="1846" w:val="left"/>
        </w:tabs>
        <w:numPr>
          <w:ilvl w:val="0"/>
          <w:numId w:val="3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Conflicts</w:t>
      </w:r>
      <w:r>
        <w:rPr>
          <w:rFonts w:ascii="Times New Roman" w:cs="Times New Roman" w:eastAsia="Times New Roman" w:hAnsi="Times New Roman"/>
          <w:sz w:val="20"/>
          <w:szCs w:val="20"/>
          <w:color w:val="auto"/>
        </w:rPr>
        <w:t>. In the event of any conflict between any term or provision of this Agreement and any term or provisions set forth in any other agreement among the Parties, such term or provisions of this Agreement shall prevail over such term or provision set forth in such other agreement.</w:t>
      </w:r>
    </w:p>
    <w:p>
      <w:pPr>
        <w:spacing w:after="0" w:line="177" w:lineRule="exact"/>
        <w:rPr>
          <w:rFonts w:ascii="Times New Roman" w:cs="Times New Roman" w:eastAsia="Times New Roman" w:hAnsi="Times New Roman"/>
          <w:sz w:val="20"/>
          <w:szCs w:val="20"/>
          <w:color w:val="auto"/>
        </w:rPr>
      </w:pPr>
    </w:p>
    <w:p>
      <w:pPr>
        <w:jc w:val="both"/>
        <w:ind w:left="40" w:firstLine="1277"/>
        <w:spacing w:after="0" w:line="250" w:lineRule="auto"/>
        <w:tabs>
          <w:tab w:leader="none" w:pos="1846" w:val="left"/>
        </w:tabs>
        <w:numPr>
          <w:ilvl w:val="0"/>
          <w:numId w:val="3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 Signature</w:t>
      </w:r>
      <w:r>
        <w:rPr>
          <w:rFonts w:ascii="Times New Roman" w:cs="Times New Roman" w:eastAsia="Times New Roman" w:hAnsi="Times New Roman"/>
          <w:sz w:val="20"/>
          <w:szCs w:val="20"/>
          <w:color w:val="auto"/>
        </w:rPr>
        <w:t>. This Agreement may be executed in two or more counterparts, each of which shall be deemed an original, but all of which together shall constitute one and the same instrument. Counterparts may be delivered via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040"/>
          </w:cols>
          <w:pgMar w:left="400" w:top="1440" w:right="459" w:bottom="1440" w:gutter="0" w:footer="0" w:header="0"/>
        </w:sectPr>
      </w:pPr>
    </w:p>
    <w:bookmarkStart w:id="474" w:name="page475"/>
    <w:bookmarkEnd w:id="474"/>
    <w:p>
      <w:pPr>
        <w:spacing w:after="0" w:line="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212121"/>
        </w:rPr>
        <w:t>IN WITNESS WHEREOF</w:t>
      </w:r>
      <w:r>
        <w:rPr>
          <w:rFonts w:ascii="Times New Roman" w:cs="Times New Roman" w:eastAsia="Times New Roman" w:hAnsi="Times New Roman"/>
          <w:sz w:val="17"/>
          <w:szCs w:val="17"/>
          <w:color w:val="4F4F4F"/>
        </w:rPr>
        <w:t>,</w:t>
      </w:r>
      <w:r>
        <w:rPr>
          <w:rFonts w:ascii="Times New Roman" w:cs="Times New Roman" w:eastAsia="Times New Roman" w:hAnsi="Times New Roman"/>
          <w:sz w:val="17"/>
          <w:szCs w:val="17"/>
          <w:color w:val="212121"/>
        </w:rPr>
        <w:t xml:space="preserve"> the Parties have </w:t>
      </w:r>
      <w:r>
        <w:rPr>
          <w:rFonts w:ascii="Times New Roman" w:cs="Times New Roman" w:eastAsia="Times New Roman" w:hAnsi="Times New Roman"/>
          <w:sz w:val="17"/>
          <w:szCs w:val="17"/>
          <w:color w:val="333333"/>
        </w:rPr>
        <w:t>caused</w:t>
      </w:r>
      <w:r>
        <w:rPr>
          <w:rFonts w:ascii="Times New Roman" w:cs="Times New Roman" w:eastAsia="Times New Roman" w:hAnsi="Times New Roman"/>
          <w:sz w:val="17"/>
          <w:szCs w:val="17"/>
          <w:color w:val="212121"/>
        </w:rPr>
        <w:t xml:space="preserve"> their duly authorized representatives </w:t>
      </w:r>
      <w:r>
        <w:rPr>
          <w:rFonts w:ascii="Times New Roman" w:cs="Times New Roman" w:eastAsia="Times New Roman" w:hAnsi="Times New Roman"/>
          <w:sz w:val="17"/>
          <w:szCs w:val="17"/>
          <w:color w:val="333333"/>
        </w:rPr>
        <w:t>to</w:t>
      </w:r>
      <w:r>
        <w:rPr>
          <w:rFonts w:ascii="Times New Roman" w:cs="Times New Roman" w:eastAsia="Times New Roman" w:hAnsi="Times New Roman"/>
          <w:sz w:val="17"/>
          <w:szCs w:val="17"/>
          <w:color w:val="212121"/>
        </w:rPr>
        <w:t xml:space="preserve"> </w:t>
      </w:r>
      <w:r>
        <w:rPr>
          <w:rFonts w:ascii="Times New Roman" w:cs="Times New Roman" w:eastAsia="Times New Roman" w:hAnsi="Times New Roman"/>
          <w:sz w:val="17"/>
          <w:szCs w:val="17"/>
          <w:color w:val="4F4F4F"/>
        </w:rPr>
        <w:t>execute</w:t>
      </w:r>
      <w:r>
        <w:rPr>
          <w:rFonts w:ascii="Times New Roman" w:cs="Times New Roman" w:eastAsia="Times New Roman" w:hAnsi="Times New Roman"/>
          <w:sz w:val="17"/>
          <w:szCs w:val="17"/>
          <w:color w:val="212121"/>
        </w:rPr>
        <w:t xml:space="preserve"> this Agreement </w:t>
      </w:r>
      <w:r>
        <w:rPr>
          <w:rFonts w:ascii="Times New Roman" w:cs="Times New Roman" w:eastAsia="Times New Roman" w:hAnsi="Times New Roman"/>
          <w:sz w:val="17"/>
          <w:szCs w:val="17"/>
          <w:color w:val="333333"/>
        </w:rPr>
        <w:t>as</w:t>
      </w:r>
      <w:r>
        <w:rPr>
          <w:rFonts w:ascii="Times New Roman" w:cs="Times New Roman" w:eastAsia="Times New Roman" w:hAnsi="Times New Roman"/>
          <w:sz w:val="17"/>
          <w:szCs w:val="17"/>
          <w:color w:val="212121"/>
        </w:rPr>
        <w:t xml:space="preserve"> the date first </w:t>
      </w:r>
      <w:r>
        <w:rPr>
          <w:rFonts w:ascii="Times New Roman" w:cs="Times New Roman" w:eastAsia="Times New Roman" w:hAnsi="Times New Roman"/>
          <w:sz w:val="17"/>
          <w:szCs w:val="17"/>
          <w:color w:val="333333"/>
        </w:rPr>
        <w:t>written</w:t>
      </w:r>
    </w:p>
    <w:p>
      <w:pPr>
        <w:spacing w:after="0" w:line="3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333333"/>
        </w:rPr>
        <w:t>above.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5"/>
          <w:szCs w:val="15"/>
          <w:b w:val="1"/>
          <w:bCs w:val="1"/>
          <w:color w:val="212121"/>
        </w:rPr>
        <w:t>SOUTHWEST GAS HOLDINGS, INC.</w:t>
      </w:r>
    </w:p>
    <w:p>
      <w:pPr>
        <w:spacing w:after="0" w:line="3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333333"/>
        </w:rPr>
        <w:t xml:space="preserve">a </w:t>
      </w:r>
      <w:r>
        <w:rPr>
          <w:rFonts w:ascii="Times New Roman" w:cs="Times New Roman" w:eastAsia="Times New Roman" w:hAnsi="Times New Roman"/>
          <w:sz w:val="18"/>
          <w:szCs w:val="18"/>
          <w:color w:val="212121"/>
        </w:rPr>
        <w:t>Delaware corporation</w:t>
      </w:r>
    </w:p>
    <w:p>
      <w:pPr>
        <w:spacing w:after="0" w:line="10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By: /s/ Robert J. Stefani</w:t>
      </w:r>
    </w:p>
    <w:p>
      <w:pPr>
        <w:spacing w:after="0" w:line="11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Name: Robert J. Stefani</w:t>
      </w:r>
    </w:p>
    <w:p>
      <w:pPr>
        <w:spacing w:after="0" w:line="10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Title: Senior Vice President/Chief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5"/>
          <w:szCs w:val="15"/>
          <w:b w:val="1"/>
          <w:bCs w:val="1"/>
          <w:color w:val="212121"/>
        </w:rPr>
        <w:t>CENTURI HOLDINGS, INC.</w:t>
      </w:r>
    </w:p>
    <w:p>
      <w:pPr>
        <w:spacing w:after="0" w:line="29"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333333"/>
        </w:rPr>
        <w:t xml:space="preserve">a </w:t>
      </w:r>
      <w:r>
        <w:rPr>
          <w:rFonts w:ascii="Times New Roman" w:cs="Times New Roman" w:eastAsia="Times New Roman" w:hAnsi="Times New Roman"/>
          <w:sz w:val="18"/>
          <w:szCs w:val="18"/>
          <w:color w:val="212121"/>
        </w:rPr>
        <w:t>Delaware corporation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360"/>
        <w:spacing w:after="0"/>
        <w:tabs>
          <w:tab w:leader="none" w:pos="4860" w:val="left"/>
        </w:tabs>
        <w:rPr>
          <w:sz w:val="20"/>
          <w:szCs w:val="20"/>
          <w:color w:val="auto"/>
        </w:rPr>
      </w:pPr>
      <w:r>
        <w:rPr>
          <w:rFonts w:ascii="Times New Roman" w:cs="Times New Roman" w:eastAsia="Times New Roman" w:hAnsi="Times New Roman"/>
          <w:sz w:val="18"/>
          <w:szCs w:val="18"/>
          <w:color w:val="212121"/>
        </w:rPr>
        <w:t>By:</w:t>
        <w:tab/>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2956560</wp:posOffset>
            </wp:positionH>
            <wp:positionV relativeFrom="paragraph">
              <wp:posOffset>-8890</wp:posOffset>
            </wp:positionV>
            <wp:extent cx="11303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77">
                      <a:extLst>
                        <a:ext uri="{28A0092B-C50C-407E-A947-70E740481C1C}"/>
                      </a:extLst>
                    </a:blip>
                    <a:srcRect/>
                    <a:stretch>
                      <a:fillRect/>
                    </a:stretch>
                  </pic:blipFill>
                  <pic:spPr bwMode="auto">
                    <a:xfrm>
                      <a:off x="0" y="0"/>
                      <a:ext cx="113030" cy="8255"/>
                    </a:xfrm>
                    <a:prstGeom prst="rect">
                      <a:avLst/>
                    </a:prstGeom>
                    <a:noFill/>
                  </pic:spPr>
                </pic:pic>
              </a:graphicData>
            </a:graphic>
          </wp:anchor>
        </w:drawing>
      </w:r>
    </w:p>
    <w:p>
      <w:pPr>
        <w:ind w:left="4360"/>
        <w:spacing w:after="0"/>
        <w:rPr>
          <w:sz w:val="20"/>
          <w:szCs w:val="20"/>
          <w:color w:val="auto"/>
        </w:rPr>
      </w:pPr>
      <w:r>
        <w:rPr>
          <w:rFonts w:ascii="Times New Roman" w:cs="Times New Roman" w:eastAsia="Times New Roman" w:hAnsi="Times New Roman"/>
          <w:sz w:val="18"/>
          <w:szCs w:val="18"/>
          <w:color w:val="333333"/>
        </w:rPr>
        <w:t>Title:</w:t>
      </w:r>
    </w:p>
    <w:p>
      <w:pPr>
        <w:spacing w:after="0" w:line="27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5"/>
          <w:szCs w:val="15"/>
          <w:b w:val="1"/>
          <w:bCs w:val="1"/>
          <w:color w:val="212121"/>
        </w:rPr>
        <w:t>CENTURI GROUP, INC.</w:t>
      </w:r>
    </w:p>
    <w:p>
      <w:pPr>
        <w:spacing w:after="0" w:line="3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333333"/>
        </w:rPr>
        <w:t xml:space="preserve">a </w:t>
      </w:r>
      <w:r>
        <w:rPr>
          <w:rFonts w:ascii="Times New Roman" w:cs="Times New Roman" w:eastAsia="Times New Roman" w:hAnsi="Times New Roman"/>
          <w:sz w:val="18"/>
          <w:szCs w:val="18"/>
          <w:color w:val="212121"/>
        </w:rPr>
        <w:t>Nevada corporation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340"/>
        <w:spacing w:after="0"/>
        <w:tabs>
          <w:tab w:leader="none" w:pos="4860" w:val="left"/>
        </w:tabs>
        <w:rPr>
          <w:sz w:val="20"/>
          <w:szCs w:val="20"/>
          <w:color w:val="auto"/>
        </w:rPr>
      </w:pPr>
      <w:r>
        <w:rPr>
          <w:rFonts w:ascii="Times New Roman" w:cs="Times New Roman" w:eastAsia="Times New Roman" w:hAnsi="Times New Roman"/>
          <w:sz w:val="18"/>
          <w:szCs w:val="18"/>
          <w:color w:val="212121"/>
        </w:rPr>
        <w:t>By</w:t>
      </w:r>
      <w:r>
        <w:rPr>
          <w:rFonts w:ascii="Times New Roman" w:cs="Times New Roman" w:eastAsia="Times New Roman" w:hAnsi="Times New Roman"/>
          <w:sz w:val="18"/>
          <w:szCs w:val="18"/>
          <w:color w:val="4F4F4F"/>
        </w:rPr>
        <w:t>:</w:t>
      </w:r>
      <w:r>
        <w:rPr>
          <w:sz w:val="20"/>
          <w:szCs w:val="20"/>
          <w:color w:val="auto"/>
        </w:rPr>
        <w:tab/>
      </w:r>
      <w:r>
        <w:rPr>
          <w:rFonts w:ascii="Times New Roman" w:cs="Times New Roman" w:eastAsia="Times New Roman" w:hAnsi="Times New Roman"/>
          <w:sz w:val="17"/>
          <w:szCs w:val="17"/>
          <w:color w:val="212121"/>
        </w:rPr>
        <w:t>Name</w:t>
      </w:r>
      <w:r>
        <w:rPr>
          <w:rFonts w:ascii="Times New Roman" w:cs="Times New Roman" w:eastAsia="Times New Roman" w:hAnsi="Times New Roman"/>
          <w:sz w:val="17"/>
          <w:szCs w:val="17"/>
          <w:color w:val="4F4F4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2951480</wp:posOffset>
            </wp:positionH>
            <wp:positionV relativeFrom="paragraph">
              <wp:posOffset>-8890</wp:posOffset>
            </wp:positionV>
            <wp:extent cx="11303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78">
                      <a:extLst>
                        <a:ext uri="{28A0092B-C50C-407E-A947-70E740481C1C}"/>
                      </a:extLst>
                    </a:blip>
                    <a:srcRect/>
                    <a:stretch>
                      <a:fillRect/>
                    </a:stretch>
                  </pic:blipFill>
                  <pic:spPr bwMode="auto">
                    <a:xfrm>
                      <a:off x="0" y="0"/>
                      <a:ext cx="113030" cy="8255"/>
                    </a:xfrm>
                    <a:prstGeom prst="rect">
                      <a:avLst/>
                    </a:prstGeom>
                    <a:noFill/>
                  </pic:spPr>
                </pic:pic>
              </a:graphicData>
            </a:graphic>
          </wp:anchor>
        </w:drawing>
      </w:r>
    </w:p>
    <w:p>
      <w:pPr>
        <w:ind w:left="4340"/>
        <w:spacing w:after="0"/>
        <w:rPr>
          <w:sz w:val="20"/>
          <w:szCs w:val="20"/>
          <w:color w:val="auto"/>
        </w:rPr>
      </w:pPr>
      <w:r>
        <w:rPr>
          <w:rFonts w:ascii="Times New Roman" w:cs="Times New Roman" w:eastAsia="Times New Roman" w:hAnsi="Times New Roman"/>
          <w:sz w:val="18"/>
          <w:szCs w:val="18"/>
          <w:color w:val="333333"/>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333333"/>
        </w:rPr>
        <w:t xml:space="preserve">Signature Page to Unutilized </w:t>
      </w:r>
      <w:r>
        <w:rPr>
          <w:rFonts w:ascii="Times New Roman" w:cs="Times New Roman" w:eastAsia="Times New Roman" w:hAnsi="Times New Roman"/>
          <w:sz w:val="17"/>
          <w:szCs w:val="17"/>
          <w:i w:val="1"/>
          <w:iCs w:val="1"/>
          <w:color w:val="212121"/>
        </w:rPr>
        <w:t>Tax</w:t>
      </w:r>
      <w:r>
        <w:rPr>
          <w:rFonts w:ascii="Times New Roman" w:cs="Times New Roman" w:eastAsia="Times New Roman" w:hAnsi="Times New Roman"/>
          <w:sz w:val="17"/>
          <w:szCs w:val="17"/>
          <w:i w:val="1"/>
          <w:iCs w:val="1"/>
          <w:color w:val="333333"/>
        </w:rPr>
        <w:t xml:space="preserve"> Assets Settlement Agreement</w:t>
      </w:r>
    </w:p>
    <w:p>
      <w:pPr>
        <w:sectPr>
          <w:pgSz w:w="11900" w:h="16838" w:orient="portrait"/>
          <w:cols w:equalWidth="0" w:num="1">
            <w:col w:w="10860"/>
          </w:cols>
          <w:pgMar w:left="360" w:top="1440" w:right="679" w:bottom="1440" w:gutter="0" w:footer="0" w:header="0"/>
        </w:sectPr>
      </w:pPr>
    </w:p>
    <w:bookmarkStart w:id="475" w:name="page476"/>
    <w:bookmarkEnd w:id="475"/>
    <w:p>
      <w:pPr>
        <w:jc w:val="right"/>
        <w:spacing w:after="0"/>
        <w:rPr>
          <w:sz w:val="20"/>
          <w:szCs w:val="20"/>
          <w:color w:val="auto"/>
        </w:rPr>
      </w:pPr>
      <w:r>
        <w:rPr>
          <w:rFonts w:ascii="Times New Roman" w:cs="Times New Roman" w:eastAsia="Times New Roman" w:hAnsi="Times New Roman"/>
          <w:sz w:val="21"/>
          <w:szCs w:val="21"/>
          <w:b w:val="1"/>
          <w:bCs w:val="1"/>
          <w:color w:val="232323"/>
        </w:rPr>
        <w:t>Execution Version</w:t>
      </w:r>
    </w:p>
    <w:p>
      <w:pPr>
        <w:spacing w:after="0" w:line="200" w:lineRule="exact"/>
        <w:rPr>
          <w:sz w:val="20"/>
          <w:szCs w:val="20"/>
          <w:color w:val="auto"/>
        </w:rPr>
      </w:pPr>
    </w:p>
    <w:p>
      <w:pPr>
        <w:spacing w:after="0" w:line="209" w:lineRule="exact"/>
        <w:rPr>
          <w:sz w:val="20"/>
          <w:szCs w:val="20"/>
          <w:color w:val="auto"/>
        </w:rPr>
      </w:pPr>
    </w:p>
    <w:p>
      <w:pPr>
        <w:ind w:left="80" w:right="520" w:firstLine="644"/>
        <w:spacing w:after="0" w:line="261" w:lineRule="auto"/>
        <w:rPr>
          <w:sz w:val="20"/>
          <w:szCs w:val="20"/>
          <w:color w:val="auto"/>
        </w:rPr>
      </w:pPr>
      <w:r>
        <w:rPr>
          <w:rFonts w:ascii="Times New Roman" w:cs="Times New Roman" w:eastAsia="Times New Roman" w:hAnsi="Times New Roman"/>
          <w:sz w:val="19"/>
          <w:szCs w:val="19"/>
          <w:color w:val="232323"/>
        </w:rPr>
        <w:t>IN WITNESS WHEREOF, the Parties have caused their duly authorized representatives to execute this Agreement as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232323"/>
        </w:rPr>
        <w:t>SOUTHWEST GAS HOLDINGS, INC.</w:t>
      </w:r>
    </w:p>
    <w:p>
      <w:pPr>
        <w:spacing w:after="0" w:line="2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9"/>
          <w:szCs w:val="19"/>
          <w:color w:val="232323"/>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9"/>
          <w:szCs w:val="19"/>
          <w:color w:val="232323"/>
        </w:rPr>
        <w:t>By</w:t>
      </w:r>
    </w:p>
    <w:p>
      <w:pPr>
        <w:spacing w:after="0" w:line="36"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9"/>
          <w:szCs w:val="19"/>
          <w:color w:val="232323"/>
        </w:rPr>
        <w:t>Name:</w:t>
      </w:r>
    </w:p>
    <w:p>
      <w:pPr>
        <w:spacing w:after="0" w:line="16"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9"/>
          <w:szCs w:val="19"/>
          <w:color w:val="232323"/>
        </w:rPr>
        <w:t>Title: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232323"/>
        </w:rPr>
        <w:t>CENTURI HOLDINGS, INC.</w:t>
      </w:r>
    </w:p>
    <w:p>
      <w:pPr>
        <w:spacing w:after="0" w:line="2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9"/>
          <w:szCs w:val="19"/>
          <w:color w:val="232323"/>
        </w:rPr>
        <w:t>a Delaware corporation</w:t>
      </w:r>
    </w:p>
    <w:p>
      <w:pPr>
        <w:spacing w:after="0" w:line="200" w:lineRule="exact"/>
        <w:rPr>
          <w:sz w:val="20"/>
          <w:szCs w:val="20"/>
          <w:color w:val="auto"/>
        </w:rPr>
      </w:pPr>
    </w:p>
    <w:p>
      <w:pPr>
        <w:spacing w:after="0" w:line="35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9"/>
          <w:szCs w:val="19"/>
          <w:color w:val="232323"/>
        </w:rPr>
        <w:t>By: /s/ Gregory A. Izenstark</w:t>
      </w:r>
    </w:p>
    <w:p>
      <w:pPr>
        <w:ind w:left="4240"/>
        <w:spacing w:after="0" w:line="234" w:lineRule="auto"/>
        <w:rPr>
          <w:sz w:val="20"/>
          <w:szCs w:val="20"/>
          <w:color w:val="auto"/>
        </w:rPr>
      </w:pPr>
      <w:r>
        <w:rPr>
          <w:rFonts w:ascii="Times New Roman" w:cs="Times New Roman" w:eastAsia="Times New Roman" w:hAnsi="Times New Roman"/>
          <w:sz w:val="19"/>
          <w:szCs w:val="19"/>
          <w:color w:val="232323"/>
        </w:rPr>
        <w:t>Name: Gregory A. Izenstark</w:t>
      </w:r>
    </w:p>
    <w:p>
      <w:pPr>
        <w:ind w:left="4220"/>
        <w:spacing w:after="0"/>
        <w:rPr>
          <w:sz w:val="20"/>
          <w:szCs w:val="20"/>
          <w:color w:val="auto"/>
        </w:rPr>
      </w:pPr>
      <w:r>
        <w:rPr>
          <w:rFonts w:ascii="Times New Roman" w:cs="Times New Roman" w:eastAsia="Times New Roman" w:hAnsi="Times New Roman"/>
          <w:sz w:val="19"/>
          <w:szCs w:val="19"/>
          <w:color w:val="232323"/>
        </w:rPr>
        <w:t>Title: Executive Vice President, Chief Financial Officer</w:t>
      </w:r>
    </w:p>
    <w:p>
      <w:pPr>
        <w:spacing w:after="0" w:line="29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b w:val="1"/>
          <w:bCs w:val="1"/>
          <w:color w:val="232323"/>
        </w:rPr>
        <w:t>CENTURI GROUP, INC.</w:t>
      </w:r>
    </w:p>
    <w:p>
      <w:pPr>
        <w:spacing w:after="0" w:line="2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9"/>
          <w:szCs w:val="19"/>
          <w:color w:val="232323"/>
        </w:rPr>
        <w:t>a Nevada corporation</w:t>
      </w:r>
    </w:p>
    <w:p>
      <w:pPr>
        <w:spacing w:after="0" w:line="200" w:lineRule="exact"/>
        <w:rPr>
          <w:sz w:val="20"/>
          <w:szCs w:val="20"/>
          <w:color w:val="auto"/>
        </w:rPr>
      </w:pPr>
    </w:p>
    <w:p>
      <w:pPr>
        <w:spacing w:after="0" w:line="28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9"/>
          <w:szCs w:val="19"/>
          <w:color w:val="232323"/>
        </w:rPr>
        <w:t>By: /s/ Gregory A. Izenstark</w:t>
      </w:r>
    </w:p>
    <w:p>
      <w:pPr>
        <w:ind w:left="4240"/>
        <w:spacing w:after="0"/>
        <w:rPr>
          <w:sz w:val="20"/>
          <w:szCs w:val="20"/>
          <w:color w:val="auto"/>
        </w:rPr>
      </w:pPr>
      <w:r>
        <w:rPr>
          <w:rFonts w:ascii="Times New Roman" w:cs="Times New Roman" w:eastAsia="Times New Roman" w:hAnsi="Times New Roman"/>
          <w:sz w:val="19"/>
          <w:szCs w:val="19"/>
          <w:color w:val="232323"/>
        </w:rPr>
        <w:t>Name: Gregory A. Izenstark</w:t>
      </w:r>
    </w:p>
    <w:p>
      <w:pPr>
        <w:spacing w:after="0" w:line="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9"/>
          <w:szCs w:val="19"/>
          <w:color w:val="232323"/>
        </w:rPr>
        <w:t>Title: Executive Vice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32323"/>
        </w:rPr>
        <w:t>Signature Page to Unuti/ized Tax Assets Settlement Agreement</w:t>
      </w:r>
    </w:p>
    <w:p>
      <w:pPr>
        <w:sectPr>
          <w:pgSz w:w="11900" w:h="16838" w:orient="portrait"/>
          <w:cols w:equalWidth="0" w:num="1">
            <w:col w:w="11040"/>
          </w:cols>
          <w:pgMar w:left="360" w:top="706" w:right="499" w:bottom="1440" w:gutter="0" w:footer="0" w:header="0"/>
        </w:sectPr>
      </w:pPr>
    </w:p>
    <w:bookmarkStart w:id="476" w:name="page477"/>
    <w:bookmarkEnd w:id="476"/>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PERFORMANCE STOCK UNIT AWARD AGREEMENT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UNDER THE SOUTHWEST GAS HOLDINGS, INC.</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2024 OMNIBUS INCENTIVE PLAN</w:t>
      </w:r>
    </w:p>
    <w:p>
      <w:pPr>
        <w:spacing w:after="0" w:line="240" w:lineRule="exact"/>
        <w:rPr>
          <w:sz w:val="20"/>
          <w:szCs w:val="20"/>
          <w:color w:val="auto"/>
        </w:rPr>
      </w:pPr>
    </w:p>
    <w:p>
      <w:pPr>
        <w:ind w:right="160" w:firstLine="642"/>
        <w:spacing w:after="0" w:line="266" w:lineRule="auto"/>
        <w:rPr>
          <w:sz w:val="20"/>
          <w:szCs w:val="20"/>
          <w:color w:val="auto"/>
        </w:rPr>
      </w:pPr>
      <w:r>
        <w:rPr>
          <w:rFonts w:ascii="Times New Roman" w:cs="Times New Roman" w:eastAsia="Times New Roman" w:hAnsi="Times New Roman"/>
          <w:sz w:val="21"/>
          <w:szCs w:val="21"/>
          <w:color w:val="auto"/>
        </w:rPr>
        <w:t>This Performance Stock Unit Award Agreement (this “</w:t>
      </w:r>
      <w:r>
        <w:rPr>
          <w:rFonts w:ascii="Times New Roman" w:cs="Times New Roman" w:eastAsia="Times New Roman" w:hAnsi="Times New Roman"/>
          <w:sz w:val="21"/>
          <w:szCs w:val="21"/>
          <w:b w:val="1"/>
          <w:bCs w:val="1"/>
          <w:color w:val="auto"/>
        </w:rPr>
        <w:t>Award Agreement</w:t>
      </w:r>
      <w:r>
        <w:rPr>
          <w:rFonts w:ascii="Times New Roman" w:cs="Times New Roman" w:eastAsia="Times New Roman" w:hAnsi="Times New Roman"/>
          <w:sz w:val="21"/>
          <w:szCs w:val="21"/>
          <w:color w:val="auto"/>
        </w:rPr>
        <w:t>”) is dated as of [●], 2025, by and between Southwest Gas Holdings, Inc., a Delaware corporation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and [●] (the “</w:t>
      </w:r>
      <w:r>
        <w:rPr>
          <w:rFonts w:ascii="Times New Roman" w:cs="Times New Roman" w:eastAsia="Times New Roman" w:hAnsi="Times New Roman"/>
          <w:sz w:val="21"/>
          <w:szCs w:val="21"/>
          <w:b w:val="1"/>
          <w:bCs w:val="1"/>
          <w:color w:val="auto"/>
        </w:rPr>
        <w:t>Participant</w:t>
      </w:r>
      <w:r>
        <w:rPr>
          <w:rFonts w:ascii="Times New Roman" w:cs="Times New Roman" w:eastAsia="Times New Roman" w:hAnsi="Times New Roman"/>
          <w:sz w:val="21"/>
          <w:szCs w:val="21"/>
          <w:color w:val="auto"/>
        </w:rPr>
        <w:t>”), pursuant to the Southwest Gas Holdings, Inc. 2024 Omnibus Incentive Plan (the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Capitalized terms that are used, but not defined, in this Award Agreement shall have the meaning set forth in the Plan, and the Plan is incorporated by reference into this Award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Overview of Your Award</w:t>
      </w:r>
    </w:p>
    <w:p>
      <w:pPr>
        <w:spacing w:after="0" w:line="240"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21"/>
          <w:szCs w:val="21"/>
          <w:b w:val="1"/>
          <w:bCs w:val="1"/>
          <w:color w:val="auto"/>
        </w:rPr>
        <w:t xml:space="preserve">Aggregate Target Number of Performance Stock Units Granted: </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b w:val="1"/>
          <w:bCs w:val="1"/>
          <w:color w:val="auto"/>
        </w:rPr>
        <w:t>Target Performance Units</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i w:val="1"/>
          <w:iCs w:val="1"/>
          <w:color w:val="auto"/>
        </w:rPr>
        <w:t>determined by award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i w:val="1"/>
          <w:iCs w:val="1"/>
          <w:color w:val="auto"/>
        </w:rPr>
        <w:t>opportunity, December 31, 2024 base salary, and stock price on the last trading day of 2024</w:t>
      </w:r>
      <w:r>
        <w:rPr>
          <w:rFonts w:ascii="Times New Roman" w:cs="Times New Roman" w:eastAsia="Times New Roman" w:hAnsi="Times New Roman"/>
          <w:sz w:val="21"/>
          <w:szCs w:val="21"/>
          <w:color w:val="auto"/>
        </w:rPr>
        <w:t>), including:</w:t>
      </w:r>
    </w:p>
    <w:p>
      <w:pPr>
        <w:spacing w:after="0" w:line="159" w:lineRule="exact"/>
        <w:rPr>
          <w:sz w:val="20"/>
          <w:szCs w:val="20"/>
          <w:color w:val="auto"/>
        </w:rPr>
      </w:pPr>
    </w:p>
    <w:p>
      <w:pPr>
        <w:ind w:left="1180" w:hanging="335"/>
        <w:spacing w:after="0"/>
        <w:tabs>
          <w:tab w:leader="none" w:pos="1180" w:val="left"/>
        </w:tabs>
        <w:numPr>
          <w:ilvl w:val="0"/>
          <w:numId w:val="3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Utility EPS Units </w:t>
      </w:r>
      <w:r>
        <w:rPr>
          <w:rFonts w:ascii="Times New Roman" w:cs="Times New Roman" w:eastAsia="Times New Roman" w:hAnsi="Times New Roman"/>
          <w:sz w:val="21"/>
          <w:szCs w:val="21"/>
          <w:color w:val="auto"/>
        </w:rPr>
        <w:t>(50% of the Target Performance Units),</w:t>
      </w:r>
    </w:p>
    <w:p>
      <w:pPr>
        <w:spacing w:after="0" w:line="40" w:lineRule="exact"/>
        <w:rPr>
          <w:rFonts w:ascii="Times New Roman" w:cs="Times New Roman" w:eastAsia="Times New Roman" w:hAnsi="Times New Roman"/>
          <w:sz w:val="21"/>
          <w:szCs w:val="21"/>
          <w:color w:val="auto"/>
        </w:rPr>
      </w:pPr>
    </w:p>
    <w:p>
      <w:pPr>
        <w:ind w:left="1180" w:hanging="335"/>
        <w:spacing w:after="0"/>
        <w:tabs>
          <w:tab w:leader="none" w:pos="1180" w:val="left"/>
        </w:tabs>
        <w:numPr>
          <w:ilvl w:val="0"/>
          <w:numId w:val="3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Centuri EPS Units </w:t>
      </w:r>
      <w:r>
        <w:rPr>
          <w:rFonts w:ascii="Times New Roman" w:cs="Times New Roman" w:eastAsia="Times New Roman" w:hAnsi="Times New Roman"/>
          <w:sz w:val="21"/>
          <w:szCs w:val="21"/>
          <w:color w:val="auto"/>
        </w:rPr>
        <w:t>(10% of the Target Performance Units), and</w:t>
      </w:r>
    </w:p>
    <w:p>
      <w:pPr>
        <w:spacing w:after="0" w:line="13" w:lineRule="exact"/>
        <w:rPr>
          <w:rFonts w:ascii="Times New Roman" w:cs="Times New Roman" w:eastAsia="Times New Roman" w:hAnsi="Times New Roman"/>
          <w:sz w:val="21"/>
          <w:szCs w:val="21"/>
          <w:color w:val="auto"/>
        </w:rPr>
      </w:pPr>
    </w:p>
    <w:p>
      <w:pPr>
        <w:ind w:left="1180" w:hanging="335"/>
        <w:spacing w:after="0"/>
        <w:tabs>
          <w:tab w:leader="none" w:pos="1180" w:val="left"/>
        </w:tabs>
        <w:numPr>
          <w:ilvl w:val="0"/>
          <w:numId w:val="3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ROE Units </w:t>
      </w:r>
      <w:r>
        <w:rPr>
          <w:rFonts w:ascii="Times New Roman" w:cs="Times New Roman" w:eastAsia="Times New Roman" w:hAnsi="Times New Roman"/>
          <w:sz w:val="21"/>
          <w:szCs w:val="21"/>
          <w:color w:val="auto"/>
        </w:rPr>
        <w:t>(40% of the Target Performance Units)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Performance Cycle</w:t>
      </w:r>
      <w:r>
        <w:rPr>
          <w:rFonts w:ascii="Times New Roman" w:cs="Times New Roman" w:eastAsia="Times New Roman" w:hAnsi="Times New Roman"/>
          <w:sz w:val="21"/>
          <w:szCs w:val="21"/>
          <w:color w:val="auto"/>
        </w:rPr>
        <w:t>: January 1, 2025 to December 31, 2027 (the “</w:t>
      </w:r>
      <w:r>
        <w:rPr>
          <w:rFonts w:ascii="Times New Roman" w:cs="Times New Roman" w:eastAsia="Times New Roman" w:hAnsi="Times New Roman"/>
          <w:sz w:val="21"/>
          <w:szCs w:val="21"/>
          <w:b w:val="1"/>
          <w:bCs w:val="1"/>
          <w:color w:val="auto"/>
        </w:rPr>
        <w:t>Performance Cycle</w:t>
      </w:r>
      <w:r>
        <w:rPr>
          <w:rFonts w:ascii="Times New Roman" w:cs="Times New Roman" w:eastAsia="Times New Roman" w:hAnsi="Times New Roman"/>
          <w:sz w:val="21"/>
          <w:szCs w:val="21"/>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Date of Grant</w:t>
      </w:r>
      <w:r>
        <w:rPr>
          <w:rFonts w:ascii="Times New Roman" w:cs="Times New Roman" w:eastAsia="Times New Roman" w:hAnsi="Times New Roman"/>
          <w:sz w:val="21"/>
          <w:szCs w:val="21"/>
          <w:color w:val="auto"/>
        </w:rPr>
        <w:t>: [●], 2025 (</w:t>
      </w:r>
      <w:r>
        <w:rPr>
          <w:rFonts w:ascii="Times New Roman" w:cs="Times New Roman" w:eastAsia="Times New Roman" w:hAnsi="Times New Roman"/>
          <w:sz w:val="21"/>
          <w:szCs w:val="21"/>
          <w:i w:val="1"/>
          <w:iCs w:val="1"/>
          <w:color w:val="auto"/>
        </w:rPr>
        <w:t>date of Board approval</w:t>
      </w:r>
      <w:r>
        <w:rPr>
          <w:rFonts w:ascii="Times New Roman" w:cs="Times New Roman" w:eastAsia="Times New Roman" w:hAnsi="Times New Roman"/>
          <w:sz w:val="21"/>
          <w:szCs w:val="21"/>
          <w:color w:val="auto"/>
        </w:rPr>
        <w:t>)</w:t>
      </w:r>
    </w:p>
    <w:p>
      <w:pPr>
        <w:spacing w:after="0" w:line="227"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21"/>
          <w:szCs w:val="21"/>
          <w:b w:val="1"/>
          <w:bCs w:val="1"/>
          <w:color w:val="auto"/>
        </w:rPr>
        <w:t>Vesting Schedule</w:t>
      </w:r>
      <w:r>
        <w:rPr>
          <w:rFonts w:ascii="Times New Roman" w:cs="Times New Roman" w:eastAsia="Times New Roman" w:hAnsi="Times New Roman"/>
          <w:sz w:val="21"/>
          <w:szCs w:val="21"/>
          <w:color w:val="auto"/>
        </w:rPr>
        <w:t>: Unless otherwise provided in this Award Agreement, subject to the Participant’s Continuous Service and other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terms and conditions set forth in the Plan and this Award Agreement, the Performance Units shall vest based on the level of achievement of the performance criteria set forth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over the Performance Cycle.</w:t>
      </w:r>
    </w:p>
    <w:p>
      <w:pPr>
        <w:spacing w:after="0" w:line="143" w:lineRule="exact"/>
        <w:rPr>
          <w:sz w:val="20"/>
          <w:szCs w:val="20"/>
          <w:color w:val="auto"/>
        </w:rPr>
      </w:pPr>
    </w:p>
    <w:p>
      <w:pPr>
        <w:ind w:right="40" w:firstLine="7"/>
        <w:spacing w:after="0" w:line="218" w:lineRule="auto"/>
        <w:tabs>
          <w:tab w:leader="none" w:pos="642" w:val="left"/>
        </w:tabs>
        <w:numPr>
          <w:ilvl w:val="0"/>
          <w:numId w:val="3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 of Performance Units</w:t>
      </w:r>
      <w:r>
        <w:rPr>
          <w:rFonts w:ascii="Times New Roman" w:cs="Times New Roman" w:eastAsia="Times New Roman" w:hAnsi="Times New Roman"/>
          <w:sz w:val="21"/>
          <w:szCs w:val="21"/>
          <w:color w:val="auto"/>
        </w:rPr>
        <w:t>. The Company hereby grants the Participant a target Award of Performance Stock Units covering the number of Shares set forth above (the “</w:t>
      </w:r>
      <w:r>
        <w:rPr>
          <w:rFonts w:ascii="Times New Roman" w:cs="Times New Roman" w:eastAsia="Times New Roman" w:hAnsi="Times New Roman"/>
          <w:sz w:val="21"/>
          <w:szCs w:val="21"/>
          <w:b w:val="1"/>
          <w:bCs w:val="1"/>
          <w:color w:val="auto"/>
        </w:rPr>
        <w:t>Performance Units</w:t>
      </w:r>
      <w:r>
        <w:rPr>
          <w:rFonts w:ascii="Times New Roman" w:cs="Times New Roman" w:eastAsia="Times New Roman" w:hAnsi="Times New Roman"/>
          <w:sz w:val="21"/>
          <w:szCs w:val="21"/>
          <w:color w:val="auto"/>
        </w:rPr>
        <w:t xml:space="preserve">”) under the Plan, subject to the terms and conditions of the Plan and this Award Agreement. The actual number of Performance Units that may be earned under this Award Agreement, if any, may range from 0% to 200% of the Target Performance Units, depending on the level of achievement of the performance goals set forth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Each Performance Unit represents the right to receive one Share if the Performance Units vest. The Performance Units shall be credited to a separate account maintained for the Participant on the books and records of the Company. All amounts credited to the Participant’s account shall continue for all purposes to be part of the general assets of the Company. The number of Performance Units that the Participant actually earns for the Performance Cycle will be determined at the end of the Performance Cycle based on the level of achievement of the performance goals as set forth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All determinations of whether the performance goals have been achieved, the number of Performance Units earned, and all other matters related thereto shall be made by the Committee in its sole discretion. Unless and until such time as Shares are issued in settlement of the vested Performance Units, the Participant shall not have any of the rights of a stockholder of</w:t>
      </w:r>
    </w:p>
    <w:p>
      <w:pPr>
        <w:sectPr>
          <w:pgSz w:w="11900" w:h="16838" w:orient="portrait"/>
          <w:cols w:equalWidth="0" w:num="1">
            <w:col w:w="11220"/>
          </w:cols>
          <w:pgMar w:left="320" w:top="1405" w:right="359" w:bottom="1440" w:gutter="0" w:footer="0" w:header="0"/>
        </w:sectPr>
      </w:pPr>
    </w:p>
    <w:bookmarkStart w:id="477" w:name="page478"/>
    <w:bookmarkEnd w:id="477"/>
    <w:p>
      <w:pPr>
        <w:spacing w:after="0"/>
        <w:rPr>
          <w:sz w:val="20"/>
          <w:szCs w:val="20"/>
          <w:color w:val="auto"/>
        </w:rPr>
      </w:pPr>
      <w:r>
        <w:rPr>
          <w:rFonts w:ascii="Times New Roman" w:cs="Times New Roman" w:eastAsia="Times New Roman" w:hAnsi="Times New Roman"/>
          <w:sz w:val="21"/>
          <w:szCs w:val="21"/>
          <w:color w:val="auto"/>
        </w:rPr>
        <w:t>the Company with respect to any of the Shares, including any voting rights or rights with respect to dividends paid on the Shares.</w:t>
      </w:r>
    </w:p>
    <w:p>
      <w:pPr>
        <w:spacing w:after="0" w:line="186" w:lineRule="exact"/>
        <w:rPr>
          <w:sz w:val="20"/>
          <w:szCs w:val="20"/>
          <w:color w:val="auto"/>
        </w:rPr>
      </w:pPr>
    </w:p>
    <w:p>
      <w:pPr>
        <w:ind w:right="60" w:firstLine="7"/>
        <w:spacing w:after="0" w:line="228" w:lineRule="auto"/>
        <w:tabs>
          <w:tab w:leader="none" w:pos="642" w:val="left"/>
        </w:tabs>
        <w:numPr>
          <w:ilvl w:val="0"/>
          <w:numId w:val="3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Restrictions on Alienation</w:t>
      </w:r>
      <w:r>
        <w:rPr>
          <w:rFonts w:ascii="Times New Roman" w:cs="Times New Roman" w:eastAsia="Times New Roman" w:hAnsi="Times New Roman"/>
          <w:sz w:val="21"/>
          <w:szCs w:val="21"/>
          <w:color w:val="auto"/>
        </w:rPr>
        <w:t>. Performance Units or the rights relating thereto may not be sold, transferred, pledged, attached, assigned, or otherwise alienated or encumbered by the Participant in any manner, whether voluntarily, by operation of law, or otherwise. Any attempt to assign, alienate, pledge, attach, sell, or otherwise transfer or encumber the Performance Units or the rights relating thereto shall be wholly ineffective.</w:t>
      </w:r>
    </w:p>
    <w:p>
      <w:pPr>
        <w:spacing w:after="0" w:line="152" w:lineRule="exact"/>
        <w:rPr>
          <w:rFonts w:ascii="Times New Roman" w:cs="Times New Roman" w:eastAsia="Times New Roman" w:hAnsi="Times New Roman"/>
          <w:sz w:val="21"/>
          <w:szCs w:val="21"/>
          <w:color w:val="auto"/>
        </w:rPr>
      </w:pPr>
    </w:p>
    <w:p>
      <w:pPr>
        <w:ind w:right="60" w:firstLine="7"/>
        <w:spacing w:after="0" w:line="225" w:lineRule="auto"/>
        <w:tabs>
          <w:tab w:leader="none" w:pos="642" w:val="left"/>
        </w:tabs>
        <w:numPr>
          <w:ilvl w:val="0"/>
          <w:numId w:val="3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 of Performance Units</w:t>
      </w:r>
      <w:r>
        <w:rPr>
          <w:rFonts w:ascii="Times New Roman" w:cs="Times New Roman" w:eastAsia="Times New Roman" w:hAnsi="Times New Roman"/>
          <w:sz w:val="21"/>
          <w:szCs w:val="21"/>
          <w:color w:val="auto"/>
        </w:rPr>
        <w:t xml:space="preserve">. Except as otherwise provided herein or in the Plan, the Performance Units will vest in accordance with the Vesting Schedule and the terms and conditions set forth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subject to the Participant’s Continuous Service through the last date of the Performance Cycle (the “</w:t>
      </w:r>
      <w:r>
        <w:rPr>
          <w:rFonts w:ascii="Times New Roman" w:cs="Times New Roman" w:eastAsia="Times New Roman" w:hAnsi="Times New Roman"/>
          <w:sz w:val="21"/>
          <w:szCs w:val="21"/>
          <w:b w:val="1"/>
          <w:bCs w:val="1"/>
          <w:color w:val="auto"/>
        </w:rPr>
        <w:t>Vesting Date</w:t>
      </w:r>
      <w:r>
        <w:rPr>
          <w:rFonts w:ascii="Times New Roman" w:cs="Times New Roman" w:eastAsia="Times New Roman" w:hAnsi="Times New Roman"/>
          <w:sz w:val="21"/>
          <w:szCs w:val="21"/>
          <w:color w:val="auto"/>
        </w:rPr>
        <w:t xml:space="preserve">”). The number of Performance Units earned, if any, shall be determined by the Committee based on the level of achievement of the performance goals set forth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in its sole discretion.</w:t>
      </w:r>
    </w:p>
    <w:p>
      <w:pPr>
        <w:spacing w:after="0" w:line="151" w:lineRule="exact"/>
        <w:rPr>
          <w:rFonts w:ascii="Times New Roman" w:cs="Times New Roman" w:eastAsia="Times New Roman" w:hAnsi="Times New Roman"/>
          <w:sz w:val="21"/>
          <w:szCs w:val="21"/>
          <w:color w:val="auto"/>
        </w:rPr>
      </w:pPr>
    </w:p>
    <w:p>
      <w:pPr>
        <w:ind w:right="40" w:firstLine="7"/>
        <w:spacing w:after="0" w:line="225" w:lineRule="auto"/>
        <w:tabs>
          <w:tab w:leader="none" w:pos="642" w:val="left"/>
        </w:tabs>
        <w:numPr>
          <w:ilvl w:val="0"/>
          <w:numId w:val="3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Forfeiture.</w:t>
      </w:r>
      <w:r>
        <w:rPr>
          <w:rFonts w:ascii="Times New Roman" w:cs="Times New Roman" w:eastAsia="Times New Roman" w:hAnsi="Times New Roman"/>
          <w:sz w:val="21"/>
          <w:szCs w:val="21"/>
          <w:color w:val="auto"/>
        </w:rPr>
        <w:t xml:space="preserve"> Except as otherwise provided in this Award Agreement or the Plan, any unvested Performance Units shall be automatically forfeited upon a termination of the Participant’s Continuous Service for any reason prior to the Vesting Date. The Participant shall execute any documents reasonably requested by the Company in connection with such forfeiture. All rights of the Participant with respect to any forfeited Performance Units shall cease and terminate upon forfeiture of such Performance Units, without any further obligation on the part of the Company.</w:t>
      </w:r>
    </w:p>
    <w:p>
      <w:pPr>
        <w:spacing w:after="0" w:line="151" w:lineRule="exact"/>
        <w:rPr>
          <w:rFonts w:ascii="Times New Roman" w:cs="Times New Roman" w:eastAsia="Times New Roman" w:hAnsi="Times New Roman"/>
          <w:sz w:val="21"/>
          <w:szCs w:val="21"/>
          <w:color w:val="auto"/>
        </w:rPr>
      </w:pPr>
    </w:p>
    <w:p>
      <w:pPr>
        <w:ind w:left="640" w:hanging="633"/>
        <w:spacing w:after="0"/>
        <w:tabs>
          <w:tab w:leader="none" w:pos="640" w:val="left"/>
        </w:tabs>
        <w:numPr>
          <w:ilvl w:val="0"/>
          <w:numId w:val="3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Continuous Service</w:t>
      </w:r>
      <w:r>
        <w:rPr>
          <w:rFonts w:ascii="Times New Roman" w:cs="Times New Roman" w:eastAsia="Times New Roman" w:hAnsi="Times New Roman"/>
          <w:sz w:val="21"/>
          <w:szCs w:val="21"/>
          <w:color w:val="auto"/>
        </w:rPr>
        <w:t>.</w:t>
      </w:r>
    </w:p>
    <w:p>
      <w:pPr>
        <w:spacing w:after="0" w:line="186" w:lineRule="exact"/>
        <w:rPr>
          <w:rFonts w:ascii="Times New Roman" w:cs="Times New Roman" w:eastAsia="Times New Roman" w:hAnsi="Times New Roman"/>
          <w:sz w:val="21"/>
          <w:szCs w:val="21"/>
          <w:color w:val="auto"/>
        </w:rPr>
      </w:pPr>
    </w:p>
    <w:p>
      <w:pPr>
        <w:ind w:firstLine="649"/>
        <w:spacing w:after="0" w:line="219" w:lineRule="auto"/>
        <w:tabs>
          <w:tab w:leader="none" w:pos="1281" w:val="left"/>
        </w:tabs>
        <w:numPr>
          <w:ilvl w:val="1"/>
          <w:numId w:val="3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the Vesting Schedule and the performance criteria set forth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if during the Performance Cycle, the Participant’s Continuous Service is terminated (i) by the Company or its successors without Cause or by the Participant for Good Reason, in each case, within 24 months following a Change in Control, (ii) due to the Participant’s death or (iii) by the Company due to the Participant’s Disability or due to a general reduction in force or specific elimination of the Participant’s job (except if contemporaneously with such elimination the Participant’s suffers a termination for Cause), a prorated portion of the Performance Units shall immediately vest upon such termination, with such prorated portion equal to (A) the Target Performance Units multiplied by (B) a fraction, the numerator of which is the number of full months that the Participant provided Continuous Service during the Performance Cycle, and the denominator of which is 36. Any Performance Units that are not vested as a result of this </w:t>
      </w:r>
      <w:r>
        <w:rPr>
          <w:rFonts w:ascii="Times New Roman" w:cs="Times New Roman" w:eastAsia="Times New Roman" w:hAnsi="Times New Roman"/>
          <w:sz w:val="21"/>
          <w:szCs w:val="21"/>
          <w:u w:val="single" w:color="auto"/>
          <w:color w:val="auto"/>
        </w:rPr>
        <w:t>Section 5(a)</w:t>
      </w:r>
      <w:r>
        <w:rPr>
          <w:rFonts w:ascii="Times New Roman" w:cs="Times New Roman" w:eastAsia="Times New Roman" w:hAnsi="Times New Roman"/>
          <w:sz w:val="21"/>
          <w:szCs w:val="21"/>
          <w:color w:val="auto"/>
        </w:rPr>
        <w:t xml:space="preserve"> shall be forfeited and the Participant shall have no rights with respect to any forfeited Performance Units.</w:t>
      </w:r>
    </w:p>
    <w:p>
      <w:pPr>
        <w:spacing w:after="0" w:line="156" w:lineRule="exact"/>
        <w:rPr>
          <w:rFonts w:ascii="Times New Roman" w:cs="Times New Roman" w:eastAsia="Times New Roman" w:hAnsi="Times New Roman"/>
          <w:sz w:val="21"/>
          <w:szCs w:val="21"/>
          <w:color w:val="auto"/>
        </w:rPr>
      </w:pPr>
    </w:p>
    <w:p>
      <w:pPr>
        <w:ind w:right="100" w:firstLine="649"/>
        <w:spacing w:after="0" w:line="220" w:lineRule="auto"/>
        <w:tabs>
          <w:tab w:leader="none" w:pos="1279" w:val="left"/>
        </w:tabs>
        <w:numPr>
          <w:ilvl w:val="1"/>
          <w:numId w:val="3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Retirement</w:t>
      </w:r>
      <w:r>
        <w:rPr>
          <w:rFonts w:ascii="Times New Roman" w:cs="Times New Roman" w:eastAsia="Times New Roman" w:hAnsi="Times New Roman"/>
          <w:sz w:val="21"/>
          <w:szCs w:val="21"/>
          <w:color w:val="auto"/>
        </w:rPr>
        <w:t xml:space="preserve">. Notwithstanding the Vesting Schedule and the performance criteria set forth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if during the Performance Cycle, the Participant’s Continuous Service is terminated due to Retirement, the Participant shall remain eligible to vest in a prorated portion of the Performance Units at the end of the Performance Cycle and, with such prorated portion equal to</w:t>
      </w:r>
    </w:p>
    <w:p>
      <w:pPr>
        <w:spacing w:after="0" w:line="1" w:lineRule="exact"/>
        <w:rPr>
          <w:rFonts w:ascii="Times New Roman" w:cs="Times New Roman" w:eastAsia="Times New Roman" w:hAnsi="Times New Roman"/>
          <w:sz w:val="21"/>
          <w:szCs w:val="21"/>
          <w:color w:val="auto"/>
        </w:rPr>
      </w:pPr>
    </w:p>
    <w:p>
      <w:pPr>
        <w:ind w:right="60"/>
        <w:spacing w:after="0" w:line="22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the number of Performance Units that would have vested based on actual performance in the Performance Cycle had the Participant’s Continuous Service not terminated, multiplied by (B) a fraction, the numerator of which is the number of full months of Continuous Service that the Participant provided during the Performance Cycle, and the denominator of which is 36. Any Performance Units that are not vested as a result of this </w:t>
      </w:r>
      <w:r>
        <w:rPr>
          <w:rFonts w:ascii="Times New Roman" w:cs="Times New Roman" w:eastAsia="Times New Roman" w:hAnsi="Times New Roman"/>
          <w:sz w:val="21"/>
          <w:szCs w:val="21"/>
          <w:u w:val="single" w:color="auto"/>
          <w:color w:val="auto"/>
        </w:rPr>
        <w:t>Section 5(b)</w:t>
      </w:r>
      <w:r>
        <w:rPr>
          <w:rFonts w:ascii="Times New Roman" w:cs="Times New Roman" w:eastAsia="Times New Roman" w:hAnsi="Times New Roman"/>
          <w:sz w:val="21"/>
          <w:szCs w:val="21"/>
          <w:color w:val="auto"/>
        </w:rPr>
        <w:t xml:space="preserve"> shall be forfeited and the Participant shall have no rights with respect to any forfeited Performance Units.</w:t>
      </w:r>
    </w:p>
    <w:p>
      <w:pPr>
        <w:spacing w:after="0" w:line="153" w:lineRule="exact"/>
        <w:rPr>
          <w:rFonts w:ascii="Times New Roman" w:cs="Times New Roman" w:eastAsia="Times New Roman" w:hAnsi="Times New Roman"/>
          <w:sz w:val="21"/>
          <w:szCs w:val="21"/>
          <w:color w:val="auto"/>
        </w:rPr>
      </w:pPr>
    </w:p>
    <w:p>
      <w:pPr>
        <w:ind w:right="140" w:firstLine="649"/>
        <w:spacing w:after="0" w:line="234" w:lineRule="auto"/>
        <w:tabs>
          <w:tab w:leader="none" w:pos="1281" w:val="left"/>
        </w:tabs>
        <w:numPr>
          <w:ilvl w:val="1"/>
          <w:numId w:val="3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in this Award Agreement, if the Participant is party to an employment or change in control agreement with the Company on the Date of Grant, the terms of such employment or change in control agreement shall apply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20"/>
          </w:cols>
          <w:pgMar w:left="320" w:top="1382" w:right="359" w:bottom="1440" w:gutter="0" w:footer="0" w:header="0"/>
        </w:sectPr>
      </w:pPr>
    </w:p>
    <w:bookmarkStart w:id="478" w:name="page479"/>
    <w:bookmarkEnd w:id="478"/>
    <w:p>
      <w:pPr>
        <w:spacing w:after="0"/>
        <w:rPr>
          <w:sz w:val="20"/>
          <w:szCs w:val="20"/>
          <w:color w:val="auto"/>
        </w:rPr>
      </w:pPr>
      <w:r>
        <w:rPr>
          <w:rFonts w:ascii="Times New Roman" w:cs="Times New Roman" w:eastAsia="Times New Roman" w:hAnsi="Times New Roman"/>
          <w:sz w:val="21"/>
          <w:szCs w:val="21"/>
          <w:color w:val="auto"/>
        </w:rPr>
        <w:t>Performance Units to the extent the Participant has greater rights under such agreement than under this Award Agreement.</w:t>
      </w:r>
    </w:p>
    <w:p>
      <w:pPr>
        <w:spacing w:after="0" w:line="186" w:lineRule="exact"/>
        <w:rPr>
          <w:sz w:val="20"/>
          <w:szCs w:val="20"/>
          <w:color w:val="auto"/>
        </w:rPr>
      </w:pPr>
    </w:p>
    <w:p>
      <w:pPr>
        <w:ind w:left="640" w:hanging="633"/>
        <w:spacing w:after="0"/>
        <w:tabs>
          <w:tab w:leader="none" w:pos="640" w:val="left"/>
        </w:tabs>
        <w:numPr>
          <w:ilvl w:val="0"/>
          <w:numId w:val="3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color w:val="auto"/>
        </w:rPr>
      </w:pPr>
    </w:p>
    <w:p>
      <w:pPr>
        <w:ind w:left="1280" w:hanging="631"/>
        <w:spacing w:after="0"/>
        <w:tabs>
          <w:tab w:leader="none" w:pos="1280" w:val="left"/>
        </w:tabs>
        <w:numPr>
          <w:ilvl w:val="1"/>
          <w:numId w:val="3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For purposes of this Award Agreement, “</w:t>
      </w:r>
      <w:r>
        <w:rPr>
          <w:rFonts w:ascii="Times New Roman" w:cs="Times New Roman" w:eastAsia="Times New Roman" w:hAnsi="Times New Roman"/>
          <w:sz w:val="21"/>
          <w:szCs w:val="21"/>
          <w:b w:val="1"/>
          <w:bCs w:val="1"/>
          <w:color w:val="auto"/>
        </w:rPr>
        <w:t>Good Reason</w:t>
      </w:r>
      <w:r>
        <w:rPr>
          <w:rFonts w:ascii="Times New Roman" w:cs="Times New Roman" w:eastAsia="Times New Roman" w:hAnsi="Times New Roman"/>
          <w:sz w:val="21"/>
          <w:szCs w:val="21"/>
          <w:color w:val="auto"/>
        </w:rPr>
        <w:t>” means, following a Change in Control:</w:t>
      </w:r>
    </w:p>
    <w:p>
      <w:pPr>
        <w:spacing w:after="0" w:line="190" w:lineRule="exact"/>
        <w:rPr>
          <w:rFonts w:ascii="Times New Roman" w:cs="Times New Roman" w:eastAsia="Times New Roman" w:hAnsi="Times New Roman"/>
          <w:sz w:val="21"/>
          <w:szCs w:val="21"/>
          <w:color w:val="auto"/>
        </w:rPr>
      </w:pPr>
    </w:p>
    <w:p>
      <w:pPr>
        <w:jc w:val="both"/>
        <w:ind w:left="640" w:right="120" w:firstLine="651"/>
        <w:spacing w:after="0" w:line="234" w:lineRule="auto"/>
        <w:tabs>
          <w:tab w:leader="none" w:pos="1912" w:val="left"/>
        </w:tabs>
        <w:numPr>
          <w:ilvl w:val="2"/>
          <w:numId w:val="3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the Participant’s express written consent, the assignment to the Participant of any duties materially inconsistent with the Participant’s positions, duties, authority, responsibilities or status with the Company or its successors immediately prior to such Change in Control;</w:t>
      </w:r>
    </w:p>
    <w:p>
      <w:pPr>
        <w:spacing w:after="0" w:line="149" w:lineRule="exact"/>
        <w:rPr>
          <w:rFonts w:ascii="Times New Roman" w:cs="Times New Roman" w:eastAsia="Times New Roman" w:hAnsi="Times New Roman"/>
          <w:sz w:val="21"/>
          <w:szCs w:val="21"/>
          <w:color w:val="auto"/>
        </w:rPr>
      </w:pPr>
    </w:p>
    <w:p>
      <w:pPr>
        <w:ind w:left="640" w:firstLine="651"/>
        <w:spacing w:after="0" w:line="249" w:lineRule="auto"/>
        <w:tabs>
          <w:tab w:leader="none" w:pos="1918" w:val="left"/>
        </w:tabs>
        <w:numPr>
          <w:ilvl w:val="2"/>
          <w:numId w:val="3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demotion or a material change in the Participant’s titles or offices as in effect immediately prior to such Change in Control;</w:t>
      </w:r>
    </w:p>
    <w:p>
      <w:pPr>
        <w:spacing w:after="0" w:line="140" w:lineRule="exact"/>
        <w:rPr>
          <w:rFonts w:ascii="Times New Roman" w:cs="Times New Roman" w:eastAsia="Times New Roman" w:hAnsi="Times New Roman"/>
          <w:sz w:val="21"/>
          <w:szCs w:val="21"/>
          <w:color w:val="auto"/>
        </w:rPr>
      </w:pPr>
    </w:p>
    <w:p>
      <w:pPr>
        <w:ind w:left="640" w:firstLine="651"/>
        <w:spacing w:after="0" w:line="234" w:lineRule="auto"/>
        <w:tabs>
          <w:tab w:leader="none" w:pos="1924" w:val="left"/>
        </w:tabs>
        <w:numPr>
          <w:ilvl w:val="2"/>
          <w:numId w:val="3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removal of the Participant from or any failure to re-elect him or her to any of such positions; except in connection with the termination of the Participant’s Continuous Service for Cause, Disability or Retirement or as a result of Participant’s death or by the Participant other than for Good Reason;</w:t>
      </w:r>
    </w:p>
    <w:p>
      <w:pPr>
        <w:spacing w:after="0" w:line="149" w:lineRule="exact"/>
        <w:rPr>
          <w:rFonts w:ascii="Times New Roman" w:cs="Times New Roman" w:eastAsia="Times New Roman" w:hAnsi="Times New Roman"/>
          <w:sz w:val="21"/>
          <w:szCs w:val="21"/>
          <w:color w:val="auto"/>
        </w:rPr>
      </w:pPr>
    </w:p>
    <w:p>
      <w:pPr>
        <w:ind w:left="640" w:firstLine="651"/>
        <w:spacing w:after="0" w:line="225" w:lineRule="auto"/>
        <w:tabs>
          <w:tab w:leader="none" w:pos="1912" w:val="left"/>
        </w:tabs>
        <w:numPr>
          <w:ilvl w:val="2"/>
          <w:numId w:val="3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the Participant’s express written consent, a material reduction by the Company or its successors in the Participant’s base salary as in effect on the date of such Change in Control or, if greater, such greater base salary as may be in effect from time to time subsequent to such Change in Control, provided, in each case, that a reduction by the Company or its successors in the Participant’s base salary of 10% or more shall be sufficient but not necessary to constitute a material reduction by the Company or its successors in the Participant’s base salary;</w:t>
      </w:r>
    </w:p>
    <w:p>
      <w:pPr>
        <w:spacing w:after="0" w:line="151" w:lineRule="exact"/>
        <w:rPr>
          <w:rFonts w:ascii="Times New Roman" w:cs="Times New Roman" w:eastAsia="Times New Roman" w:hAnsi="Times New Roman"/>
          <w:sz w:val="21"/>
          <w:szCs w:val="21"/>
          <w:color w:val="auto"/>
        </w:rPr>
      </w:pPr>
    </w:p>
    <w:p>
      <w:pPr>
        <w:ind w:left="640" w:right="20" w:firstLine="651"/>
        <w:spacing w:after="0" w:line="225" w:lineRule="auto"/>
        <w:tabs>
          <w:tab w:leader="none" w:pos="1919" w:val="left"/>
        </w:tabs>
        <w:numPr>
          <w:ilvl w:val="2"/>
          <w:numId w:val="3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failure by the Company or its successors to continue at levels materially not less than those in existence immediately prior to such Change in Control the Participant’s participation in any thrift, incentive or compensation plan, or any pension plan, in which the Participant participated immediately prior to such Change in Control, provided that the Company or its successors may provide for participation in substantially similar plans that provide benefits at levels materially not less than those in existence immediately prior to such Change in Control;</w:t>
      </w:r>
    </w:p>
    <w:p>
      <w:pPr>
        <w:spacing w:after="0" w:line="151" w:lineRule="exact"/>
        <w:rPr>
          <w:rFonts w:ascii="Times New Roman" w:cs="Times New Roman" w:eastAsia="Times New Roman" w:hAnsi="Times New Roman"/>
          <w:sz w:val="21"/>
          <w:szCs w:val="21"/>
          <w:color w:val="auto"/>
        </w:rPr>
      </w:pPr>
    </w:p>
    <w:p>
      <w:pPr>
        <w:ind w:left="640" w:right="40" w:firstLine="651"/>
        <w:spacing w:after="0" w:line="234" w:lineRule="auto"/>
        <w:tabs>
          <w:tab w:leader="none" w:pos="1912" w:val="left"/>
        </w:tabs>
        <w:numPr>
          <w:ilvl w:val="2"/>
          <w:numId w:val="3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failure by the Company or its successors to provide for the Participant’s participation in any welfare, life insurance, health and accident or disability plan on the same basis as those provided to executives of the Company or its successors who are similarly situated to the Participant;</w:t>
      </w:r>
    </w:p>
    <w:p>
      <w:pPr>
        <w:spacing w:after="0" w:line="149" w:lineRule="exact"/>
        <w:rPr>
          <w:rFonts w:ascii="Times New Roman" w:cs="Times New Roman" w:eastAsia="Times New Roman" w:hAnsi="Times New Roman"/>
          <w:sz w:val="21"/>
          <w:szCs w:val="21"/>
          <w:color w:val="auto"/>
        </w:rPr>
      </w:pPr>
    </w:p>
    <w:p>
      <w:pPr>
        <w:ind w:left="640" w:right="80" w:firstLine="651"/>
        <w:spacing w:after="0" w:line="221" w:lineRule="auto"/>
        <w:tabs>
          <w:tab w:leader="none" w:pos="1918" w:val="left"/>
        </w:tabs>
        <w:numPr>
          <w:ilvl w:val="2"/>
          <w:numId w:val="3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taking of any action by the Company or its successors which would materially adversely affect the Participant’s participation in or materially reduce the Participant’s benefits under any single such plan or all such plans, when taken together, or deprive the Participant of any material fringe benefit enjoyed by the Participant at the time of such Change in Control (except for the acceleration of the vesting of the Performance Units, as contemplated by this Award Agreement), provided that the taking of any action by the Company or its successors that reduces the economic value attributable to such participation, benefits or fringe benefit by 10% or more shall be sufficient but not necessary to constitute a materially adverse effect, material reduction or deprivation,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20"/>
          </w:cols>
          <w:pgMar w:left="320" w:top="1382" w:right="359" w:bottom="1440" w:gutter="0" w:footer="0" w:header="0"/>
        </w:sectPr>
      </w:pPr>
    </w:p>
    <w:bookmarkStart w:id="479" w:name="page480"/>
    <w:bookmarkEnd w:id="479"/>
    <w:p>
      <w:pPr>
        <w:ind w:left="640" w:firstLine="651"/>
        <w:spacing w:after="0" w:line="234" w:lineRule="auto"/>
        <w:tabs>
          <w:tab w:leader="none" w:pos="1924" w:val="left"/>
        </w:tabs>
        <w:numPr>
          <w:ilvl w:val="0"/>
          <w:numId w:val="3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assignment to the Participant without the Participant’s consent to a new work location which would require an increase in the round-trip commute to work from the Participant’s residence immediately prior to such Change in Control of more than 40 miles per day; or</w:t>
      </w:r>
    </w:p>
    <w:p>
      <w:pPr>
        <w:spacing w:after="0" w:line="149" w:lineRule="exact"/>
        <w:rPr>
          <w:rFonts w:ascii="Times New Roman" w:cs="Times New Roman" w:eastAsia="Times New Roman" w:hAnsi="Times New Roman"/>
          <w:sz w:val="21"/>
          <w:szCs w:val="21"/>
          <w:color w:val="auto"/>
        </w:rPr>
      </w:pPr>
    </w:p>
    <w:p>
      <w:pPr>
        <w:ind w:left="1920" w:hanging="629"/>
        <w:spacing w:after="0"/>
        <w:tabs>
          <w:tab w:leader="none" w:pos="1920" w:val="left"/>
        </w:tabs>
        <w:numPr>
          <w:ilvl w:val="0"/>
          <w:numId w:val="3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material breach of any material provision of this Award Agreement.</w:t>
      </w:r>
    </w:p>
    <w:p>
      <w:pPr>
        <w:spacing w:after="0" w:line="213" w:lineRule="exact"/>
        <w:rPr>
          <w:sz w:val="20"/>
          <w:szCs w:val="20"/>
          <w:color w:val="auto"/>
        </w:rPr>
      </w:pPr>
    </w:p>
    <w:p>
      <w:pPr>
        <w:ind w:right="140" w:firstLine="642"/>
        <w:spacing w:after="0" w:line="258" w:lineRule="auto"/>
        <w:rPr>
          <w:sz w:val="20"/>
          <w:szCs w:val="20"/>
          <w:color w:val="auto"/>
        </w:rPr>
      </w:pPr>
      <w:r>
        <w:rPr>
          <w:rFonts w:ascii="Times New Roman" w:cs="Times New Roman" w:eastAsia="Times New Roman" w:hAnsi="Times New Roman"/>
          <w:sz w:val="21"/>
          <w:szCs w:val="21"/>
          <w:color w:val="auto"/>
        </w:rPr>
        <w:t>Notwithstanding the foregoing, the Participant shall not be entitled to terminate the Participant’s Continuous Service with the Company or its successors for Good Reason unless the following process is followed with respect to such termination. Within 90 days following the initial occurrence of an event that purportedly constitutes Good Reason, the Participant shall give the Company or its successors written notice of the occurrence of such event, setting forth the exact nature of such event and the conduct required to cure such event. The Company or its successors shall have 30 days from the receipt of such notice within which to cure such event (such period, the “</w:t>
      </w:r>
      <w:r>
        <w:rPr>
          <w:rFonts w:ascii="Times New Roman" w:cs="Times New Roman" w:eastAsia="Times New Roman" w:hAnsi="Times New Roman"/>
          <w:sz w:val="21"/>
          <w:szCs w:val="21"/>
          <w:b w:val="1"/>
          <w:bCs w:val="1"/>
          <w:color w:val="auto"/>
        </w:rPr>
        <w:t>Cure Period</w:t>
      </w:r>
      <w:r>
        <w:rPr>
          <w:rFonts w:ascii="Times New Roman" w:cs="Times New Roman" w:eastAsia="Times New Roman" w:hAnsi="Times New Roman"/>
          <w:sz w:val="21"/>
          <w:szCs w:val="21"/>
          <w:color w:val="auto"/>
        </w:rPr>
        <w:t>”). If, during the Cure Period, such event is cured, then the Participant shall not be permitted to terminate the Participant’s Continuous Service with the Company or its successors for Good Reason as a result of such event. If, at the end of the Cure Period, such event is not cured, the Participant shall be entitled to terminate the Participant’s Continuous Service with the Company or its successors for Good Reason as a result of such event during the 60 day period following the end of the Cure Period. If the Participant does not terminate the Participant’s Continuous Service with the Company or its successors for Good Reason during such 60 day period, the Participant shall not be permitted to terminate the Participant’s Continuous Service with the Company or its successors for Good Reason as a result of such event.</w:t>
      </w:r>
    </w:p>
    <w:p>
      <w:pPr>
        <w:spacing w:after="0" w:line="144" w:lineRule="exact"/>
        <w:rPr>
          <w:sz w:val="20"/>
          <w:szCs w:val="20"/>
          <w:color w:val="auto"/>
        </w:rPr>
      </w:pPr>
    </w:p>
    <w:p>
      <w:pPr>
        <w:ind w:right="700" w:firstLine="649"/>
        <w:spacing w:after="0" w:line="229" w:lineRule="auto"/>
        <w:tabs>
          <w:tab w:leader="none" w:pos="1279" w:val="left"/>
        </w:tabs>
        <w:numPr>
          <w:ilvl w:val="1"/>
          <w:numId w:val="3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Retirement</w:t>
      </w:r>
      <w:r>
        <w:rPr>
          <w:rFonts w:ascii="Times New Roman" w:cs="Times New Roman" w:eastAsia="Times New Roman" w:hAnsi="Times New Roman"/>
          <w:sz w:val="21"/>
          <w:szCs w:val="21"/>
          <w:color w:val="auto"/>
        </w:rPr>
        <w:t>. For purpose of this Award Agreement, “</w:t>
      </w:r>
      <w:r>
        <w:rPr>
          <w:rFonts w:ascii="Times New Roman" w:cs="Times New Roman" w:eastAsia="Times New Roman" w:hAnsi="Times New Roman"/>
          <w:sz w:val="21"/>
          <w:szCs w:val="21"/>
          <w:b w:val="1"/>
          <w:bCs w:val="1"/>
          <w:color w:val="auto"/>
        </w:rPr>
        <w:t>Retirement</w:t>
      </w:r>
      <w:r>
        <w:rPr>
          <w:rFonts w:ascii="Times New Roman" w:cs="Times New Roman" w:eastAsia="Times New Roman" w:hAnsi="Times New Roman"/>
          <w:sz w:val="21"/>
          <w:szCs w:val="21"/>
          <w:color w:val="auto"/>
        </w:rPr>
        <w:t>” means, unless otherwise defined in the Participant’s written employment arrangements with the Company or any Related Entity in effect on the Date of Grant (as amended from time to time thereafter), and unless otherwise determined by the Committee, termination of the Participant’s Continuous Service after both (i) at least 10 years of employment and (ii) attaining at least 55 years of age.</w:t>
      </w:r>
    </w:p>
    <w:p>
      <w:pPr>
        <w:spacing w:after="0" w:line="152" w:lineRule="exact"/>
        <w:rPr>
          <w:rFonts w:ascii="Times New Roman" w:cs="Times New Roman" w:eastAsia="Times New Roman" w:hAnsi="Times New Roman"/>
          <w:sz w:val="21"/>
          <w:szCs w:val="21"/>
          <w:color w:val="auto"/>
        </w:rPr>
      </w:pPr>
    </w:p>
    <w:p>
      <w:pPr>
        <w:ind w:right="20" w:firstLine="7"/>
        <w:spacing w:after="0" w:line="219" w:lineRule="auto"/>
        <w:tabs>
          <w:tab w:leader="none" w:pos="642" w:val="left"/>
        </w:tabs>
        <w:numPr>
          <w:ilvl w:val="0"/>
          <w:numId w:val="3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Dividend Equivalent Rights</w:t>
      </w:r>
      <w:r>
        <w:rPr>
          <w:rFonts w:ascii="Times New Roman" w:cs="Times New Roman" w:eastAsia="Times New Roman" w:hAnsi="Times New Roman"/>
          <w:sz w:val="21"/>
          <w:szCs w:val="21"/>
          <w:color w:val="auto"/>
        </w:rPr>
        <w:t xml:space="preserve">. From the beginning of the Performance Cycle and until the Performance Units are settled pursuant to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the Participant’s account will be credited with Dividend Equivalent Rights (without interest and earnings) at the same time, in the same form, and in equivalent amounts as dividends that were declared and paid on Shares during each fiscal quarter of the Performance Cycle. Dividend Equivalent Rights will be credited in the form of additional Performance Units and the amount of the Dividend Equivalent Rights will be determined based on the total number of Performance Units earned at the end of the Performance Cycle or vested. The additional number of Performance Units credited to the Participant’s account shall equal the amount of such Dividend Equivalent Right divided by the closing price of the Shares on the dividend payment date during the appropriate Performance Cycle. Incremental Performance Units credited for dividends may also earn Dividend Equivalent Rights. Additional Performance Units granted as Dividend Equivalent Rights shall be subject to the same vesting and forfeiture restrictions as the Performance Units to which they are attributable.</w:t>
      </w:r>
    </w:p>
    <w:p>
      <w:pPr>
        <w:spacing w:after="0" w:line="150" w:lineRule="exact"/>
        <w:rPr>
          <w:rFonts w:ascii="Times New Roman" w:cs="Times New Roman" w:eastAsia="Times New Roman" w:hAnsi="Times New Roman"/>
          <w:sz w:val="21"/>
          <w:szCs w:val="21"/>
          <w:color w:val="auto"/>
        </w:rPr>
      </w:pPr>
    </w:p>
    <w:p>
      <w:pPr>
        <w:jc w:val="both"/>
        <w:ind w:right="20" w:firstLine="7"/>
        <w:spacing w:after="0" w:line="228" w:lineRule="auto"/>
        <w:tabs>
          <w:tab w:leader="none" w:pos="642" w:val="left"/>
        </w:tabs>
        <w:numPr>
          <w:ilvl w:val="0"/>
          <w:numId w:val="3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Settlement of Performance Units</w:t>
      </w:r>
      <w:r>
        <w:rPr>
          <w:rFonts w:ascii="Times New Roman" w:cs="Times New Roman" w:eastAsia="Times New Roman" w:hAnsi="Times New Roman"/>
          <w:sz w:val="21"/>
          <w:szCs w:val="21"/>
          <w:color w:val="auto"/>
        </w:rPr>
        <w:t xml:space="preserve">. If the Performance Units vest, the Participant shall receive one Share with respect to each vested Performance Unit (including any vested Performance Units attributable to Dividend Equivalent Rights) and a cash payment in respect of any Dividend Equivalent Rights paid in cash (subject to the withholding requirements set forth in the Plan and </w:t>
      </w:r>
      <w:r>
        <w:rPr>
          <w:rFonts w:ascii="Times New Roman" w:cs="Times New Roman" w:eastAsia="Times New Roman" w:hAnsi="Times New Roman"/>
          <w:sz w:val="21"/>
          <w:szCs w:val="21"/>
          <w:u w:val="single" w:color="auto"/>
          <w:color w:val="auto"/>
        </w:rPr>
        <w:t>Section 10</w:t>
      </w:r>
      <w:r>
        <w:rPr>
          <w:rFonts w:ascii="Times New Roman" w:cs="Times New Roman" w:eastAsia="Times New Roman" w:hAnsi="Times New Roman"/>
          <w:sz w:val="21"/>
          <w:szCs w:val="21"/>
          <w:color w:val="auto"/>
        </w:rPr>
        <w:t xml:space="preserve"> below). The issuance of Shares underlying any Performance Units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83" w:right="339" w:bottom="1440" w:gutter="0" w:footer="0" w:header="0"/>
        </w:sectPr>
      </w:pPr>
    </w:p>
    <w:bookmarkStart w:id="480" w:name="page481"/>
    <w:bookmarkEnd w:id="480"/>
    <w:p>
      <w:pPr>
        <w:spacing w:after="0" w:line="220" w:lineRule="auto"/>
        <w:rPr>
          <w:sz w:val="20"/>
          <w:szCs w:val="20"/>
          <w:color w:val="auto"/>
        </w:rPr>
      </w:pPr>
      <w:r>
        <w:rPr>
          <w:rFonts w:ascii="Times New Roman" w:cs="Times New Roman" w:eastAsia="Times New Roman" w:hAnsi="Times New Roman"/>
          <w:sz w:val="21"/>
          <w:szCs w:val="21"/>
          <w:color w:val="auto"/>
        </w:rPr>
        <w:t xml:space="preserve">vest shall occur (A) if the Performance Units vest on the last day of the Performance Cycle pursuant to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5(b)</w:t>
      </w:r>
      <w:r>
        <w:rPr>
          <w:rFonts w:ascii="Times New Roman" w:cs="Times New Roman" w:eastAsia="Times New Roman" w:hAnsi="Times New Roman"/>
          <w:sz w:val="21"/>
          <w:szCs w:val="21"/>
          <w:color w:val="auto"/>
        </w:rPr>
        <w:t xml:space="preserve"> above, as soon as administratively possible, as determined solely by the Company, in the calendar year following the end of the Performance Cycle, but in no event later than March 15 of such calendar year and (B) if the Performance Units vest before the last day of the Performance Cycle due to the termination of Participant’s Continuous Service pursuant to </w:t>
      </w:r>
      <w:r>
        <w:rPr>
          <w:rFonts w:ascii="Times New Roman" w:cs="Times New Roman" w:eastAsia="Times New Roman" w:hAnsi="Times New Roman"/>
          <w:sz w:val="21"/>
          <w:szCs w:val="21"/>
          <w:u w:val="single" w:color="auto"/>
          <w:color w:val="auto"/>
        </w:rPr>
        <w:t>Section 5(a)</w:t>
      </w:r>
      <w:r>
        <w:rPr>
          <w:rFonts w:ascii="Times New Roman" w:cs="Times New Roman" w:eastAsia="Times New Roman" w:hAnsi="Times New Roman"/>
          <w:sz w:val="21"/>
          <w:szCs w:val="21"/>
          <w:color w:val="auto"/>
        </w:rPr>
        <w:t xml:space="preserve"> or otherwise, within 60 days following the date the Performance Units vest. Upon a distribution of Shares as provided herein, the Company shall cause the Shares then being distributed to be registered in the Participant’s name. From and after the date of receipt of such distribution, the Participant or the Participant’s legal representatives, beneficiaries or heirs, as the case may be, shall have full rights of transfer or resale with respect to such Shares subject to applicable Company policies and state and federal regulations.</w:t>
      </w:r>
    </w:p>
    <w:p>
      <w:pPr>
        <w:spacing w:after="0" w:line="155" w:lineRule="exact"/>
        <w:rPr>
          <w:sz w:val="20"/>
          <w:szCs w:val="20"/>
          <w:color w:val="auto"/>
        </w:rPr>
      </w:pPr>
    </w:p>
    <w:p>
      <w:pPr>
        <w:jc w:val="both"/>
        <w:ind w:right="780" w:firstLine="7"/>
        <w:spacing w:after="0" w:line="234" w:lineRule="auto"/>
        <w:tabs>
          <w:tab w:leader="none" w:pos="642" w:val="left"/>
        </w:tabs>
        <w:numPr>
          <w:ilvl w:val="0"/>
          <w:numId w:val="3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Administration</w:t>
      </w:r>
      <w:r>
        <w:rPr>
          <w:rFonts w:ascii="Times New Roman" w:cs="Times New Roman" w:eastAsia="Times New Roman" w:hAnsi="Times New Roman"/>
          <w:sz w:val="21"/>
          <w:szCs w:val="21"/>
          <w:color w:val="auto"/>
        </w:rPr>
        <w:t>. This Award Agreement and the rights of the Participant hereunder are subject to all the terms and conditions of the Plan and, to the extent applicable, the terms of any employment or change in control agreement with the Company in effect on the Date of Grant.</w:t>
      </w:r>
    </w:p>
    <w:p>
      <w:pPr>
        <w:spacing w:after="0" w:line="149" w:lineRule="exact"/>
        <w:rPr>
          <w:rFonts w:ascii="Times New Roman" w:cs="Times New Roman" w:eastAsia="Times New Roman" w:hAnsi="Times New Roman"/>
          <w:sz w:val="21"/>
          <w:szCs w:val="21"/>
          <w:color w:val="auto"/>
        </w:rPr>
      </w:pPr>
    </w:p>
    <w:p>
      <w:pPr>
        <w:ind w:firstLine="7"/>
        <w:spacing w:after="0" w:line="218" w:lineRule="auto"/>
        <w:tabs>
          <w:tab w:leader="none" w:pos="642" w:val="left"/>
        </w:tabs>
        <w:numPr>
          <w:ilvl w:val="0"/>
          <w:numId w:val="3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Liability and Withholding</w:t>
      </w:r>
      <w:r>
        <w:rPr>
          <w:rFonts w:ascii="Times New Roman" w:cs="Times New Roman" w:eastAsia="Times New Roman" w:hAnsi="Times New Roman"/>
          <w:sz w:val="21"/>
          <w:szCs w:val="21"/>
          <w:color w:val="auto"/>
        </w:rPr>
        <w:t>. The Participant shall be required to pay to the Company, and the Company shall have the right to deduct from any compensation paid to the Participant pursuant to the Plan, the amount of any required withholding taxes in respect of the Performance Units and any Dividend Equivalent Rights, and to take all such other action as the Committee deems necessary to satisfy all obligations for the payment of such withholding taxes. Unless otherwise approved by the Committee, the Participant shall satisfy any federal, state or local tax withholding obligation by authorizing the Company to withhold Shares from the Shares otherwise issuable or deliverable to the Participant as a result of the vesting of the Performance Units; provided, however, that no Shares shall be withheld with a value exceeding the maximum rate of withholding in the applicable jurisdiction. Notwithstanding any action the Company takes with respect to any or all income tax, social insurance, payroll tax, or other tax-related withholding (“</w:t>
      </w:r>
      <w:r>
        <w:rPr>
          <w:rFonts w:ascii="Times New Roman" w:cs="Times New Roman" w:eastAsia="Times New Roman" w:hAnsi="Times New Roman"/>
          <w:sz w:val="21"/>
          <w:szCs w:val="21"/>
          <w:b w:val="1"/>
          <w:bCs w:val="1"/>
          <w:color w:val="auto"/>
        </w:rPr>
        <w:t>Tax-Related Items</w:t>
      </w:r>
      <w:r>
        <w:rPr>
          <w:rFonts w:ascii="Times New Roman" w:cs="Times New Roman" w:eastAsia="Times New Roman" w:hAnsi="Times New Roman"/>
          <w:sz w:val="21"/>
          <w:szCs w:val="21"/>
          <w:color w:val="auto"/>
        </w:rPr>
        <w:t>”), the ultimate liability for all Tax-Related Items is and remains the Participant’s responsibility and the Company (a) makes no representation or undertakings regarding the treatment of any Tax-Related Items in connection with the grant, vesting or settlement of the Performance Units or the subsequent sale of any Shares; and (b) does not commit to structure the Performance Units to reduce or eliminate the Participant’s liability for Tax-Related Items.</w:t>
      </w:r>
    </w:p>
    <w:p>
      <w:pPr>
        <w:spacing w:after="0" w:line="149" w:lineRule="exact"/>
        <w:rPr>
          <w:rFonts w:ascii="Times New Roman" w:cs="Times New Roman" w:eastAsia="Times New Roman" w:hAnsi="Times New Roman"/>
          <w:sz w:val="21"/>
          <w:szCs w:val="21"/>
          <w:color w:val="auto"/>
        </w:rPr>
      </w:pPr>
    </w:p>
    <w:p>
      <w:pPr>
        <w:ind w:right="60" w:firstLine="7"/>
        <w:spacing w:after="0" w:line="219" w:lineRule="auto"/>
        <w:tabs>
          <w:tab w:leader="none" w:pos="634" w:val="left"/>
        </w:tabs>
        <w:numPr>
          <w:ilvl w:val="0"/>
          <w:numId w:val="3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This Award Agreement is intended to comply with Section 409A or an exemption thereunder and shall be construed and interpreted in a manner that is consistent with the requirements for avoiding additional taxes or penalties under Section 409A. Notwithstanding the foregoing, the Company makes no representations that the payments and benefits provided under this Award Agreement comply with Section 409A and in no event shall the Company be liable for all or any portion of any taxes, penalties, interest or other expenses that may be incurred by the Participant on account of non-compliance with Section 409A. Notwithstanding anything to the contrary herein, if the Participant is a “specified employee” as defined in Section 409A, in the case of a distribution of Shares due to any termination, other than due to death, to the extent required to avoid incurring taxes under Section 409A, the distribution of Shares (and any Dividend Equivalent Rights) in respect of the vested Performance Units shall not occur until the date which is six months following the Termination Date (or, if earlier, upon the death of the Participant).</w:t>
      </w:r>
    </w:p>
    <w:p>
      <w:pPr>
        <w:spacing w:after="0" w:line="156" w:lineRule="exact"/>
        <w:rPr>
          <w:rFonts w:ascii="Times New Roman" w:cs="Times New Roman" w:eastAsia="Times New Roman" w:hAnsi="Times New Roman"/>
          <w:sz w:val="21"/>
          <w:szCs w:val="21"/>
          <w:color w:val="auto"/>
        </w:rPr>
      </w:pPr>
    </w:p>
    <w:p>
      <w:pPr>
        <w:ind w:left="640" w:hanging="633"/>
        <w:spacing w:after="0"/>
        <w:tabs>
          <w:tab w:leader="none" w:pos="640" w:val="left"/>
        </w:tabs>
        <w:numPr>
          <w:ilvl w:val="0"/>
          <w:numId w:val="3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Miscellaneous</w:t>
      </w:r>
      <w:r>
        <w:rPr>
          <w:rFonts w:ascii="Times New Roman" w:cs="Times New Roman" w:eastAsia="Times New Roman" w:hAnsi="Times New Roman"/>
          <w:sz w:val="21"/>
          <w:szCs w:val="21"/>
          <w:color w:val="auto"/>
        </w:rPr>
        <w:t>.</w:t>
      </w:r>
    </w:p>
    <w:p>
      <w:pPr>
        <w:spacing w:after="0" w:line="186" w:lineRule="exact"/>
        <w:rPr>
          <w:rFonts w:ascii="Times New Roman" w:cs="Times New Roman" w:eastAsia="Times New Roman" w:hAnsi="Times New Roman"/>
          <w:sz w:val="21"/>
          <w:szCs w:val="21"/>
          <w:color w:val="auto"/>
        </w:rPr>
      </w:pPr>
    </w:p>
    <w:p>
      <w:pPr>
        <w:ind w:right="260" w:firstLine="649"/>
        <w:spacing w:after="0" w:line="234" w:lineRule="auto"/>
        <w:tabs>
          <w:tab w:leader="none" w:pos="1281" w:val="left"/>
        </w:tabs>
        <w:numPr>
          <w:ilvl w:val="1"/>
          <w:numId w:val="3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Nothing in this Award Agreement or the Plan shall interfere with or limit in any way the right of the Company to terminate the Participant’s Continuous Service, nor confer upon the Participant any right to continued employment with the Company or continued service as a Board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00"/>
          </w:cols>
          <w:pgMar w:left="320" w:top="1383" w:right="379" w:bottom="1440" w:gutter="0" w:footer="0" w:header="0"/>
        </w:sectPr>
      </w:pPr>
    </w:p>
    <w:bookmarkStart w:id="481" w:name="page482"/>
    <w:bookmarkEnd w:id="481"/>
    <w:p>
      <w:pPr>
        <w:ind w:left="-60" w:right="320" w:firstLine="649"/>
        <w:spacing w:after="0" w:line="234" w:lineRule="auto"/>
        <w:tabs>
          <w:tab w:leader="none" w:pos="1219" w:val="left"/>
        </w:tabs>
        <w:numPr>
          <w:ilvl w:val="0"/>
          <w:numId w:val="3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the approval of the Board in its sole discretion, the Committee may terminate, amend, or modify the Plan;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no such termination, amendment, or modification of the Plan may in any way adversely affect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Participant’s rights under this Award Agreement without the Participant’s written consent.</w:t>
      </w:r>
    </w:p>
    <w:p>
      <w:pPr>
        <w:spacing w:after="0" w:line="149" w:lineRule="exact"/>
        <w:rPr>
          <w:rFonts w:ascii="Times New Roman" w:cs="Times New Roman" w:eastAsia="Times New Roman" w:hAnsi="Times New Roman"/>
          <w:sz w:val="21"/>
          <w:szCs w:val="21"/>
          <w:color w:val="auto"/>
        </w:rPr>
      </w:pPr>
    </w:p>
    <w:p>
      <w:pPr>
        <w:ind w:left="-60" w:right="180" w:firstLine="649"/>
        <w:spacing w:after="0" w:line="249" w:lineRule="auto"/>
        <w:tabs>
          <w:tab w:leader="none" w:pos="1221" w:val="left"/>
        </w:tabs>
        <w:numPr>
          <w:ilvl w:val="0"/>
          <w:numId w:val="3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 shall not have voting rights with respect to the Performance Units until the Performance Units are settled and have been distributed as Shares.</w:t>
      </w:r>
    </w:p>
    <w:p>
      <w:pPr>
        <w:spacing w:after="0" w:line="140" w:lineRule="exact"/>
        <w:rPr>
          <w:rFonts w:ascii="Times New Roman" w:cs="Times New Roman" w:eastAsia="Times New Roman" w:hAnsi="Times New Roman"/>
          <w:sz w:val="21"/>
          <w:szCs w:val="21"/>
          <w:color w:val="auto"/>
        </w:rPr>
      </w:pPr>
    </w:p>
    <w:p>
      <w:pPr>
        <w:ind w:left="-60" w:firstLine="649"/>
        <w:spacing w:after="0" w:line="249" w:lineRule="auto"/>
        <w:tabs>
          <w:tab w:leader="none" w:pos="1219" w:val="left"/>
        </w:tabs>
        <w:numPr>
          <w:ilvl w:val="0"/>
          <w:numId w:val="3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Award Agreement shall be subject to all Applicable Laws, rules, and regulations, and to such approvals by any governmental agencies or national securities exchanges as may be required.</w:t>
      </w:r>
    </w:p>
    <w:p>
      <w:pPr>
        <w:spacing w:after="0" w:line="140" w:lineRule="exact"/>
        <w:rPr>
          <w:rFonts w:ascii="Times New Roman" w:cs="Times New Roman" w:eastAsia="Times New Roman" w:hAnsi="Times New Roman"/>
          <w:sz w:val="21"/>
          <w:szCs w:val="21"/>
          <w:color w:val="auto"/>
        </w:rPr>
      </w:pPr>
    </w:p>
    <w:p>
      <w:pPr>
        <w:ind w:left="-60" w:right="20" w:firstLine="649"/>
        <w:spacing w:after="0" w:line="234" w:lineRule="auto"/>
        <w:tabs>
          <w:tab w:leader="none" w:pos="1221" w:val="left"/>
        </w:tabs>
        <w:numPr>
          <w:ilvl w:val="0"/>
          <w:numId w:val="3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Award Agreement shall be governed by the corporate laws of the State of Nevada, without giving effect to any conflict of law provisions that might otherwise refer construction or interpretation of this Award Agreement or the Plan to the substantive law of another jurisdiction.</w:t>
      </w:r>
    </w:p>
    <w:p>
      <w:pPr>
        <w:spacing w:after="0" w:line="149" w:lineRule="exact"/>
        <w:rPr>
          <w:rFonts w:ascii="Times New Roman" w:cs="Times New Roman" w:eastAsia="Times New Roman" w:hAnsi="Times New Roman"/>
          <w:sz w:val="21"/>
          <w:szCs w:val="21"/>
          <w:color w:val="auto"/>
        </w:rPr>
      </w:pPr>
    </w:p>
    <w:p>
      <w:pPr>
        <w:ind w:left="-60" w:right="540" w:firstLine="649"/>
        <w:spacing w:after="0" w:line="234" w:lineRule="auto"/>
        <w:tabs>
          <w:tab w:leader="none" w:pos="1224" w:val="left"/>
        </w:tabs>
        <w:numPr>
          <w:ilvl w:val="0"/>
          <w:numId w:val="3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dispute regarding the interpretation of this Award Agreement shall be submitted by the Participant or the Company to the Committee for review. The resolution of such dispute by the Committee shall be final and binding on the Participant and the Company.</w:t>
      </w:r>
    </w:p>
    <w:p>
      <w:pPr>
        <w:spacing w:after="0" w:line="149" w:lineRule="exact"/>
        <w:rPr>
          <w:rFonts w:ascii="Times New Roman" w:cs="Times New Roman" w:eastAsia="Times New Roman" w:hAnsi="Times New Roman"/>
          <w:sz w:val="21"/>
          <w:szCs w:val="21"/>
          <w:color w:val="auto"/>
        </w:rPr>
      </w:pPr>
    </w:p>
    <w:p>
      <w:pPr>
        <w:ind w:left="-60" w:right="200" w:firstLine="649"/>
        <w:spacing w:after="0" w:line="249" w:lineRule="auto"/>
        <w:tabs>
          <w:tab w:leader="none" w:pos="1219" w:val="left"/>
        </w:tabs>
        <w:numPr>
          <w:ilvl w:val="0"/>
          <w:numId w:val="3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value of the Participant’s Performance Units is not part of the Participant’s normal or expected compensation for purposes of calculating any severance, retirement, welfare, insurance or similar employee benefit.</w:t>
      </w:r>
    </w:p>
    <w:p>
      <w:pPr>
        <w:spacing w:after="0" w:line="140" w:lineRule="exact"/>
        <w:rPr>
          <w:rFonts w:ascii="Times New Roman" w:cs="Times New Roman" w:eastAsia="Times New Roman" w:hAnsi="Times New Roman"/>
          <w:sz w:val="21"/>
          <w:szCs w:val="21"/>
          <w:color w:val="auto"/>
        </w:rPr>
      </w:pPr>
    </w:p>
    <w:p>
      <w:pPr>
        <w:ind w:left="-60" w:right="300" w:firstLine="649"/>
        <w:spacing w:after="0" w:line="249" w:lineRule="auto"/>
        <w:tabs>
          <w:tab w:leader="none" w:pos="1219" w:val="left"/>
        </w:tabs>
        <w:numPr>
          <w:ilvl w:val="0"/>
          <w:numId w:val="3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understands that the Performance Units and the Shares settled therefrom, as well as any Performance Units that were previously awarded, are subject to the Company’s clawback policy as effective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140"/>
          </w:cols>
          <w:pgMar w:left="380" w:top="1383" w:right="379" w:bottom="1440" w:gutter="0" w:footer="0" w:header="0"/>
        </w:sectPr>
      </w:pPr>
    </w:p>
    <w:bookmarkStart w:id="482" w:name="page483"/>
    <w:bookmarkEnd w:id="482"/>
    <w:p>
      <w:pPr>
        <w:jc w:val="both"/>
        <w:ind w:firstLine="642"/>
        <w:spacing w:after="0" w:line="260" w:lineRule="auto"/>
        <w:rPr>
          <w:sz w:val="20"/>
          <w:szCs w:val="20"/>
          <w:color w:val="auto"/>
        </w:rPr>
      </w:pPr>
      <w:r>
        <w:rPr>
          <w:rFonts w:ascii="Times New Roman" w:cs="Times New Roman" w:eastAsia="Times New Roman" w:hAnsi="Times New Roman"/>
          <w:sz w:val="21"/>
          <w:szCs w:val="21"/>
          <w:b w:val="1"/>
          <w:bCs w:val="1"/>
          <w:color w:val="auto"/>
        </w:rPr>
        <w:t>The Participant acknowledges that this Award Agreement and the Plan set forth the entire understanding between the Participant and the Company regarding the acquisition of the Performance Units granted pursuant to this Award Agreement. The Participant has reviewed and fully understands all provisions of this Award Agreement and the Plan in their entirety. The Participant acknowledges that Performance Units awarded hereunder may not be sold, transferred, pledged, assigned, or otherwise alienated until the Performance Units are vested and the Performance Units are settled in the form of Shares. The Participant acknowledges that there may be adverse tax consequences upon the vesting or settlement of the Performance Units or disposition of the underlying shares and that the Participant has been advised to consult a tax advisor prior to such vesting, settlement or disposition.</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SOUTHWEST GAS HOLDINGS, INC.</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-7620</wp:posOffset>
            </wp:positionV>
            <wp:extent cx="13589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79">
                      <a:extLst>
                        <a:ext uri="{28A0092B-C50C-407E-A947-70E740481C1C}"/>
                      </a:extLst>
                    </a:blip>
                    <a:srcRect/>
                    <a:stretch>
                      <a:fillRect/>
                    </a:stretch>
                  </pic:blipFill>
                  <pic:spPr bwMode="auto">
                    <a:xfrm>
                      <a:off x="0" y="0"/>
                      <a:ext cx="135890" cy="8255"/>
                    </a:xfrm>
                    <a:prstGeom prst="rect">
                      <a:avLst/>
                    </a:prstGeom>
                    <a:noFill/>
                  </pic:spPr>
                </pic:pic>
              </a:graphicData>
            </a:graphic>
          </wp:anchor>
        </w:drawing>
      </w:r>
    </w:p>
    <w:p>
      <w:pPr>
        <w:spacing w:after="0" w:line="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1"/>
          <w:szCs w:val="21"/>
          <w:color w:val="auto"/>
        </w:rPr>
        <w:t>Karen S. Haller</w:t>
      </w:r>
    </w:p>
    <w:p>
      <w:pPr>
        <w:spacing w:after="0" w:line="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1"/>
          <w:szCs w:val="21"/>
          <w:color w:val="auto"/>
        </w:rPr>
        <w:t>President and Chief Executive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PARTICIPANT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-7620</wp:posOffset>
            </wp:positionV>
            <wp:extent cx="13589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80">
                      <a:extLst>
                        <a:ext uri="{28A0092B-C50C-407E-A947-70E740481C1C}"/>
                      </a:extLst>
                    </a:blip>
                    <a:srcRect/>
                    <a:stretch>
                      <a:fillRect/>
                    </a:stretch>
                  </pic:blipFill>
                  <pic:spPr bwMode="auto">
                    <a:xfrm>
                      <a:off x="0" y="0"/>
                      <a:ext cx="135890" cy="8255"/>
                    </a:xfrm>
                    <a:prstGeom prst="rect">
                      <a:avLst/>
                    </a:prstGeom>
                    <a:noFill/>
                  </pic:spPr>
                </pic:pic>
              </a:graphicData>
            </a:graphic>
          </wp:anchor>
        </w:drawing>
      </w:r>
    </w:p>
    <w:p>
      <w:pPr>
        <w:spacing w:after="0" w:line="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405" w:right="339" w:bottom="1440" w:gutter="0" w:footer="0" w:header="0"/>
        </w:sectPr>
      </w:pPr>
    </w:p>
    <w:bookmarkStart w:id="483" w:name="page484"/>
    <w:bookmarkEnd w:id="483"/>
    <w:p>
      <w:pPr>
        <w:ind w:left="5500" w:hanging="640"/>
        <w:spacing w:after="0"/>
        <w:tabs>
          <w:tab w:leader="none" w:pos="5500" w:val="left"/>
        </w:tabs>
        <w:numPr>
          <w:ilvl w:val="1"/>
          <w:numId w:val="3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Exhibit A</w:t>
      </w:r>
    </w:p>
    <w:p>
      <w:pPr>
        <w:spacing w:after="0" w:line="230" w:lineRule="exact"/>
        <w:rPr>
          <w:rFonts w:ascii="Times New Roman" w:cs="Times New Roman" w:eastAsia="Times New Roman" w:hAnsi="Times New Roman"/>
          <w:sz w:val="21"/>
          <w:szCs w:val="21"/>
          <w:color w:val="auto"/>
        </w:rPr>
      </w:pPr>
    </w:p>
    <w:p>
      <w:pPr>
        <w:ind w:right="40" w:firstLine="7"/>
        <w:spacing w:after="0" w:line="262" w:lineRule="auto"/>
        <w:tabs>
          <w:tab w:leader="none" w:pos="642" w:val="left"/>
        </w:tabs>
        <w:numPr>
          <w:ilvl w:val="0"/>
          <w:numId w:val="3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adjustment based on TSR as described below, and subject to change based on deconsolidation of Centuri Holdings, Inc., (“Centuri”), 50% of the Target Performance Units (the “</w:t>
      </w:r>
      <w:r>
        <w:rPr>
          <w:rFonts w:ascii="Times New Roman" w:cs="Times New Roman" w:eastAsia="Times New Roman" w:hAnsi="Times New Roman"/>
          <w:sz w:val="21"/>
          <w:szCs w:val="21"/>
          <w:b w:val="1"/>
          <w:bCs w:val="1"/>
          <w:color w:val="auto"/>
        </w:rPr>
        <w:t>Utility EPS Units</w:t>
      </w:r>
      <w:r>
        <w:rPr>
          <w:rFonts w:ascii="Times New Roman" w:cs="Times New Roman" w:eastAsia="Times New Roman" w:hAnsi="Times New Roman"/>
          <w:sz w:val="21"/>
          <w:szCs w:val="21"/>
          <w:color w:val="auto"/>
        </w:rPr>
        <w:t>”) shall vest based on achievement of performance goals relating to adjusted earnings per share (“</w:t>
      </w:r>
      <w:r>
        <w:rPr>
          <w:rFonts w:ascii="Times New Roman" w:cs="Times New Roman" w:eastAsia="Times New Roman" w:hAnsi="Times New Roman"/>
          <w:sz w:val="21"/>
          <w:szCs w:val="21"/>
          <w:b w:val="1"/>
          <w:bCs w:val="1"/>
          <w:color w:val="auto"/>
        </w:rPr>
        <w:t>EPS</w:t>
      </w:r>
      <w:r>
        <w:rPr>
          <w:rFonts w:ascii="Times New Roman" w:cs="Times New Roman" w:eastAsia="Times New Roman" w:hAnsi="Times New Roman"/>
          <w:sz w:val="21"/>
          <w:szCs w:val="21"/>
          <w:color w:val="auto"/>
        </w:rPr>
        <w:t>”) of Southwest Gas Corporation (“SWG” or “Utility”), 10% of the Target Performance Units shall vest based on achievement of performance goals relating to adjusted earnings per share of Centuri (the “</w:t>
      </w:r>
      <w:r>
        <w:rPr>
          <w:rFonts w:ascii="Times New Roman" w:cs="Times New Roman" w:eastAsia="Times New Roman" w:hAnsi="Times New Roman"/>
          <w:sz w:val="21"/>
          <w:szCs w:val="21"/>
          <w:b w:val="1"/>
          <w:bCs w:val="1"/>
          <w:color w:val="auto"/>
        </w:rPr>
        <w:t>Centuri EPS Units</w:t>
      </w:r>
      <w:r>
        <w:rPr>
          <w:rFonts w:ascii="Times New Roman" w:cs="Times New Roman" w:eastAsia="Times New Roman" w:hAnsi="Times New Roman"/>
          <w:sz w:val="21"/>
          <w:szCs w:val="21"/>
          <w:color w:val="auto"/>
        </w:rPr>
        <w:t>”), and 40% of the Target Performance Units (the “</w:t>
      </w:r>
      <w:r>
        <w:rPr>
          <w:rFonts w:ascii="Times New Roman" w:cs="Times New Roman" w:eastAsia="Times New Roman" w:hAnsi="Times New Roman"/>
          <w:sz w:val="21"/>
          <w:szCs w:val="21"/>
          <w:b w:val="1"/>
          <w:bCs w:val="1"/>
          <w:color w:val="auto"/>
        </w:rPr>
        <w:t>ROE Units</w:t>
      </w:r>
      <w:r>
        <w:rPr>
          <w:rFonts w:ascii="Times New Roman" w:cs="Times New Roman" w:eastAsia="Times New Roman" w:hAnsi="Times New Roman"/>
          <w:sz w:val="21"/>
          <w:szCs w:val="21"/>
          <w:color w:val="auto"/>
        </w:rPr>
        <w:t>”) shall vest based on achievement of performance goals relating to Utility return on equity (“</w:t>
      </w:r>
      <w:r>
        <w:rPr>
          <w:rFonts w:ascii="Times New Roman" w:cs="Times New Roman" w:eastAsia="Times New Roman" w:hAnsi="Times New Roman"/>
          <w:sz w:val="21"/>
          <w:szCs w:val="21"/>
          <w:b w:val="1"/>
          <w:bCs w:val="1"/>
          <w:color w:val="auto"/>
        </w:rPr>
        <w:t>ROE</w:t>
      </w:r>
      <w:r>
        <w:rPr>
          <w:rFonts w:ascii="Times New Roman" w:cs="Times New Roman" w:eastAsia="Times New Roman" w:hAnsi="Times New Roman"/>
          <w:sz w:val="21"/>
          <w:szCs w:val="21"/>
          <w:color w:val="auto"/>
        </w:rPr>
        <w:t>”).</w:t>
      </w:r>
    </w:p>
    <w:p>
      <w:pPr>
        <w:spacing w:after="0" w:line="170" w:lineRule="exact"/>
        <w:rPr>
          <w:rFonts w:ascii="Times New Roman" w:cs="Times New Roman" w:eastAsia="Times New Roman" w:hAnsi="Times New Roman"/>
          <w:sz w:val="21"/>
          <w:szCs w:val="21"/>
          <w:color w:val="auto"/>
        </w:rPr>
      </w:pPr>
    </w:p>
    <w:p>
      <w:pPr>
        <w:ind w:left="640" w:hanging="633"/>
        <w:spacing w:after="0"/>
        <w:tabs>
          <w:tab w:leader="none" w:pos="640" w:val="left"/>
        </w:tabs>
        <w:numPr>
          <w:ilvl w:val="0"/>
          <w:numId w:val="3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Utility EPS Units</w:t>
      </w:r>
      <w:r>
        <w:rPr>
          <w:rFonts w:ascii="Times New Roman" w:cs="Times New Roman" w:eastAsia="Times New Roman" w:hAnsi="Times New Roman"/>
          <w:sz w:val="21"/>
          <w:szCs w:val="21"/>
          <w:color w:val="auto"/>
        </w:rPr>
        <w:t>.</w:t>
      </w:r>
    </w:p>
    <w:p>
      <w:pPr>
        <w:spacing w:after="0" w:line="239" w:lineRule="exact"/>
        <w:rPr>
          <w:rFonts w:ascii="Times New Roman" w:cs="Times New Roman" w:eastAsia="Times New Roman" w:hAnsi="Times New Roman"/>
          <w:sz w:val="21"/>
          <w:szCs w:val="21"/>
          <w:color w:val="auto"/>
        </w:rPr>
      </w:pPr>
    </w:p>
    <w:p>
      <w:pPr>
        <w:ind w:right="240" w:firstLine="7"/>
        <w:spacing w:after="0" w:line="259" w:lineRule="auto"/>
        <w:tabs>
          <w:tab w:leader="none" w:pos="642" w:val="left"/>
        </w:tabs>
        <w:numPr>
          <w:ilvl w:val="0"/>
          <w:numId w:val="3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Vesting of Utility EPS Units is contingent upon cumulative three-year adjusted EPS achieved by SWG for the three-year Performance Cycle beginning with the fiscal year in which the Performance Units are granted. Cumulative adjusted EPS is calculated by adding together the adjusted EPS for each year in the Performance Cycle. Adjusted EPS is calculated by dividing Utility adjusted net income for each year by the Company’s average basic common shares outstanding for each year. Cumulative three-year adjusted EPS shall be calculated using generally accepted accounting principles, adjusted to exclude the impacts of company owned life insurance as well as other adjustments as determined by the Committee.</w:t>
      </w:r>
    </w:p>
    <w:p>
      <w:pPr>
        <w:spacing w:after="0" w:line="188" w:lineRule="exact"/>
        <w:rPr>
          <w:rFonts w:ascii="Times New Roman" w:cs="Times New Roman" w:eastAsia="Times New Roman" w:hAnsi="Times New Roman"/>
          <w:sz w:val="21"/>
          <w:szCs w:val="21"/>
          <w:color w:val="auto"/>
        </w:rPr>
      </w:pPr>
    </w:p>
    <w:p>
      <w:pPr>
        <w:ind w:right="40" w:firstLine="7"/>
        <w:spacing w:after="0" w:line="260" w:lineRule="auto"/>
        <w:tabs>
          <w:tab w:leader="none" w:pos="642" w:val="left"/>
        </w:tabs>
        <w:numPr>
          <w:ilvl w:val="0"/>
          <w:numId w:val="3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adjustment based on TSR as described below, and subject to change based on deconsolidation of Centuri, Utility EPS Units will vest as illustrated in the performance schedule below. In the event Centuri is deconsolidated from the Company, the Centuri EPS Units shall convert to Utility EPS Units, with no proration applied for parts of the performance cycle where Centuri was consolidated. For example, if Centuri is deconsolidated in 2026, 100% of the Centuri EPS Units shall convert to Utility EPS Units, making Utility EPS Units 60% of the Target Performance Units and ROE Units 40% of the Target Performance Units. Should the performance levels achieved be between the stated criteria below, the percentage of Utility EPS Units vesting will be determined by straight-line interpolation.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137160</wp:posOffset>
            </wp:positionV>
            <wp:extent cx="7141845" cy="14014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81">
                      <a:extLst>
                        <a:ext uri="{28A0092B-C50C-407E-A947-70E740481C1C}"/>
                      </a:extLst>
                    </a:blip>
                    <a:srcRect/>
                    <a:stretch>
                      <a:fillRect/>
                    </a:stretch>
                  </pic:blipFill>
                  <pic:spPr bwMode="auto">
                    <a:xfrm>
                      <a:off x="0" y="0"/>
                      <a:ext cx="7141845" cy="1401445"/>
                    </a:xfrm>
                    <a:prstGeom prst="rect">
                      <a:avLst/>
                    </a:prstGeom>
                    <a:noFill/>
                  </pic:spPr>
                </pic:pic>
              </a:graphicData>
            </a:graphic>
          </wp:anchor>
        </w:drawing>
      </w:r>
    </w:p>
    <w:p>
      <w:pPr>
        <w:spacing w:after="0" w:line="2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Utility EPS Unit Performance Schedule Fiscal Years 2025-2027</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020" w:type="dxa"/>
            <w:vAlign w:val="bottom"/>
            <w:tcBorders>
              <w:top w:val="single" w:sz="8" w:color="auto"/>
              <w:right w:val="single" w:sz="8" w:color="auto"/>
            </w:tcBorders>
            <w:gridSpan w:val="3"/>
          </w:tcPr>
          <w:p>
            <w:pPr>
              <w:ind w:left="640"/>
              <w:spacing w:after="0"/>
              <w:rPr>
                <w:sz w:val="20"/>
                <w:szCs w:val="20"/>
                <w:color w:val="auto"/>
              </w:rPr>
            </w:pPr>
            <w:r>
              <w:rPr>
                <w:rFonts w:ascii="Times New Roman" w:cs="Times New Roman" w:eastAsia="Times New Roman" w:hAnsi="Times New Roman"/>
                <w:sz w:val="21"/>
                <w:szCs w:val="21"/>
                <w:b w:val="1"/>
                <w:bCs w:val="1"/>
                <w:color w:val="auto"/>
              </w:rPr>
              <w:t>Performance Level</w:t>
            </w:r>
          </w:p>
        </w:tc>
        <w:tc>
          <w:tcPr>
            <w:tcW w:w="760" w:type="dxa"/>
            <w:vAlign w:val="bottom"/>
            <w:tcBorders>
              <w:top w:val="single" w:sz="8" w:color="auto"/>
            </w:tcBorders>
          </w:tcPr>
          <w:p>
            <w:pPr>
              <w:spacing w:after="0"/>
              <w:rPr>
                <w:sz w:val="22"/>
                <w:szCs w:val="22"/>
                <w:color w:val="auto"/>
              </w:rPr>
            </w:pPr>
          </w:p>
        </w:tc>
        <w:tc>
          <w:tcPr>
            <w:tcW w:w="448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1"/>
                <w:szCs w:val="21"/>
                <w:b w:val="1"/>
                <w:bCs w:val="1"/>
                <w:color w:val="auto"/>
              </w:rPr>
              <w:t>Cumulative 3-Year Utility Adjusted EPS</w:t>
            </w:r>
          </w:p>
        </w:tc>
        <w:tc>
          <w:tcPr>
            <w:tcW w:w="380" w:type="dxa"/>
            <w:vAlign w:val="bottom"/>
            <w:tcBorders>
              <w:top w:val="single" w:sz="8" w:color="auto"/>
            </w:tcBorders>
          </w:tcPr>
          <w:p>
            <w:pPr>
              <w:spacing w:after="0"/>
              <w:rPr>
                <w:sz w:val="22"/>
                <w:szCs w:val="22"/>
                <w:color w:val="auto"/>
              </w:rPr>
            </w:pPr>
          </w:p>
        </w:tc>
        <w:tc>
          <w:tcPr>
            <w:tcW w:w="26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1"/>
                <w:szCs w:val="21"/>
                <w:b w:val="1"/>
                <w:bCs w:val="1"/>
                <w:color w:val="auto"/>
              </w:rPr>
              <w:t>Vested Utility EPS Units</w:t>
            </w:r>
          </w:p>
        </w:tc>
      </w:tr>
      <w:tr>
        <w:trPr>
          <w:trHeight w:val="274"/>
        </w:trPr>
        <w:tc>
          <w:tcPr>
            <w:tcW w:w="640" w:type="dxa"/>
            <w:vAlign w:val="bottom"/>
            <w:tcBorders>
              <w:bottom w:val="single" w:sz="8" w:color="auto"/>
            </w:tcBorders>
          </w:tcPr>
          <w:p>
            <w:pPr>
              <w:spacing w:after="0"/>
              <w:rPr>
                <w:sz w:val="23"/>
                <w:szCs w:val="23"/>
                <w:color w:val="auto"/>
              </w:rPr>
            </w:pPr>
          </w:p>
        </w:tc>
        <w:tc>
          <w:tcPr>
            <w:tcW w:w="1740" w:type="dxa"/>
            <w:vAlign w:val="bottom"/>
            <w:tcBorders>
              <w:top w:val="single" w:sz="8" w:color="auto"/>
              <w:bottom w:val="single" w:sz="8" w:color="auto"/>
            </w:tcBorders>
          </w:tcPr>
          <w:p>
            <w:pPr>
              <w:spacing w:after="0"/>
              <w:rPr>
                <w:sz w:val="23"/>
                <w:szCs w:val="23"/>
                <w:color w:val="auto"/>
              </w:rPr>
            </w:pPr>
          </w:p>
        </w:tc>
        <w:tc>
          <w:tcPr>
            <w:tcW w:w="640" w:type="dxa"/>
            <w:vAlign w:val="bottom"/>
            <w:tcBorders>
              <w:bottom w:val="single" w:sz="8" w:color="auto"/>
              <w:right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3700" w:type="dxa"/>
            <w:vAlign w:val="bottom"/>
            <w:tcBorders>
              <w:top w:val="single" w:sz="8" w:color="auto"/>
              <w:bottom w:val="single" w:sz="8" w:color="auto"/>
            </w:tcBorders>
          </w:tcPr>
          <w:p>
            <w:pPr>
              <w:spacing w:after="0"/>
              <w:rPr>
                <w:sz w:val="23"/>
                <w:szCs w:val="23"/>
                <w:color w:val="auto"/>
              </w:rPr>
            </w:pPr>
          </w:p>
        </w:tc>
        <w:tc>
          <w:tcPr>
            <w:tcW w:w="780" w:type="dxa"/>
            <w:vAlign w:val="bottom"/>
            <w:tcBorders>
              <w:bottom w:val="single" w:sz="8" w:color="auto"/>
              <w:right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2220" w:type="dxa"/>
            <w:vAlign w:val="bottom"/>
            <w:tcBorders>
              <w:top w:val="single" w:sz="8" w:color="auto"/>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r>
      <w:tr>
        <w:trPr>
          <w:trHeight w:val="285"/>
        </w:trPr>
        <w:tc>
          <w:tcPr>
            <w:tcW w:w="302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21"/>
                <w:szCs w:val="21"/>
                <w:color w:val="auto"/>
              </w:rPr>
              <w:t>Below Threshold</w:t>
            </w:r>
          </w:p>
        </w:tc>
        <w:tc>
          <w:tcPr>
            <w:tcW w:w="5240" w:type="dxa"/>
            <w:vAlign w:val="bottom"/>
            <w:tcBorders>
              <w:right w:val="single" w:sz="8" w:color="auto"/>
            </w:tcBorders>
            <w:gridSpan w:val="3"/>
          </w:tcPr>
          <w:p>
            <w:pPr>
              <w:ind w:left="480"/>
              <w:spacing w:after="0"/>
              <w:rPr>
                <w:sz w:val="20"/>
                <w:szCs w:val="20"/>
                <w:color w:val="auto"/>
              </w:rPr>
            </w:pPr>
            <w:r>
              <w:rPr>
                <w:rFonts w:ascii="Times New Roman" w:cs="Times New Roman" w:eastAsia="Times New Roman" w:hAnsi="Times New Roman"/>
                <w:sz w:val="21"/>
                <w:szCs w:val="21"/>
                <w:color w:val="auto"/>
              </w:rPr>
              <w:t>Less than $[●]</w:t>
            </w:r>
          </w:p>
        </w:tc>
        <w:tc>
          <w:tcPr>
            <w:tcW w:w="2600" w:type="dxa"/>
            <w:vAlign w:val="bottom"/>
            <w:gridSpan w:val="2"/>
          </w:tcPr>
          <w:p>
            <w:pPr>
              <w:jc w:val="right"/>
              <w:ind w:right="793"/>
              <w:spacing w:after="0"/>
              <w:rPr>
                <w:sz w:val="20"/>
                <w:szCs w:val="20"/>
                <w:color w:val="auto"/>
              </w:rPr>
            </w:pPr>
            <w:r>
              <w:rPr>
                <w:rFonts w:ascii="Times New Roman" w:cs="Times New Roman" w:eastAsia="Times New Roman" w:hAnsi="Times New Roman"/>
                <w:sz w:val="21"/>
                <w:szCs w:val="21"/>
                <w:color w:val="auto"/>
              </w:rPr>
              <w:t>[0%]</w:t>
            </w:r>
          </w:p>
        </w:tc>
        <w:tc>
          <w:tcPr>
            <w:tcW w:w="400" w:type="dxa"/>
            <w:vAlign w:val="bottom"/>
          </w:tcPr>
          <w:p>
            <w:pPr>
              <w:spacing w:after="0"/>
              <w:rPr>
                <w:sz w:val="24"/>
                <w:szCs w:val="24"/>
                <w:color w:val="auto"/>
              </w:rPr>
            </w:pPr>
          </w:p>
        </w:tc>
      </w:tr>
      <w:tr>
        <w:trPr>
          <w:trHeight w:val="244"/>
        </w:trPr>
        <w:tc>
          <w:tcPr>
            <w:tcW w:w="6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3700" w:type="dxa"/>
            <w:vAlign w:val="bottom"/>
            <w:tcBorders>
              <w:bottom w:val="single" w:sz="8" w:color="auto"/>
            </w:tcBorders>
          </w:tcPr>
          <w:p>
            <w:pPr>
              <w:spacing w:after="0"/>
              <w:rPr>
                <w:sz w:val="21"/>
                <w:szCs w:val="21"/>
                <w:color w:val="auto"/>
              </w:rPr>
            </w:pPr>
          </w:p>
        </w:tc>
        <w:tc>
          <w:tcPr>
            <w:tcW w:w="780" w:type="dxa"/>
            <w:vAlign w:val="bottom"/>
            <w:tcBorders>
              <w:bottom w:val="single" w:sz="8" w:color="auto"/>
              <w:right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r>
      <w:tr>
        <w:trPr>
          <w:trHeight w:val="285"/>
        </w:trPr>
        <w:tc>
          <w:tcPr>
            <w:tcW w:w="302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21"/>
                <w:szCs w:val="21"/>
                <w:color w:val="auto"/>
              </w:rPr>
              <w:t>Threshold</w:t>
            </w:r>
          </w:p>
        </w:tc>
        <w:tc>
          <w:tcPr>
            <w:tcW w:w="5240" w:type="dxa"/>
            <w:vAlign w:val="bottom"/>
            <w:tcBorders>
              <w:right w:val="single" w:sz="8" w:color="auto"/>
            </w:tcBorders>
            <w:gridSpan w:val="3"/>
          </w:tcPr>
          <w:p>
            <w:pPr>
              <w:ind w:left="480"/>
              <w:spacing w:after="0"/>
              <w:rPr>
                <w:sz w:val="20"/>
                <w:szCs w:val="20"/>
                <w:color w:val="auto"/>
              </w:rPr>
            </w:pPr>
            <w:r>
              <w:rPr>
                <w:rFonts w:ascii="Times New Roman" w:cs="Times New Roman" w:eastAsia="Times New Roman" w:hAnsi="Times New Roman"/>
                <w:sz w:val="21"/>
                <w:szCs w:val="21"/>
                <w:color w:val="auto"/>
              </w:rPr>
              <w:t>$[●]</w:t>
            </w:r>
          </w:p>
        </w:tc>
        <w:tc>
          <w:tcPr>
            <w:tcW w:w="2600" w:type="dxa"/>
            <w:vAlign w:val="bottom"/>
            <w:gridSpan w:val="2"/>
          </w:tcPr>
          <w:p>
            <w:pPr>
              <w:jc w:val="right"/>
              <w:ind w:right="733"/>
              <w:spacing w:after="0"/>
              <w:rPr>
                <w:sz w:val="20"/>
                <w:szCs w:val="20"/>
                <w:color w:val="auto"/>
              </w:rPr>
            </w:pPr>
            <w:r>
              <w:rPr>
                <w:rFonts w:ascii="Times New Roman" w:cs="Times New Roman" w:eastAsia="Times New Roman" w:hAnsi="Times New Roman"/>
                <w:sz w:val="21"/>
                <w:szCs w:val="21"/>
                <w:color w:val="auto"/>
              </w:rPr>
              <w:t>[50%]</w:t>
            </w:r>
          </w:p>
        </w:tc>
        <w:tc>
          <w:tcPr>
            <w:tcW w:w="400" w:type="dxa"/>
            <w:vAlign w:val="bottom"/>
          </w:tcPr>
          <w:p>
            <w:pPr>
              <w:spacing w:after="0"/>
              <w:rPr>
                <w:sz w:val="24"/>
                <w:szCs w:val="24"/>
                <w:color w:val="auto"/>
              </w:rPr>
            </w:pPr>
          </w:p>
        </w:tc>
      </w:tr>
      <w:tr>
        <w:trPr>
          <w:trHeight w:val="244"/>
        </w:trPr>
        <w:tc>
          <w:tcPr>
            <w:tcW w:w="6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3700" w:type="dxa"/>
            <w:vAlign w:val="bottom"/>
            <w:tcBorders>
              <w:bottom w:val="single" w:sz="8" w:color="auto"/>
            </w:tcBorders>
          </w:tcPr>
          <w:p>
            <w:pPr>
              <w:spacing w:after="0"/>
              <w:rPr>
                <w:sz w:val="21"/>
                <w:szCs w:val="21"/>
                <w:color w:val="auto"/>
              </w:rPr>
            </w:pPr>
          </w:p>
        </w:tc>
        <w:tc>
          <w:tcPr>
            <w:tcW w:w="780" w:type="dxa"/>
            <w:vAlign w:val="bottom"/>
            <w:tcBorders>
              <w:bottom w:val="single" w:sz="8" w:color="auto"/>
              <w:right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60"/>
          </w:cols>
          <w:pgMar w:left="320" w:top="1405" w:right="319" w:bottom="1440" w:gutter="0" w:footer="0" w:header="0"/>
        </w:sectPr>
      </w:pPr>
    </w:p>
    <w:bookmarkStart w:id="484" w:name="page485"/>
    <w:bookmarkEnd w:id="484"/>
    <w:tbl>
      <w:tblPr>
        <w:tblLayout w:type="fixed"/>
        <w:tblInd w:w="10" w:type="dxa"/>
        <w:tblCellMar>
          <w:top w:w="0" w:type="dxa"/>
          <w:left w:w="0" w:type="dxa"/>
          <w:bottom w:w="0" w:type="dxa"/>
          <w:right w:w="0" w:type="dxa"/>
        </w:tblCellMar>
      </w:tblPr>
      <w:tr>
        <w:trPr>
          <w:trHeight w:val="305"/>
        </w:trPr>
        <w:tc>
          <w:tcPr>
            <w:tcW w:w="302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Target</w:t>
            </w:r>
          </w:p>
        </w:tc>
        <w:tc>
          <w:tcPr>
            <w:tcW w:w="5240" w:type="dxa"/>
            <w:vAlign w:val="bottom"/>
            <w:tcBorders>
              <w:top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21"/>
                <w:szCs w:val="21"/>
                <w:color w:val="auto"/>
              </w:rPr>
              <w:t>$[●]</w:t>
            </w:r>
          </w:p>
        </w:tc>
        <w:tc>
          <w:tcPr>
            <w:tcW w:w="3000" w:type="dxa"/>
            <w:vAlign w:val="bottom"/>
            <w:tcBorders>
              <w:top w:val="single" w:sz="8" w:color="auto"/>
              <w:right w:val="single" w:sz="8" w:color="auto"/>
            </w:tcBorders>
          </w:tcPr>
          <w:p>
            <w:pPr>
              <w:jc w:val="right"/>
              <w:ind w:right="1073"/>
              <w:spacing w:after="0"/>
              <w:rPr>
                <w:sz w:val="20"/>
                <w:szCs w:val="20"/>
                <w:color w:val="auto"/>
              </w:rPr>
            </w:pPr>
            <w:r>
              <w:rPr>
                <w:rFonts w:ascii="Times New Roman" w:cs="Times New Roman" w:eastAsia="Times New Roman" w:hAnsi="Times New Roman"/>
                <w:sz w:val="21"/>
                <w:szCs w:val="21"/>
                <w:color w:val="auto"/>
              </w:rPr>
              <w:t>[100%]</w:t>
            </w:r>
          </w:p>
        </w:tc>
      </w:tr>
      <w:tr>
        <w:trPr>
          <w:trHeight w:val="244"/>
        </w:trPr>
        <w:tc>
          <w:tcPr>
            <w:tcW w:w="3020" w:type="dxa"/>
            <w:vAlign w:val="bottom"/>
            <w:tcBorders>
              <w:left w:val="single" w:sz="8" w:color="auto"/>
              <w:bottom w:val="single" w:sz="8" w:color="auto"/>
              <w:right w:val="single" w:sz="8" w:color="auto"/>
            </w:tcBorders>
          </w:tcPr>
          <w:p>
            <w:pPr>
              <w:spacing w:after="0"/>
              <w:rPr>
                <w:sz w:val="21"/>
                <w:szCs w:val="21"/>
                <w:color w:val="auto"/>
              </w:rPr>
            </w:pPr>
          </w:p>
        </w:tc>
        <w:tc>
          <w:tcPr>
            <w:tcW w:w="5240" w:type="dxa"/>
            <w:vAlign w:val="bottom"/>
            <w:tcBorders>
              <w:bottom w:val="single" w:sz="8" w:color="auto"/>
              <w:right w:val="single" w:sz="8" w:color="auto"/>
            </w:tcBorders>
          </w:tcPr>
          <w:p>
            <w:pPr>
              <w:spacing w:after="0"/>
              <w:rPr>
                <w:sz w:val="21"/>
                <w:szCs w:val="21"/>
                <w:color w:val="auto"/>
              </w:rPr>
            </w:pPr>
          </w:p>
        </w:tc>
        <w:tc>
          <w:tcPr>
            <w:tcW w:w="3000" w:type="dxa"/>
            <w:vAlign w:val="bottom"/>
            <w:tcBorders>
              <w:bottom w:val="single" w:sz="8" w:color="auto"/>
              <w:right w:val="single" w:sz="8" w:color="auto"/>
            </w:tcBorders>
          </w:tcPr>
          <w:p>
            <w:pPr>
              <w:spacing w:after="0"/>
              <w:rPr>
                <w:sz w:val="21"/>
                <w:szCs w:val="21"/>
                <w:color w:val="auto"/>
              </w:rPr>
            </w:pPr>
          </w:p>
        </w:tc>
      </w:tr>
      <w:tr>
        <w:trPr>
          <w:trHeight w:val="285"/>
        </w:trPr>
        <w:tc>
          <w:tcPr>
            <w:tcW w:w="30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Maximum</w:t>
            </w:r>
          </w:p>
        </w:tc>
        <w:tc>
          <w:tcPr>
            <w:tcW w:w="52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21"/>
                <w:szCs w:val="21"/>
                <w:color w:val="auto"/>
              </w:rPr>
              <w:t>$[●]</w:t>
            </w:r>
          </w:p>
        </w:tc>
        <w:tc>
          <w:tcPr>
            <w:tcW w:w="3000" w:type="dxa"/>
            <w:vAlign w:val="bottom"/>
            <w:tcBorders>
              <w:right w:val="single" w:sz="8" w:color="auto"/>
            </w:tcBorders>
          </w:tcPr>
          <w:p>
            <w:pPr>
              <w:jc w:val="right"/>
              <w:ind w:right="1073"/>
              <w:spacing w:after="0"/>
              <w:rPr>
                <w:sz w:val="20"/>
                <w:szCs w:val="20"/>
                <w:color w:val="auto"/>
              </w:rPr>
            </w:pPr>
            <w:r>
              <w:rPr>
                <w:rFonts w:ascii="Times New Roman" w:cs="Times New Roman" w:eastAsia="Times New Roman" w:hAnsi="Times New Roman"/>
                <w:sz w:val="21"/>
                <w:szCs w:val="21"/>
                <w:color w:val="auto"/>
              </w:rPr>
              <w:t>[200%]</w:t>
            </w:r>
          </w:p>
        </w:tc>
      </w:tr>
      <w:tr>
        <w:trPr>
          <w:trHeight w:val="244"/>
        </w:trPr>
        <w:tc>
          <w:tcPr>
            <w:tcW w:w="3020" w:type="dxa"/>
            <w:vAlign w:val="bottom"/>
            <w:tcBorders>
              <w:left w:val="single" w:sz="8" w:color="auto"/>
              <w:bottom w:val="single" w:sz="8" w:color="auto"/>
              <w:right w:val="single" w:sz="8" w:color="auto"/>
            </w:tcBorders>
          </w:tcPr>
          <w:p>
            <w:pPr>
              <w:spacing w:after="0"/>
              <w:rPr>
                <w:sz w:val="21"/>
                <w:szCs w:val="21"/>
                <w:color w:val="auto"/>
              </w:rPr>
            </w:pPr>
          </w:p>
        </w:tc>
        <w:tc>
          <w:tcPr>
            <w:tcW w:w="5240" w:type="dxa"/>
            <w:vAlign w:val="bottom"/>
            <w:tcBorders>
              <w:bottom w:val="single" w:sz="8" w:color="auto"/>
              <w:right w:val="single" w:sz="8" w:color="auto"/>
            </w:tcBorders>
          </w:tcPr>
          <w:p>
            <w:pPr>
              <w:spacing w:after="0"/>
              <w:rPr>
                <w:sz w:val="21"/>
                <w:szCs w:val="21"/>
                <w:color w:val="auto"/>
              </w:rPr>
            </w:pPr>
          </w:p>
        </w:tc>
        <w:tc>
          <w:tcPr>
            <w:tcW w:w="3000" w:type="dxa"/>
            <w:vAlign w:val="bottom"/>
            <w:tcBorders>
              <w:bottom w:val="single" w:sz="8" w:color="auto"/>
              <w:right w:val="single" w:sz="8" w:color="auto"/>
            </w:tcBorders>
          </w:tcPr>
          <w:p>
            <w:pPr>
              <w:spacing w:after="0"/>
              <w:rPr>
                <w:sz w:val="21"/>
                <w:szCs w:val="21"/>
                <w:color w:val="auto"/>
              </w:rPr>
            </w:pPr>
          </w:p>
        </w:tc>
      </w:tr>
      <w:tr>
        <w:trPr>
          <w:trHeight w:val="352"/>
        </w:trPr>
        <w:tc>
          <w:tcPr>
            <w:tcW w:w="3020" w:type="dxa"/>
            <w:vAlign w:val="bottom"/>
          </w:tcPr>
          <w:p>
            <w:pPr>
              <w:spacing w:after="0"/>
              <w:rPr>
                <w:sz w:val="20"/>
                <w:szCs w:val="20"/>
                <w:color w:val="auto"/>
              </w:rPr>
            </w:pPr>
            <w:r>
              <w:rPr>
                <w:rFonts w:ascii="Times New Roman" w:cs="Times New Roman" w:eastAsia="Times New Roman" w:hAnsi="Times New Roman"/>
                <w:sz w:val="21"/>
                <w:szCs w:val="21"/>
                <w:color w:val="auto"/>
              </w:rPr>
              <w:t>18.</w:t>
            </w:r>
          </w:p>
        </w:tc>
        <w:tc>
          <w:tcPr>
            <w:tcW w:w="5240" w:type="dxa"/>
            <w:vAlign w:val="bottom"/>
          </w:tcPr>
          <w:p>
            <w:pPr>
              <w:spacing w:after="0"/>
              <w:rPr>
                <w:sz w:val="24"/>
                <w:szCs w:val="24"/>
                <w:color w:val="auto"/>
              </w:rPr>
            </w:pPr>
          </w:p>
        </w:tc>
        <w:tc>
          <w:tcPr>
            <w:tcW w:w="3000" w:type="dxa"/>
            <w:vAlign w:val="bottom"/>
          </w:tcPr>
          <w:p>
            <w:pPr>
              <w:spacing w:after="0"/>
              <w:rPr>
                <w:sz w:val="24"/>
                <w:szCs w:val="24"/>
                <w:color w:val="auto"/>
              </w:rPr>
            </w:pPr>
          </w:p>
        </w:tc>
      </w:tr>
    </w:tbl>
    <w:p>
      <w:pPr>
        <w:spacing w:after="0" w:line="189" w:lineRule="exact"/>
        <w:rPr>
          <w:sz w:val="20"/>
          <w:szCs w:val="20"/>
          <w:color w:val="auto"/>
        </w:rPr>
      </w:pPr>
    </w:p>
    <w:p>
      <w:pPr>
        <w:ind w:left="640" w:hanging="633"/>
        <w:spacing w:after="0"/>
        <w:tabs>
          <w:tab w:leader="none" w:pos="640" w:val="left"/>
        </w:tabs>
        <w:numPr>
          <w:ilvl w:val="0"/>
          <w:numId w:val="3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Centuri EPS Units</w:t>
      </w:r>
      <w:r>
        <w:rPr>
          <w:rFonts w:ascii="Times New Roman" w:cs="Times New Roman" w:eastAsia="Times New Roman" w:hAnsi="Times New Roman"/>
          <w:sz w:val="21"/>
          <w:szCs w:val="21"/>
          <w:color w:val="auto"/>
        </w:rPr>
        <w:t>.</w:t>
      </w:r>
    </w:p>
    <w:p>
      <w:pPr>
        <w:spacing w:after="0" w:line="226" w:lineRule="exact"/>
        <w:rPr>
          <w:rFonts w:ascii="Times New Roman" w:cs="Times New Roman" w:eastAsia="Times New Roman" w:hAnsi="Times New Roman"/>
          <w:sz w:val="21"/>
          <w:szCs w:val="21"/>
          <w:color w:val="auto"/>
        </w:rPr>
      </w:pPr>
    </w:p>
    <w:p>
      <w:pPr>
        <w:ind w:right="40" w:firstLine="7"/>
        <w:spacing w:after="0" w:line="262" w:lineRule="auto"/>
        <w:tabs>
          <w:tab w:leader="none" w:pos="642" w:val="left"/>
        </w:tabs>
        <w:numPr>
          <w:ilvl w:val="0"/>
          <w:numId w:val="3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Vesting of Centuri EPS Units is contingent upon cumulative three-year adjusted EPS achieved by Centuri for the three-year Performance Cycle beginning with the fiscal year in which the Performance Units are granted. Cumulative adjusted EPS is calculated by adding together the adjusted EPS for each year in the Performance Cycle. Adjusted EPS is calculated by dividing Centuri adjusted net income for each year by the Company’s average basic common shares outstanding for each year. Cumulative three-year adjusted EPS shall be calculated using generally accepted accounting principles, adjusted to exclude the impacts of company owned life insurance as well as other adjustments as determined by the Committee.</w:t>
      </w:r>
    </w:p>
    <w:p>
      <w:pPr>
        <w:spacing w:after="0" w:line="170" w:lineRule="exact"/>
        <w:rPr>
          <w:rFonts w:ascii="Times New Roman" w:cs="Times New Roman" w:eastAsia="Times New Roman" w:hAnsi="Times New Roman"/>
          <w:sz w:val="21"/>
          <w:szCs w:val="21"/>
          <w:color w:val="auto"/>
        </w:rPr>
      </w:pPr>
    </w:p>
    <w:p>
      <w:pPr>
        <w:ind w:right="220" w:firstLine="7"/>
        <w:spacing w:after="0" w:line="260" w:lineRule="auto"/>
        <w:tabs>
          <w:tab w:leader="none" w:pos="642" w:val="left"/>
        </w:tabs>
        <w:numPr>
          <w:ilvl w:val="0"/>
          <w:numId w:val="3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adjustment based on TSR as described below, and subject to change based on deconsolidation of Centuri, Centuri EPS Units will vest as illustrated in the performance schedule below. In the event Centuri is deconsolidated from the Company, the Centuri EPS Units shall convert to Utility EPS Units, with no proration applied for parts of the performance cycle where Centuri was consolidated. For example, if Centuri is deconsolidated in 2026, 100% of the Centuri EPS Units shall convert to Utility EPS Units, making Utility EPS Units 60% of the Target Performance Units and ROE Units 40% of the Target Performance Units. Should the performance levels achieved be between the stated criteria below, the percentage of Centuri EPS Units vesting will be determined by straight-line interpolation.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137160</wp:posOffset>
            </wp:positionV>
            <wp:extent cx="7141845" cy="209740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82">
                      <a:extLst>
                        <a:ext uri="{28A0092B-C50C-407E-A947-70E740481C1C}"/>
                      </a:extLst>
                    </a:blip>
                    <a:srcRect/>
                    <a:stretch>
                      <a:fillRect/>
                    </a:stretch>
                  </pic:blipFill>
                  <pic:spPr bwMode="auto">
                    <a:xfrm>
                      <a:off x="0" y="0"/>
                      <a:ext cx="7141845" cy="2097405"/>
                    </a:xfrm>
                    <a:prstGeom prst="rect">
                      <a:avLst/>
                    </a:prstGeom>
                    <a:noFill/>
                  </pic:spPr>
                </pic:pic>
              </a:graphicData>
            </a:graphic>
          </wp:anchor>
        </w:drawing>
      </w:r>
    </w:p>
    <w:p>
      <w:pPr>
        <w:spacing w:after="0" w:line="2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Centuri EPS Unit Performance Schedule Fiscal Years 2025-2027</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020" w:type="dxa"/>
            <w:vAlign w:val="bottom"/>
            <w:tcBorders>
              <w:top w:val="single" w:sz="8" w:color="auto"/>
              <w:right w:val="single" w:sz="8" w:color="auto"/>
            </w:tcBorders>
            <w:gridSpan w:val="3"/>
          </w:tcPr>
          <w:p>
            <w:pPr>
              <w:ind w:left="640"/>
              <w:spacing w:after="0"/>
              <w:rPr>
                <w:sz w:val="20"/>
                <w:szCs w:val="20"/>
                <w:color w:val="auto"/>
              </w:rPr>
            </w:pPr>
            <w:r>
              <w:rPr>
                <w:rFonts w:ascii="Times New Roman" w:cs="Times New Roman" w:eastAsia="Times New Roman" w:hAnsi="Times New Roman"/>
                <w:sz w:val="21"/>
                <w:szCs w:val="21"/>
                <w:b w:val="1"/>
                <w:bCs w:val="1"/>
                <w:color w:val="auto"/>
              </w:rPr>
              <w:t>Performance Level</w:t>
            </w:r>
          </w:p>
        </w:tc>
        <w:tc>
          <w:tcPr>
            <w:tcW w:w="700" w:type="dxa"/>
            <w:vAlign w:val="bottom"/>
            <w:tcBorders>
              <w:top w:val="single" w:sz="8" w:color="auto"/>
            </w:tcBorders>
          </w:tcPr>
          <w:p>
            <w:pPr>
              <w:spacing w:after="0"/>
              <w:rPr>
                <w:sz w:val="22"/>
                <w:szCs w:val="22"/>
                <w:color w:val="auto"/>
              </w:rPr>
            </w:pPr>
          </w:p>
        </w:tc>
        <w:tc>
          <w:tcPr>
            <w:tcW w:w="454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1"/>
                <w:szCs w:val="21"/>
                <w:b w:val="1"/>
                <w:bCs w:val="1"/>
                <w:color w:val="auto"/>
              </w:rPr>
              <w:t>Cumulative 3-Year Centuri Adjusted EPS</w:t>
            </w:r>
          </w:p>
        </w:tc>
        <w:tc>
          <w:tcPr>
            <w:tcW w:w="320" w:type="dxa"/>
            <w:vAlign w:val="bottom"/>
            <w:tcBorders>
              <w:top w:val="single" w:sz="8" w:color="auto"/>
            </w:tcBorders>
          </w:tcPr>
          <w:p>
            <w:pPr>
              <w:spacing w:after="0"/>
              <w:rPr>
                <w:sz w:val="22"/>
                <w:szCs w:val="22"/>
                <w:color w:val="auto"/>
              </w:rPr>
            </w:pPr>
          </w:p>
        </w:tc>
        <w:tc>
          <w:tcPr>
            <w:tcW w:w="26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1"/>
                <w:szCs w:val="21"/>
                <w:b w:val="1"/>
                <w:bCs w:val="1"/>
                <w:color w:val="auto"/>
              </w:rPr>
              <w:t>Vested Centuri EPS Units</w:t>
            </w:r>
          </w:p>
        </w:tc>
      </w:tr>
      <w:tr>
        <w:trPr>
          <w:trHeight w:val="274"/>
        </w:trPr>
        <w:tc>
          <w:tcPr>
            <w:tcW w:w="640" w:type="dxa"/>
            <w:vAlign w:val="bottom"/>
            <w:tcBorders>
              <w:bottom w:val="single" w:sz="8" w:color="auto"/>
            </w:tcBorders>
          </w:tcPr>
          <w:p>
            <w:pPr>
              <w:spacing w:after="0"/>
              <w:rPr>
                <w:sz w:val="23"/>
                <w:szCs w:val="23"/>
                <w:color w:val="auto"/>
              </w:rPr>
            </w:pPr>
          </w:p>
        </w:tc>
        <w:tc>
          <w:tcPr>
            <w:tcW w:w="1740" w:type="dxa"/>
            <w:vAlign w:val="bottom"/>
            <w:tcBorders>
              <w:top w:val="single" w:sz="8" w:color="auto"/>
              <w:bottom w:val="single" w:sz="8" w:color="auto"/>
            </w:tcBorders>
          </w:tcPr>
          <w:p>
            <w:pPr>
              <w:spacing w:after="0"/>
              <w:rPr>
                <w:sz w:val="23"/>
                <w:szCs w:val="23"/>
                <w:color w:val="auto"/>
              </w:rPr>
            </w:pPr>
          </w:p>
        </w:tc>
        <w:tc>
          <w:tcPr>
            <w:tcW w:w="640" w:type="dxa"/>
            <w:vAlign w:val="bottom"/>
            <w:tcBorders>
              <w:bottom w:val="single" w:sz="8" w:color="auto"/>
              <w:right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3820" w:type="dxa"/>
            <w:vAlign w:val="bottom"/>
            <w:tcBorders>
              <w:top w:val="single" w:sz="8" w:color="auto"/>
              <w:bottom w:val="single" w:sz="8" w:color="auto"/>
            </w:tcBorders>
          </w:tcPr>
          <w:p>
            <w:pPr>
              <w:spacing w:after="0"/>
              <w:rPr>
                <w:sz w:val="23"/>
                <w:szCs w:val="23"/>
                <w:color w:val="auto"/>
              </w:rPr>
            </w:pPr>
          </w:p>
        </w:tc>
        <w:tc>
          <w:tcPr>
            <w:tcW w:w="720" w:type="dxa"/>
            <w:vAlign w:val="bottom"/>
            <w:tcBorders>
              <w:bottom w:val="single" w:sz="8" w:color="auto"/>
              <w:right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340" w:type="dxa"/>
            <w:vAlign w:val="bottom"/>
            <w:tcBorders>
              <w:top w:val="single" w:sz="8" w:color="auto"/>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r>
      <w:tr>
        <w:trPr>
          <w:trHeight w:val="285"/>
        </w:trPr>
        <w:tc>
          <w:tcPr>
            <w:tcW w:w="302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21"/>
                <w:szCs w:val="21"/>
                <w:color w:val="auto"/>
              </w:rPr>
              <w:t>Below Threshold</w:t>
            </w:r>
          </w:p>
        </w:tc>
        <w:tc>
          <w:tcPr>
            <w:tcW w:w="5240" w:type="dxa"/>
            <w:vAlign w:val="bottom"/>
            <w:tcBorders>
              <w:right w:val="single" w:sz="8" w:color="auto"/>
            </w:tcBorders>
            <w:gridSpan w:val="3"/>
          </w:tcPr>
          <w:p>
            <w:pPr>
              <w:ind w:left="480"/>
              <w:spacing w:after="0"/>
              <w:rPr>
                <w:sz w:val="20"/>
                <w:szCs w:val="20"/>
                <w:color w:val="auto"/>
              </w:rPr>
            </w:pPr>
            <w:r>
              <w:rPr>
                <w:rFonts w:ascii="Times New Roman" w:cs="Times New Roman" w:eastAsia="Times New Roman" w:hAnsi="Times New Roman"/>
                <w:sz w:val="21"/>
                <w:szCs w:val="21"/>
                <w:color w:val="auto"/>
              </w:rPr>
              <w:t>Less than $[●]</w:t>
            </w:r>
          </w:p>
        </w:tc>
        <w:tc>
          <w:tcPr>
            <w:tcW w:w="2660" w:type="dxa"/>
            <w:vAlign w:val="bottom"/>
            <w:gridSpan w:val="2"/>
          </w:tcPr>
          <w:p>
            <w:pPr>
              <w:jc w:val="center"/>
              <w:ind w:left="213"/>
              <w:spacing w:after="0"/>
              <w:rPr>
                <w:sz w:val="20"/>
                <w:szCs w:val="20"/>
                <w:color w:val="auto"/>
              </w:rPr>
            </w:pPr>
            <w:r>
              <w:rPr>
                <w:rFonts w:ascii="Times New Roman" w:cs="Times New Roman" w:eastAsia="Times New Roman" w:hAnsi="Times New Roman"/>
                <w:sz w:val="21"/>
                <w:szCs w:val="21"/>
                <w:color w:val="auto"/>
                <w:w w:val="99"/>
              </w:rPr>
              <w:t>[0%]</w:t>
            </w:r>
          </w:p>
        </w:tc>
        <w:tc>
          <w:tcPr>
            <w:tcW w:w="340" w:type="dxa"/>
            <w:vAlign w:val="bottom"/>
          </w:tcPr>
          <w:p>
            <w:pPr>
              <w:spacing w:after="0"/>
              <w:rPr>
                <w:sz w:val="24"/>
                <w:szCs w:val="24"/>
                <w:color w:val="auto"/>
              </w:rPr>
            </w:pPr>
          </w:p>
        </w:tc>
      </w:tr>
      <w:tr>
        <w:trPr>
          <w:trHeight w:val="244"/>
        </w:trPr>
        <w:tc>
          <w:tcPr>
            <w:tcW w:w="6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3820" w:type="dxa"/>
            <w:vAlign w:val="bottom"/>
            <w:tcBorders>
              <w:bottom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r>
      <w:tr>
        <w:trPr>
          <w:trHeight w:val="285"/>
        </w:trPr>
        <w:tc>
          <w:tcPr>
            <w:tcW w:w="302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21"/>
                <w:szCs w:val="21"/>
                <w:color w:val="auto"/>
              </w:rPr>
              <w:t>Threshold</w:t>
            </w:r>
          </w:p>
        </w:tc>
        <w:tc>
          <w:tcPr>
            <w:tcW w:w="5240" w:type="dxa"/>
            <w:vAlign w:val="bottom"/>
            <w:tcBorders>
              <w:right w:val="single" w:sz="8" w:color="auto"/>
            </w:tcBorders>
            <w:gridSpan w:val="3"/>
          </w:tcPr>
          <w:p>
            <w:pPr>
              <w:ind w:left="480"/>
              <w:spacing w:after="0"/>
              <w:rPr>
                <w:sz w:val="20"/>
                <w:szCs w:val="20"/>
                <w:color w:val="auto"/>
              </w:rPr>
            </w:pPr>
            <w:r>
              <w:rPr>
                <w:rFonts w:ascii="Times New Roman" w:cs="Times New Roman" w:eastAsia="Times New Roman" w:hAnsi="Times New Roman"/>
                <w:sz w:val="21"/>
                <w:szCs w:val="21"/>
                <w:color w:val="auto"/>
              </w:rPr>
              <w:t>$[●]</w:t>
            </w:r>
          </w:p>
        </w:tc>
        <w:tc>
          <w:tcPr>
            <w:tcW w:w="2660" w:type="dxa"/>
            <w:vAlign w:val="bottom"/>
            <w:gridSpan w:val="2"/>
          </w:tcPr>
          <w:p>
            <w:pPr>
              <w:jc w:val="center"/>
              <w:ind w:left="213"/>
              <w:spacing w:after="0"/>
              <w:rPr>
                <w:sz w:val="20"/>
                <w:szCs w:val="20"/>
                <w:color w:val="auto"/>
              </w:rPr>
            </w:pPr>
            <w:r>
              <w:rPr>
                <w:rFonts w:ascii="Times New Roman" w:cs="Times New Roman" w:eastAsia="Times New Roman" w:hAnsi="Times New Roman"/>
                <w:sz w:val="21"/>
                <w:szCs w:val="21"/>
                <w:color w:val="auto"/>
              </w:rPr>
              <w:t>[50%]</w:t>
            </w:r>
          </w:p>
        </w:tc>
        <w:tc>
          <w:tcPr>
            <w:tcW w:w="340" w:type="dxa"/>
            <w:vAlign w:val="bottom"/>
          </w:tcPr>
          <w:p>
            <w:pPr>
              <w:spacing w:after="0"/>
              <w:rPr>
                <w:sz w:val="24"/>
                <w:szCs w:val="24"/>
                <w:color w:val="auto"/>
              </w:rPr>
            </w:pPr>
          </w:p>
        </w:tc>
      </w:tr>
      <w:tr>
        <w:trPr>
          <w:trHeight w:val="244"/>
        </w:trPr>
        <w:tc>
          <w:tcPr>
            <w:tcW w:w="6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3820" w:type="dxa"/>
            <w:vAlign w:val="bottom"/>
            <w:tcBorders>
              <w:bottom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r>
      <w:tr>
        <w:trPr>
          <w:trHeight w:val="285"/>
        </w:trPr>
        <w:tc>
          <w:tcPr>
            <w:tcW w:w="302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21"/>
                <w:szCs w:val="21"/>
                <w:color w:val="auto"/>
              </w:rPr>
              <w:t>Target</w:t>
            </w:r>
          </w:p>
        </w:tc>
        <w:tc>
          <w:tcPr>
            <w:tcW w:w="5240" w:type="dxa"/>
            <w:vAlign w:val="bottom"/>
            <w:tcBorders>
              <w:right w:val="single" w:sz="8" w:color="auto"/>
            </w:tcBorders>
            <w:gridSpan w:val="3"/>
          </w:tcPr>
          <w:p>
            <w:pPr>
              <w:ind w:left="480"/>
              <w:spacing w:after="0"/>
              <w:rPr>
                <w:sz w:val="20"/>
                <w:szCs w:val="20"/>
                <w:color w:val="auto"/>
              </w:rPr>
            </w:pPr>
            <w:r>
              <w:rPr>
                <w:rFonts w:ascii="Times New Roman" w:cs="Times New Roman" w:eastAsia="Times New Roman" w:hAnsi="Times New Roman"/>
                <w:sz w:val="21"/>
                <w:szCs w:val="21"/>
                <w:color w:val="auto"/>
              </w:rPr>
              <w:t>$[●]</w:t>
            </w:r>
          </w:p>
        </w:tc>
        <w:tc>
          <w:tcPr>
            <w:tcW w:w="2660" w:type="dxa"/>
            <w:vAlign w:val="bottom"/>
            <w:gridSpan w:val="2"/>
          </w:tcPr>
          <w:p>
            <w:pPr>
              <w:jc w:val="center"/>
              <w:ind w:left="213"/>
              <w:spacing w:after="0"/>
              <w:rPr>
                <w:sz w:val="20"/>
                <w:szCs w:val="20"/>
                <w:color w:val="auto"/>
              </w:rPr>
            </w:pPr>
            <w:r>
              <w:rPr>
                <w:rFonts w:ascii="Times New Roman" w:cs="Times New Roman" w:eastAsia="Times New Roman" w:hAnsi="Times New Roman"/>
                <w:sz w:val="21"/>
                <w:szCs w:val="21"/>
                <w:color w:val="auto"/>
              </w:rPr>
              <w:t>[100%]</w:t>
            </w:r>
          </w:p>
        </w:tc>
        <w:tc>
          <w:tcPr>
            <w:tcW w:w="340" w:type="dxa"/>
            <w:vAlign w:val="bottom"/>
          </w:tcPr>
          <w:p>
            <w:pPr>
              <w:spacing w:after="0"/>
              <w:rPr>
                <w:sz w:val="24"/>
                <w:szCs w:val="24"/>
                <w:color w:val="auto"/>
              </w:rPr>
            </w:pPr>
          </w:p>
        </w:tc>
      </w:tr>
      <w:tr>
        <w:trPr>
          <w:trHeight w:val="244"/>
        </w:trPr>
        <w:tc>
          <w:tcPr>
            <w:tcW w:w="6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3820" w:type="dxa"/>
            <w:vAlign w:val="bottom"/>
            <w:tcBorders>
              <w:bottom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r>
      <w:tr>
        <w:trPr>
          <w:trHeight w:val="285"/>
        </w:trPr>
        <w:tc>
          <w:tcPr>
            <w:tcW w:w="302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21"/>
                <w:szCs w:val="21"/>
                <w:color w:val="auto"/>
              </w:rPr>
              <w:t>Maximum</w:t>
            </w:r>
          </w:p>
        </w:tc>
        <w:tc>
          <w:tcPr>
            <w:tcW w:w="5240" w:type="dxa"/>
            <w:vAlign w:val="bottom"/>
            <w:tcBorders>
              <w:right w:val="single" w:sz="8" w:color="auto"/>
            </w:tcBorders>
            <w:gridSpan w:val="3"/>
          </w:tcPr>
          <w:p>
            <w:pPr>
              <w:ind w:left="480"/>
              <w:spacing w:after="0"/>
              <w:rPr>
                <w:sz w:val="20"/>
                <w:szCs w:val="20"/>
                <w:color w:val="auto"/>
              </w:rPr>
            </w:pPr>
            <w:r>
              <w:rPr>
                <w:rFonts w:ascii="Times New Roman" w:cs="Times New Roman" w:eastAsia="Times New Roman" w:hAnsi="Times New Roman"/>
                <w:sz w:val="21"/>
                <w:szCs w:val="21"/>
                <w:color w:val="auto"/>
              </w:rPr>
              <w:t>$[●]</w:t>
            </w:r>
          </w:p>
        </w:tc>
        <w:tc>
          <w:tcPr>
            <w:tcW w:w="2660" w:type="dxa"/>
            <w:vAlign w:val="bottom"/>
            <w:gridSpan w:val="2"/>
          </w:tcPr>
          <w:p>
            <w:pPr>
              <w:jc w:val="center"/>
              <w:ind w:left="213"/>
              <w:spacing w:after="0"/>
              <w:rPr>
                <w:sz w:val="20"/>
                <w:szCs w:val="20"/>
                <w:color w:val="auto"/>
              </w:rPr>
            </w:pPr>
            <w:r>
              <w:rPr>
                <w:rFonts w:ascii="Times New Roman" w:cs="Times New Roman" w:eastAsia="Times New Roman" w:hAnsi="Times New Roman"/>
                <w:sz w:val="21"/>
                <w:szCs w:val="21"/>
                <w:color w:val="auto"/>
              </w:rPr>
              <w:t>[200%]</w:t>
            </w:r>
          </w:p>
        </w:tc>
        <w:tc>
          <w:tcPr>
            <w:tcW w:w="340" w:type="dxa"/>
            <w:vAlign w:val="bottom"/>
          </w:tcPr>
          <w:p>
            <w:pPr>
              <w:spacing w:after="0"/>
              <w:rPr>
                <w:sz w:val="24"/>
                <w:szCs w:val="24"/>
                <w:color w:val="auto"/>
              </w:rPr>
            </w:pPr>
          </w:p>
        </w:tc>
      </w:tr>
      <w:tr>
        <w:trPr>
          <w:trHeight w:val="244"/>
        </w:trPr>
        <w:tc>
          <w:tcPr>
            <w:tcW w:w="6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3820" w:type="dxa"/>
            <w:vAlign w:val="bottom"/>
            <w:tcBorders>
              <w:bottom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r>
    </w:tbl>
    <w:p>
      <w:pPr>
        <w:spacing w:after="0" w:line="200" w:lineRule="exact"/>
        <w:rPr>
          <w:sz w:val="20"/>
          <w:szCs w:val="20"/>
          <w:color w:val="auto"/>
        </w:rPr>
      </w:pPr>
    </w:p>
    <w:p>
      <w:pPr>
        <w:spacing w:after="0" w:line="334" w:lineRule="exact"/>
        <w:rPr>
          <w:sz w:val="20"/>
          <w:szCs w:val="20"/>
          <w:color w:val="auto"/>
        </w:rPr>
      </w:pPr>
    </w:p>
    <w:p>
      <w:pPr>
        <w:ind w:left="640" w:hanging="633"/>
        <w:spacing w:after="0"/>
        <w:tabs>
          <w:tab w:leader="none" w:pos="640" w:val="left"/>
        </w:tabs>
        <w:numPr>
          <w:ilvl w:val="0"/>
          <w:numId w:val="3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ROE Units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60"/>
          </w:cols>
          <w:pgMar w:left="320" w:top="1429" w:right="319" w:bottom="1440" w:gutter="0" w:footer="0" w:header="0"/>
        </w:sectPr>
      </w:pPr>
    </w:p>
    <w:bookmarkStart w:id="485" w:name="page486"/>
    <w:bookmarkEnd w:id="485"/>
    <w:p>
      <w:pPr>
        <w:ind w:right="100" w:firstLine="7"/>
        <w:spacing w:after="0" w:line="262" w:lineRule="auto"/>
        <w:tabs>
          <w:tab w:leader="none" w:pos="642" w:val="left"/>
        </w:tabs>
        <w:numPr>
          <w:ilvl w:val="0"/>
          <w:numId w:val="3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Vesting of ROE Units is contingent upon three-year average ROE for each year of the Performance Cycle. The ROE for each of the three years in the Performance Cycle is calculated by dividing each year’s adjusted net income of SWG by the average Utility equity balance. The average Utility equity balance is calculated by averaging the equity balance of the applicable previous five quarters. Three-year average ROE is calculated by averaging the calculated ROE for each year of the Performance Cycle. ROE shall be calculated based on adjusted Utility net income calculated under generally accepted accounting principles, adjusted to exclude the impacts of company owned life insurance as well as other adjustments as determined by the Committee.</w:t>
      </w:r>
    </w:p>
    <w:p>
      <w:pPr>
        <w:spacing w:after="0" w:line="170"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21"/>
          <w:szCs w:val="21"/>
          <w:color w:val="auto"/>
        </w:rPr>
        <w:t>Subject to adjustment based on TSR as described below, ROE Units will be earned as illustrated in the performance schedule below. Should the performance levels achieved be between the stated criteria below, the baseline percentage of ROE Units vesting will be determined by straight-line interpolation.</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ROE Unit Performance Schedule Fiscal Years 2025-2027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-149860</wp:posOffset>
            </wp:positionV>
            <wp:extent cx="7141845" cy="107823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83">
                      <a:extLst>
                        <a:ext uri="{28A0092B-C50C-407E-A947-70E740481C1C}"/>
                      </a:extLst>
                    </a:blip>
                    <a:srcRect/>
                    <a:stretch>
                      <a:fillRect/>
                    </a:stretch>
                  </pic:blipFill>
                  <pic:spPr bwMode="auto">
                    <a:xfrm>
                      <a:off x="0" y="0"/>
                      <a:ext cx="7141845" cy="107823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40" w:type="dxa"/>
            <w:vAlign w:val="bottom"/>
            <w:tcBorders>
              <w:top w:val="single" w:sz="8" w:color="auto"/>
              <w:right w:val="single" w:sz="8" w:color="auto"/>
            </w:tcBorders>
            <w:gridSpan w:val="3"/>
          </w:tcPr>
          <w:p>
            <w:pPr>
              <w:ind w:left="640"/>
              <w:spacing w:after="0" w:line="210" w:lineRule="exact"/>
              <w:rPr>
                <w:sz w:val="20"/>
                <w:szCs w:val="20"/>
                <w:color w:val="auto"/>
              </w:rPr>
            </w:pPr>
            <w:r>
              <w:rPr>
                <w:rFonts w:ascii="Times New Roman" w:cs="Times New Roman" w:eastAsia="Times New Roman" w:hAnsi="Times New Roman"/>
                <w:sz w:val="21"/>
                <w:szCs w:val="21"/>
                <w:b w:val="1"/>
                <w:bCs w:val="1"/>
                <w:color w:val="auto"/>
              </w:rPr>
              <w:t>Performance Level</w:t>
            </w:r>
          </w:p>
        </w:tc>
        <w:tc>
          <w:tcPr>
            <w:tcW w:w="3240" w:type="dxa"/>
            <w:vAlign w:val="bottom"/>
            <w:tcBorders>
              <w:top w:val="single" w:sz="8" w:color="auto"/>
              <w:right w:val="single" w:sz="8" w:color="auto"/>
            </w:tcBorders>
            <w:gridSpan w:val="3"/>
          </w:tcPr>
          <w:p>
            <w:pPr>
              <w:jc w:val="center"/>
              <w:ind w:right="40"/>
              <w:spacing w:after="0" w:line="210" w:lineRule="exact"/>
              <w:rPr>
                <w:sz w:val="20"/>
                <w:szCs w:val="20"/>
                <w:color w:val="auto"/>
              </w:rPr>
            </w:pPr>
            <w:r>
              <w:rPr>
                <w:rFonts w:ascii="Times New Roman" w:cs="Times New Roman" w:eastAsia="Times New Roman" w:hAnsi="Times New Roman"/>
                <w:sz w:val="21"/>
                <w:szCs w:val="21"/>
                <w:b w:val="1"/>
                <w:bCs w:val="1"/>
                <w:color w:val="auto"/>
                <w:w w:val="99"/>
              </w:rPr>
              <w:t>3-Year Average ROE</w:t>
            </w:r>
          </w:p>
        </w:tc>
        <w:tc>
          <w:tcPr>
            <w:tcW w:w="4980" w:type="dxa"/>
            <w:vAlign w:val="bottom"/>
            <w:tcBorders>
              <w:top w:val="single" w:sz="8" w:color="auto"/>
            </w:tcBorders>
            <w:gridSpan w:val="3"/>
          </w:tcPr>
          <w:p>
            <w:pPr>
              <w:ind w:left="1660"/>
              <w:spacing w:after="0" w:line="210" w:lineRule="exact"/>
              <w:rPr>
                <w:sz w:val="20"/>
                <w:szCs w:val="20"/>
                <w:color w:val="auto"/>
              </w:rPr>
            </w:pPr>
            <w:r>
              <w:rPr>
                <w:rFonts w:ascii="Times New Roman" w:cs="Times New Roman" w:eastAsia="Times New Roman" w:hAnsi="Times New Roman"/>
                <w:sz w:val="21"/>
                <w:szCs w:val="21"/>
                <w:b w:val="1"/>
                <w:bCs w:val="1"/>
                <w:color w:val="auto"/>
              </w:rPr>
              <w:t>Vested ROE Units</w:t>
            </w:r>
          </w:p>
        </w:tc>
      </w:tr>
      <w:tr>
        <w:trPr>
          <w:trHeight w:val="33"/>
        </w:trPr>
        <w:tc>
          <w:tcPr>
            <w:tcW w:w="640" w:type="dxa"/>
            <w:vAlign w:val="bottom"/>
            <w:tcBorders>
              <w:bottom w:val="single" w:sz="8" w:color="auto"/>
            </w:tcBorders>
          </w:tcPr>
          <w:p>
            <w:pPr>
              <w:spacing w:after="0"/>
              <w:rPr>
                <w:sz w:val="2"/>
                <w:szCs w:val="2"/>
                <w:color w:val="auto"/>
              </w:rPr>
            </w:pPr>
          </w:p>
        </w:tc>
        <w:tc>
          <w:tcPr>
            <w:tcW w:w="1740" w:type="dxa"/>
            <w:vAlign w:val="bottom"/>
            <w:tcBorders>
              <w:top w:val="single" w:sz="8" w:color="auto"/>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920" w:type="dxa"/>
            <w:vAlign w:val="bottom"/>
            <w:tcBorders>
              <w:top w:val="single" w:sz="8" w:color="auto"/>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640" w:type="dxa"/>
            <w:vAlign w:val="bottom"/>
            <w:tcBorders>
              <w:top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61"/>
        </w:trPr>
        <w:tc>
          <w:tcPr>
            <w:tcW w:w="3040" w:type="dxa"/>
            <w:vAlign w:val="bottom"/>
            <w:tcBorders>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1"/>
                <w:szCs w:val="21"/>
                <w:color w:val="auto"/>
              </w:rPr>
              <w:t>Below Threshold</w:t>
            </w:r>
          </w:p>
        </w:tc>
        <w:tc>
          <w:tcPr>
            <w:tcW w:w="640" w:type="dxa"/>
            <w:vAlign w:val="bottom"/>
            <w:tcBorders>
              <w:bottom w:val="single" w:sz="8" w:color="auto"/>
            </w:tcBorders>
          </w:tcPr>
          <w:p>
            <w:pPr>
              <w:spacing w:after="0"/>
              <w:rPr>
                <w:sz w:val="22"/>
                <w:szCs w:val="22"/>
                <w:color w:val="auto"/>
              </w:rPr>
            </w:pPr>
          </w:p>
        </w:tc>
        <w:tc>
          <w:tcPr>
            <w:tcW w:w="2600" w:type="dxa"/>
            <w:vAlign w:val="bottom"/>
            <w:tcBorders>
              <w:bottom w:val="single" w:sz="8" w:color="auto"/>
              <w:right w:val="single" w:sz="8" w:color="auto"/>
            </w:tcBorders>
            <w:gridSpan w:val="2"/>
          </w:tcPr>
          <w:p>
            <w:pPr>
              <w:jc w:val="center"/>
              <w:ind w:right="680"/>
              <w:spacing w:after="0"/>
              <w:rPr>
                <w:sz w:val="20"/>
                <w:szCs w:val="20"/>
                <w:color w:val="auto"/>
              </w:rPr>
            </w:pPr>
            <w:r>
              <w:rPr>
                <w:rFonts w:ascii="Times New Roman" w:cs="Times New Roman" w:eastAsia="Times New Roman" w:hAnsi="Times New Roman"/>
                <w:sz w:val="21"/>
                <w:szCs w:val="21"/>
                <w:color w:val="auto"/>
              </w:rPr>
              <w:t>Less than [●]%</w:t>
            </w:r>
          </w:p>
        </w:tc>
        <w:tc>
          <w:tcPr>
            <w:tcW w:w="166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21"/>
                <w:szCs w:val="21"/>
                <w:color w:val="auto"/>
              </w:rPr>
              <w:t>[0%]</w:t>
            </w:r>
          </w:p>
        </w:tc>
        <w:tc>
          <w:tcPr>
            <w:tcW w:w="16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spacing w:after="0"/>
              <w:rPr>
                <w:sz w:val="22"/>
                <w:szCs w:val="22"/>
                <w:color w:val="auto"/>
              </w:rPr>
            </w:pPr>
          </w:p>
        </w:tc>
      </w:tr>
      <w:tr>
        <w:trPr>
          <w:trHeight w:val="261"/>
        </w:trPr>
        <w:tc>
          <w:tcPr>
            <w:tcW w:w="3040" w:type="dxa"/>
            <w:vAlign w:val="bottom"/>
            <w:tcBorders>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1"/>
                <w:szCs w:val="21"/>
                <w:color w:val="auto"/>
              </w:rPr>
              <w:t>Threshold</w:t>
            </w:r>
          </w:p>
        </w:tc>
        <w:tc>
          <w:tcPr>
            <w:tcW w:w="640" w:type="dxa"/>
            <w:vAlign w:val="bottom"/>
            <w:tcBorders>
              <w:bottom w:val="single" w:sz="8" w:color="auto"/>
            </w:tcBorders>
          </w:tcPr>
          <w:p>
            <w:pPr>
              <w:spacing w:after="0"/>
              <w:rPr>
                <w:sz w:val="22"/>
                <w:szCs w:val="22"/>
                <w:color w:val="auto"/>
              </w:rPr>
            </w:pPr>
          </w:p>
        </w:tc>
        <w:tc>
          <w:tcPr>
            <w:tcW w:w="2600" w:type="dxa"/>
            <w:vAlign w:val="bottom"/>
            <w:tcBorders>
              <w:bottom w:val="single" w:sz="8" w:color="auto"/>
              <w:right w:val="single" w:sz="8" w:color="auto"/>
            </w:tcBorders>
            <w:gridSpan w:val="2"/>
          </w:tcPr>
          <w:p>
            <w:pPr>
              <w:jc w:val="center"/>
              <w:ind w:right="660"/>
              <w:spacing w:after="0"/>
              <w:rPr>
                <w:sz w:val="20"/>
                <w:szCs w:val="20"/>
                <w:color w:val="auto"/>
              </w:rPr>
            </w:pPr>
            <w:r>
              <w:rPr>
                <w:rFonts w:ascii="Times New Roman" w:cs="Times New Roman" w:eastAsia="Times New Roman" w:hAnsi="Times New Roman"/>
                <w:sz w:val="21"/>
                <w:szCs w:val="21"/>
                <w:color w:val="auto"/>
              </w:rPr>
              <w:t>[●]%</w:t>
            </w:r>
          </w:p>
        </w:tc>
        <w:tc>
          <w:tcPr>
            <w:tcW w:w="3300" w:type="dxa"/>
            <w:vAlign w:val="bottom"/>
            <w:tcBorders>
              <w:bottom w:val="single" w:sz="8" w:color="auto"/>
            </w:tcBorders>
            <w:gridSpan w:val="2"/>
          </w:tcPr>
          <w:p>
            <w:pPr>
              <w:ind w:left="1180"/>
              <w:spacing w:after="0"/>
              <w:rPr>
                <w:sz w:val="20"/>
                <w:szCs w:val="20"/>
                <w:color w:val="auto"/>
              </w:rPr>
            </w:pPr>
            <w:r>
              <w:rPr>
                <w:rFonts w:ascii="Times New Roman" w:cs="Times New Roman" w:eastAsia="Times New Roman" w:hAnsi="Times New Roman"/>
                <w:sz w:val="21"/>
                <w:szCs w:val="21"/>
                <w:color w:val="auto"/>
              </w:rPr>
              <w:t>[50%]</w:t>
            </w:r>
          </w:p>
        </w:tc>
        <w:tc>
          <w:tcPr>
            <w:tcW w:w="1680" w:type="dxa"/>
            <w:vAlign w:val="bottom"/>
            <w:tcBorders>
              <w:bottom w:val="single" w:sz="8" w:color="auto"/>
            </w:tcBorders>
          </w:tcPr>
          <w:p>
            <w:pPr>
              <w:spacing w:after="0"/>
              <w:rPr>
                <w:sz w:val="22"/>
                <w:szCs w:val="22"/>
                <w:color w:val="auto"/>
              </w:rPr>
            </w:pPr>
          </w:p>
        </w:tc>
      </w:tr>
      <w:tr>
        <w:trPr>
          <w:trHeight w:val="261"/>
        </w:trPr>
        <w:tc>
          <w:tcPr>
            <w:tcW w:w="3040" w:type="dxa"/>
            <w:vAlign w:val="bottom"/>
            <w:tcBorders>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1"/>
                <w:szCs w:val="21"/>
                <w:color w:val="auto"/>
              </w:rPr>
              <w:t>Target</w:t>
            </w:r>
          </w:p>
        </w:tc>
        <w:tc>
          <w:tcPr>
            <w:tcW w:w="640" w:type="dxa"/>
            <w:vAlign w:val="bottom"/>
            <w:tcBorders>
              <w:bottom w:val="single" w:sz="8" w:color="auto"/>
            </w:tcBorders>
          </w:tcPr>
          <w:p>
            <w:pPr>
              <w:spacing w:after="0"/>
              <w:rPr>
                <w:sz w:val="22"/>
                <w:szCs w:val="22"/>
                <w:color w:val="auto"/>
              </w:rPr>
            </w:pPr>
          </w:p>
        </w:tc>
        <w:tc>
          <w:tcPr>
            <w:tcW w:w="2600" w:type="dxa"/>
            <w:vAlign w:val="bottom"/>
            <w:tcBorders>
              <w:bottom w:val="single" w:sz="8" w:color="auto"/>
              <w:right w:val="single" w:sz="8" w:color="auto"/>
            </w:tcBorders>
            <w:gridSpan w:val="2"/>
          </w:tcPr>
          <w:p>
            <w:pPr>
              <w:jc w:val="center"/>
              <w:ind w:right="660"/>
              <w:spacing w:after="0"/>
              <w:rPr>
                <w:sz w:val="20"/>
                <w:szCs w:val="20"/>
                <w:color w:val="auto"/>
              </w:rPr>
            </w:pPr>
            <w:r>
              <w:rPr>
                <w:rFonts w:ascii="Times New Roman" w:cs="Times New Roman" w:eastAsia="Times New Roman" w:hAnsi="Times New Roman"/>
                <w:sz w:val="21"/>
                <w:szCs w:val="21"/>
                <w:color w:val="auto"/>
              </w:rPr>
              <w:t>[●]%</w:t>
            </w:r>
          </w:p>
        </w:tc>
        <w:tc>
          <w:tcPr>
            <w:tcW w:w="3300" w:type="dxa"/>
            <w:vAlign w:val="bottom"/>
            <w:tcBorders>
              <w:bottom w:val="single" w:sz="8" w:color="auto"/>
            </w:tcBorders>
            <w:gridSpan w:val="2"/>
          </w:tcPr>
          <w:p>
            <w:pPr>
              <w:ind w:left="1180"/>
              <w:spacing w:after="0"/>
              <w:rPr>
                <w:sz w:val="20"/>
                <w:szCs w:val="20"/>
                <w:color w:val="auto"/>
              </w:rPr>
            </w:pPr>
            <w:r>
              <w:rPr>
                <w:rFonts w:ascii="Times New Roman" w:cs="Times New Roman" w:eastAsia="Times New Roman" w:hAnsi="Times New Roman"/>
                <w:sz w:val="21"/>
                <w:szCs w:val="21"/>
                <w:color w:val="auto"/>
              </w:rPr>
              <w:t>[100%]</w:t>
            </w:r>
          </w:p>
        </w:tc>
        <w:tc>
          <w:tcPr>
            <w:tcW w:w="1680" w:type="dxa"/>
            <w:vAlign w:val="bottom"/>
            <w:tcBorders>
              <w:bottom w:val="single" w:sz="8" w:color="auto"/>
            </w:tcBorders>
          </w:tcPr>
          <w:p>
            <w:pPr>
              <w:spacing w:after="0"/>
              <w:rPr>
                <w:sz w:val="22"/>
                <w:szCs w:val="22"/>
                <w:color w:val="auto"/>
              </w:rPr>
            </w:pPr>
          </w:p>
        </w:tc>
      </w:tr>
      <w:tr>
        <w:trPr>
          <w:trHeight w:val="261"/>
        </w:trPr>
        <w:tc>
          <w:tcPr>
            <w:tcW w:w="3040" w:type="dxa"/>
            <w:vAlign w:val="bottom"/>
            <w:tcBorders>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1"/>
                <w:szCs w:val="21"/>
                <w:color w:val="auto"/>
              </w:rPr>
              <w:t>Maximum</w:t>
            </w:r>
          </w:p>
        </w:tc>
        <w:tc>
          <w:tcPr>
            <w:tcW w:w="640" w:type="dxa"/>
            <w:vAlign w:val="bottom"/>
            <w:tcBorders>
              <w:bottom w:val="single" w:sz="8" w:color="auto"/>
            </w:tcBorders>
          </w:tcPr>
          <w:p>
            <w:pPr>
              <w:spacing w:after="0"/>
              <w:rPr>
                <w:sz w:val="22"/>
                <w:szCs w:val="22"/>
                <w:color w:val="auto"/>
              </w:rPr>
            </w:pPr>
          </w:p>
        </w:tc>
        <w:tc>
          <w:tcPr>
            <w:tcW w:w="2600" w:type="dxa"/>
            <w:vAlign w:val="bottom"/>
            <w:tcBorders>
              <w:bottom w:val="single" w:sz="8" w:color="auto"/>
              <w:right w:val="single" w:sz="8" w:color="auto"/>
            </w:tcBorders>
            <w:gridSpan w:val="2"/>
          </w:tcPr>
          <w:p>
            <w:pPr>
              <w:jc w:val="center"/>
              <w:ind w:right="660"/>
              <w:spacing w:after="0"/>
              <w:rPr>
                <w:sz w:val="20"/>
                <w:szCs w:val="20"/>
                <w:color w:val="auto"/>
              </w:rPr>
            </w:pPr>
            <w:r>
              <w:rPr>
                <w:rFonts w:ascii="Times New Roman" w:cs="Times New Roman" w:eastAsia="Times New Roman" w:hAnsi="Times New Roman"/>
                <w:sz w:val="21"/>
                <w:szCs w:val="21"/>
                <w:color w:val="auto"/>
              </w:rPr>
              <w:t>[●]%</w:t>
            </w:r>
          </w:p>
        </w:tc>
        <w:tc>
          <w:tcPr>
            <w:tcW w:w="3300" w:type="dxa"/>
            <w:vAlign w:val="bottom"/>
            <w:tcBorders>
              <w:bottom w:val="single" w:sz="8" w:color="auto"/>
            </w:tcBorders>
            <w:gridSpan w:val="2"/>
          </w:tcPr>
          <w:p>
            <w:pPr>
              <w:ind w:left="1180"/>
              <w:spacing w:after="0"/>
              <w:rPr>
                <w:sz w:val="20"/>
                <w:szCs w:val="20"/>
                <w:color w:val="auto"/>
              </w:rPr>
            </w:pPr>
            <w:r>
              <w:rPr>
                <w:rFonts w:ascii="Times New Roman" w:cs="Times New Roman" w:eastAsia="Times New Roman" w:hAnsi="Times New Roman"/>
                <w:sz w:val="21"/>
                <w:szCs w:val="21"/>
                <w:color w:val="auto"/>
              </w:rPr>
              <w:t>[200%]</w:t>
            </w:r>
          </w:p>
        </w:tc>
        <w:tc>
          <w:tcPr>
            <w:tcW w:w="1680" w:type="dxa"/>
            <w:vAlign w:val="bottom"/>
            <w:tcBorders>
              <w:bottom w:val="single" w:sz="8" w:color="auto"/>
            </w:tcBorders>
          </w:tcPr>
          <w:p>
            <w:pPr>
              <w:spacing w:after="0"/>
              <w:rPr>
                <w:sz w:val="22"/>
                <w:szCs w:val="22"/>
                <w:color w:val="auto"/>
              </w:rPr>
            </w:pPr>
          </w:p>
        </w:tc>
      </w:tr>
    </w:tbl>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TSR Modifier</w:t>
      </w:r>
    </w:p>
    <w:p>
      <w:pPr>
        <w:spacing w:after="0" w:line="267"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21"/>
          <w:szCs w:val="21"/>
          <w:color w:val="auto"/>
        </w:rPr>
        <w:t>The vesting of Utility EPS Units, Centuri EPS Units and ROE Units is subject to further adjustment based upon the achievement of the following TSR performance goals. For example, if the vesting percentage of ROE Units determined based on ROE for the Performance Cycle is 150% and TSR for the Performance Cycle is in the top 75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Percentile, the percentage of ROE Units vesting would be adjusted upward by 25% such that 187.5% of the target number of ROE Units would 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92075</wp:posOffset>
            </wp:positionV>
            <wp:extent cx="3617595" cy="171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84">
                      <a:extLst>
                        <a:ext uri="{28A0092B-C50C-407E-A947-70E740481C1C}"/>
                      </a:extLst>
                    </a:blip>
                    <a:srcRect/>
                    <a:stretch>
                      <a:fillRect/>
                    </a:stretch>
                  </pic:blipFill>
                  <pic:spPr bwMode="auto">
                    <a:xfrm>
                      <a:off x="0" y="0"/>
                      <a:ext cx="3617595" cy="17145"/>
                    </a:xfrm>
                    <a:prstGeom prst="rect">
                      <a:avLst/>
                    </a:prstGeom>
                    <a:noFill/>
                  </pic:spPr>
                </pic:pic>
              </a:graphicData>
            </a:graphic>
          </wp:anchor>
        </w:drawing>
      </w:r>
    </w:p>
    <w:p>
      <w:pPr>
        <w:spacing w:after="0" w:line="160" w:lineRule="exact"/>
        <w:rPr>
          <w:sz w:val="20"/>
          <w:szCs w:val="20"/>
          <w:color w:val="auto"/>
        </w:rPr>
      </w:pPr>
    </w:p>
    <w:tbl>
      <w:tblPr>
        <w:tblLayout w:type="fixed"/>
        <w:tblInd w:w="1700" w:type="dxa"/>
        <w:tblCellMar>
          <w:top w:w="0" w:type="dxa"/>
          <w:left w:w="0" w:type="dxa"/>
          <w:bottom w:w="0" w:type="dxa"/>
          <w:right w:w="0" w:type="dxa"/>
        </w:tblCellMar>
      </w:tblPr>
      <w:tr>
        <w:trPr>
          <w:trHeight w:val="267"/>
        </w:trPr>
        <w:tc>
          <w:tcPr>
            <w:tcW w:w="288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TSR Performance Relative to</w:t>
            </w:r>
          </w:p>
        </w:tc>
        <w:tc>
          <w:tcPr>
            <w:tcW w:w="2800" w:type="dxa"/>
            <w:vAlign w:val="bottom"/>
          </w:tcPr>
          <w:p>
            <w:pPr>
              <w:spacing w:after="0"/>
              <w:rPr>
                <w:sz w:val="23"/>
                <w:szCs w:val="23"/>
                <w:color w:val="auto"/>
              </w:rPr>
            </w:pPr>
          </w:p>
        </w:tc>
      </w:tr>
      <w:tr>
        <w:trPr>
          <w:trHeight w:val="283"/>
        </w:trPr>
        <w:tc>
          <w:tcPr>
            <w:tcW w:w="288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Peer Index</w:t>
            </w:r>
          </w:p>
        </w:tc>
        <w:tc>
          <w:tcPr>
            <w:tcW w:w="2800" w:type="dxa"/>
            <w:vAlign w:val="bottom"/>
          </w:tcPr>
          <w:p>
            <w:pPr>
              <w:ind w:left="180"/>
              <w:spacing w:after="0"/>
              <w:rPr>
                <w:sz w:val="20"/>
                <w:szCs w:val="20"/>
                <w:color w:val="auto"/>
              </w:rPr>
            </w:pPr>
            <w:r>
              <w:rPr>
                <w:rFonts w:ascii="Times New Roman" w:cs="Times New Roman" w:eastAsia="Times New Roman" w:hAnsi="Times New Roman"/>
                <w:sz w:val="21"/>
                <w:szCs w:val="21"/>
                <w:b w:val="1"/>
                <w:bCs w:val="1"/>
                <w:color w:val="auto"/>
              </w:rPr>
              <w:t>Payout (% Adjustment)</w:t>
            </w:r>
          </w:p>
        </w:tc>
      </w:tr>
      <w:tr>
        <w:trPr>
          <w:trHeight w:val="177"/>
        </w:trPr>
        <w:tc>
          <w:tcPr>
            <w:tcW w:w="288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tcPr>
          <w:p>
            <w:pPr>
              <w:spacing w:after="0"/>
              <w:rPr>
                <w:sz w:val="15"/>
                <w:szCs w:val="15"/>
                <w:color w:val="auto"/>
              </w:rPr>
            </w:pPr>
          </w:p>
        </w:tc>
      </w:tr>
      <w:tr>
        <w:trPr>
          <w:trHeight w:val="382"/>
        </w:trPr>
        <w:tc>
          <w:tcPr>
            <w:tcW w:w="2880" w:type="dxa"/>
            <w:vAlign w:val="bottom"/>
          </w:tcPr>
          <w:p>
            <w:pPr>
              <w:spacing w:after="0"/>
              <w:rPr>
                <w:sz w:val="20"/>
                <w:szCs w:val="20"/>
                <w:color w:val="auto"/>
              </w:rPr>
            </w:pPr>
            <w:r>
              <w:rPr>
                <w:rFonts w:ascii="Times New Roman" w:cs="Times New Roman" w:eastAsia="Times New Roman" w:hAnsi="Times New Roman"/>
                <w:sz w:val="21"/>
                <w:szCs w:val="21"/>
                <w:color w:val="auto"/>
              </w:rPr>
              <w:t>75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Percentile or Above</w:t>
            </w:r>
          </w:p>
        </w:tc>
        <w:tc>
          <w:tcPr>
            <w:tcW w:w="280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25% upward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60"/>
          </w:cols>
          <w:pgMar w:left="320" w:top="1409" w:right="319" w:bottom="1440" w:gutter="0" w:footer="0" w:header="0"/>
        </w:sectPr>
      </w:pPr>
    </w:p>
    <w:bookmarkStart w:id="486" w:name="page487"/>
    <w:bookmarkEnd w:id="486"/>
    <w:p>
      <w:pPr>
        <w:spacing w:after="0" w:line="17" w:lineRule="exact"/>
        <w:rPr>
          <w:sz w:val="20"/>
          <w:szCs w:val="20"/>
          <w:color w:val="auto"/>
        </w:rPr>
      </w:pPr>
    </w:p>
    <w:p>
      <w:pPr>
        <w:ind w:left="1700"/>
        <w:spacing w:after="0" w:line="308" w:lineRule="auto"/>
        <w:rPr>
          <w:sz w:val="20"/>
          <w:szCs w:val="20"/>
          <w:color w:val="auto"/>
        </w:rPr>
      </w:pPr>
      <w:r>
        <w:rPr>
          <w:rFonts w:ascii="Times New Roman" w:cs="Times New Roman" w:eastAsia="Times New Roman" w:hAnsi="Times New Roman"/>
          <w:sz w:val="21"/>
          <w:szCs w:val="21"/>
          <w:color w:val="auto"/>
        </w:rPr>
        <w:t>Below 75</w:t>
      </w:r>
      <w:r>
        <w:rPr>
          <w:rFonts w:ascii="Times New Roman" w:cs="Times New Roman" w:eastAsia="Times New Roman" w:hAnsi="Times New Roman"/>
          <w:sz w:val="13"/>
          <w:szCs w:val="13"/>
          <w:color w:val="auto"/>
        </w:rPr>
        <w:t>th</w:t>
      </w:r>
      <w:r>
        <w:rPr>
          <w:rFonts w:ascii="Times New Roman" w:cs="Times New Roman" w:eastAsia="Times New Roman" w:hAnsi="Times New Roman"/>
          <w:sz w:val="21"/>
          <w:szCs w:val="21"/>
          <w:color w:val="auto"/>
        </w:rPr>
        <w:t xml:space="preserve"> Percentile and above 25% Percentile</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 (i.e., no adjustment)</w:t>
      </w:r>
    </w:p>
    <w:p>
      <w:pPr>
        <w:spacing w:after="0" w:line="488" w:lineRule="exact"/>
        <w:rPr>
          <w:sz w:val="20"/>
          <w:szCs w:val="20"/>
          <w:color w:val="auto"/>
        </w:rPr>
      </w:pPr>
    </w:p>
    <w:p>
      <w:pPr>
        <w:sectPr>
          <w:pgSz w:w="11900" w:h="16838" w:orient="portrait"/>
          <w:cols w:equalWidth="0" w:num="2">
            <w:col w:w="4480" w:space="280"/>
            <w:col w:w="6360"/>
          </w:cols>
          <w:pgMar w:left="320" w:top="1440" w:right="459" w:bottom="1440" w:gutter="0" w:footer="0" w:header="0"/>
        </w:sectPr>
      </w:pPr>
    </w:p>
    <w:p>
      <w:pPr>
        <w:ind w:left="1700"/>
        <w:spacing w:after="0"/>
        <w:rPr>
          <w:sz w:val="20"/>
          <w:szCs w:val="20"/>
          <w:color w:val="auto"/>
        </w:rPr>
      </w:pPr>
      <w:r>
        <w:rPr>
          <w:rFonts w:ascii="Times New Roman" w:cs="Times New Roman" w:eastAsia="Times New Roman" w:hAnsi="Times New Roman"/>
          <w:sz w:val="21"/>
          <w:szCs w:val="21"/>
          <w:color w:val="auto"/>
        </w:rPr>
        <w:t>25</w:t>
      </w:r>
      <w:r>
        <w:rPr>
          <w:rFonts w:ascii="Times New Roman" w:cs="Times New Roman" w:eastAsia="Times New Roman" w:hAnsi="Times New Roman"/>
          <w:sz w:val="13"/>
          <w:szCs w:val="13"/>
          <w:color w:val="auto"/>
        </w:rPr>
        <w:t>th</w:t>
      </w:r>
      <w:r>
        <w:rPr>
          <w:rFonts w:ascii="Times New Roman" w:cs="Times New Roman" w:eastAsia="Times New Roman" w:hAnsi="Times New Roman"/>
          <w:sz w:val="21"/>
          <w:szCs w:val="21"/>
          <w:color w:val="auto"/>
        </w:rPr>
        <w:t xml:space="preserve"> Percentile or Below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25% downward</w:t>
      </w:r>
    </w:p>
    <w:p>
      <w:pPr>
        <w:spacing w:after="0" w:line="200" w:lineRule="exact"/>
        <w:rPr>
          <w:sz w:val="20"/>
          <w:szCs w:val="20"/>
          <w:color w:val="auto"/>
        </w:rPr>
      </w:pPr>
    </w:p>
    <w:p>
      <w:pPr>
        <w:sectPr>
          <w:pgSz w:w="11900" w:h="16838" w:orient="portrait"/>
          <w:cols w:equalWidth="0" w:num="2">
            <w:col w:w="4040" w:space="720"/>
            <w:col w:w="6360"/>
          </w:cols>
          <w:pgMar w:left="320" w:top="1440" w:right="459" w:bottom="1440" w:gutter="0" w:footer="0" w:header="0"/>
          <w:type w:val="continuous"/>
        </w:sectPr>
      </w:pPr>
    </w:p>
    <w:p>
      <w:pPr>
        <w:spacing w:after="0" w:line="361"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21"/>
          <w:szCs w:val="21"/>
          <w:color w:val="auto"/>
        </w:rPr>
        <w:t>If Utility EPS, Centuri EPS or ROE are above threshold, in the event of a downward adjustment based on TSR, the lowest percentage of Utility EPS Units, Centuri EPS Units or ROE Units (as applicable) that vest will be 50% of the target number of Utility EPS Units, Centuri EPS Units or ROE Units. If TSR is negative, the following below-maximum caps will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76200</wp:posOffset>
            </wp:positionV>
            <wp:extent cx="3617595" cy="171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85">
                      <a:extLst>
                        <a:ext uri="{28A0092B-C50C-407E-A947-70E740481C1C}"/>
                      </a:extLst>
                    </a:blip>
                    <a:srcRect/>
                    <a:stretch>
                      <a:fillRect/>
                    </a:stretch>
                  </pic:blipFill>
                  <pic:spPr bwMode="auto">
                    <a:xfrm>
                      <a:off x="0" y="0"/>
                      <a:ext cx="3617595" cy="17145"/>
                    </a:xfrm>
                    <a:prstGeom prst="rect">
                      <a:avLst/>
                    </a:prstGeom>
                    <a:noFill/>
                  </pic:spPr>
                </pic:pic>
              </a:graphicData>
            </a:graphic>
          </wp:anchor>
        </w:drawing>
      </w:r>
    </w:p>
    <w:p>
      <w:pPr>
        <w:spacing w:after="0" w:line="135" w:lineRule="exact"/>
        <w:rPr>
          <w:sz w:val="20"/>
          <w:szCs w:val="20"/>
          <w:color w:val="auto"/>
        </w:rPr>
      </w:pPr>
    </w:p>
    <w:tbl>
      <w:tblPr>
        <w:tblLayout w:type="fixed"/>
        <w:tblInd w:w="1700" w:type="dxa"/>
        <w:tblCellMar>
          <w:top w:w="0" w:type="dxa"/>
          <w:left w:w="0" w:type="dxa"/>
          <w:bottom w:w="0" w:type="dxa"/>
          <w:right w:w="0" w:type="dxa"/>
        </w:tblCellMar>
      </w:tblPr>
      <w:tr>
        <w:trPr>
          <w:trHeight w:val="267"/>
        </w:trPr>
        <w:tc>
          <w:tcPr>
            <w:tcW w:w="292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TSR Performance Relative to</w:t>
            </w:r>
          </w:p>
        </w:tc>
        <w:tc>
          <w:tcPr>
            <w:tcW w:w="2760" w:type="dxa"/>
            <w:vAlign w:val="bottom"/>
          </w:tcPr>
          <w:p>
            <w:pPr>
              <w:ind w:left="140"/>
              <w:spacing w:after="0"/>
              <w:rPr>
                <w:sz w:val="20"/>
                <w:szCs w:val="20"/>
                <w:color w:val="auto"/>
              </w:rPr>
            </w:pPr>
            <w:r>
              <w:rPr>
                <w:rFonts w:ascii="Times New Roman" w:cs="Times New Roman" w:eastAsia="Times New Roman" w:hAnsi="Times New Roman"/>
                <w:sz w:val="21"/>
                <w:szCs w:val="21"/>
                <w:b w:val="1"/>
                <w:bCs w:val="1"/>
                <w:color w:val="auto"/>
              </w:rPr>
              <w:t>Below-Maximum Cap when</w:t>
            </w:r>
          </w:p>
        </w:tc>
      </w:tr>
      <w:tr>
        <w:trPr>
          <w:trHeight w:val="283"/>
        </w:trPr>
        <w:tc>
          <w:tcPr>
            <w:tcW w:w="292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Peer Index</w:t>
            </w:r>
          </w:p>
        </w:tc>
        <w:tc>
          <w:tcPr>
            <w:tcW w:w="2760" w:type="dxa"/>
            <w:vAlign w:val="bottom"/>
          </w:tcPr>
          <w:p>
            <w:pPr>
              <w:ind w:left="140"/>
              <w:spacing w:after="0"/>
              <w:rPr>
                <w:sz w:val="20"/>
                <w:szCs w:val="20"/>
                <w:color w:val="auto"/>
              </w:rPr>
            </w:pPr>
            <w:r>
              <w:rPr>
                <w:rFonts w:ascii="Times New Roman" w:cs="Times New Roman" w:eastAsia="Times New Roman" w:hAnsi="Times New Roman"/>
                <w:sz w:val="21"/>
                <w:szCs w:val="21"/>
                <w:b w:val="1"/>
                <w:bCs w:val="1"/>
                <w:color w:val="auto"/>
              </w:rPr>
              <w:t>TSR is negative</w:t>
            </w:r>
          </w:p>
        </w:tc>
      </w:tr>
      <w:tr>
        <w:trPr>
          <w:trHeight w:val="177"/>
        </w:trPr>
        <w:tc>
          <w:tcPr>
            <w:tcW w:w="292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r>
      <w:tr>
        <w:trPr>
          <w:trHeight w:val="382"/>
        </w:trPr>
        <w:tc>
          <w:tcPr>
            <w:tcW w:w="2920" w:type="dxa"/>
            <w:vAlign w:val="bottom"/>
          </w:tcPr>
          <w:p>
            <w:pPr>
              <w:spacing w:after="0"/>
              <w:rPr>
                <w:sz w:val="20"/>
                <w:szCs w:val="20"/>
                <w:color w:val="auto"/>
              </w:rPr>
            </w:pPr>
            <w:r>
              <w:rPr>
                <w:rFonts w:ascii="Times New Roman" w:cs="Times New Roman" w:eastAsia="Times New Roman" w:hAnsi="Times New Roman"/>
                <w:sz w:val="21"/>
                <w:szCs w:val="21"/>
                <w:color w:val="auto"/>
              </w:rPr>
              <w:t>75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Percentile or Above</w:t>
            </w:r>
          </w:p>
        </w:tc>
        <w:tc>
          <w:tcPr>
            <w:tcW w:w="276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185% of target</w:t>
            </w:r>
          </w:p>
        </w:tc>
      </w:tr>
      <w:tr>
        <w:trPr>
          <w:trHeight w:val="360"/>
        </w:trPr>
        <w:tc>
          <w:tcPr>
            <w:tcW w:w="2920" w:type="dxa"/>
            <w:vAlign w:val="bottom"/>
          </w:tcPr>
          <w:p>
            <w:pPr>
              <w:spacing w:after="0"/>
              <w:rPr>
                <w:sz w:val="20"/>
                <w:szCs w:val="20"/>
                <w:color w:val="auto"/>
              </w:rPr>
            </w:pPr>
            <w:r>
              <w:rPr>
                <w:rFonts w:ascii="Times New Roman" w:cs="Times New Roman" w:eastAsia="Times New Roman" w:hAnsi="Times New Roman"/>
                <w:sz w:val="21"/>
                <w:szCs w:val="21"/>
                <w:color w:val="auto"/>
              </w:rPr>
              <w:t>Below 75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Percentile and above</w:t>
            </w:r>
          </w:p>
        </w:tc>
        <w:tc>
          <w:tcPr>
            <w:tcW w:w="276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115% of target</w:t>
            </w:r>
          </w:p>
        </w:tc>
      </w:tr>
      <w:tr>
        <w:trPr>
          <w:trHeight w:val="376"/>
        </w:trPr>
        <w:tc>
          <w:tcPr>
            <w:tcW w:w="2920" w:type="dxa"/>
            <w:vAlign w:val="bottom"/>
          </w:tcPr>
          <w:p>
            <w:pPr>
              <w:spacing w:after="0"/>
              <w:rPr>
                <w:sz w:val="20"/>
                <w:szCs w:val="20"/>
                <w:color w:val="auto"/>
              </w:rPr>
            </w:pPr>
            <w:r>
              <w:rPr>
                <w:rFonts w:ascii="Times New Roman" w:cs="Times New Roman" w:eastAsia="Times New Roman" w:hAnsi="Times New Roman"/>
                <w:sz w:val="21"/>
                <w:szCs w:val="21"/>
                <w:color w:val="auto"/>
              </w:rPr>
              <w:t>50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Percentile</w:t>
            </w:r>
          </w:p>
        </w:tc>
        <w:tc>
          <w:tcPr>
            <w:tcW w:w="2760" w:type="dxa"/>
            <w:vAlign w:val="bottom"/>
          </w:tcPr>
          <w:p>
            <w:pPr>
              <w:spacing w:after="0"/>
              <w:rPr>
                <w:sz w:val="24"/>
                <w:szCs w:val="24"/>
                <w:color w:val="auto"/>
              </w:rPr>
            </w:pPr>
          </w:p>
        </w:tc>
      </w:tr>
      <w:tr>
        <w:trPr>
          <w:trHeight w:val="468"/>
        </w:trPr>
        <w:tc>
          <w:tcPr>
            <w:tcW w:w="2920" w:type="dxa"/>
            <w:vAlign w:val="bottom"/>
          </w:tcPr>
          <w:p>
            <w:pPr>
              <w:spacing w:after="0"/>
              <w:rPr>
                <w:sz w:val="20"/>
                <w:szCs w:val="20"/>
                <w:color w:val="auto"/>
              </w:rPr>
            </w:pPr>
            <w:r>
              <w:rPr>
                <w:rFonts w:ascii="Times New Roman" w:cs="Times New Roman" w:eastAsia="Times New Roman" w:hAnsi="Times New Roman"/>
                <w:sz w:val="21"/>
                <w:szCs w:val="21"/>
                <w:color w:val="auto"/>
              </w:rPr>
              <w:t>50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Percentile or Below</w:t>
            </w:r>
          </w:p>
        </w:tc>
        <w:tc>
          <w:tcPr>
            <w:tcW w:w="276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100% of target</w:t>
            </w:r>
          </w:p>
        </w:tc>
      </w:tr>
    </w:tbl>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TSR shall be calculated as follows: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TSR = (Change in Stock Price + Dividends paid) / Beginning Stock Price</w:t>
      </w:r>
    </w:p>
    <w:p>
      <w:pPr>
        <w:spacing w:after="0" w:line="173"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21"/>
          <w:szCs w:val="21"/>
          <w:color w:val="auto"/>
        </w:rPr>
        <w:t>“Beginning Stock Price” shall mean the closing price on the applicable stock exchange of one share of Common Stock on the last trading day immediately prior to the first day of the Performance Cycle. “Ending Stock Price” shall mean the closing price on the applicable stock exchange of one share of Common Stock for the last trading day of the Performance Cycle. “Change in Stock Price” shall mean the difference between the Beginning Stock Price and the Ending Stock Price; and Dividends Paid shall mean the total of all dividends paid on one share of stock during the Performance Cycle.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Following the TSR calculation, the Company’s Percentile Rank shall be determined as follows:</w:t>
      </w:r>
    </w:p>
    <w:p>
      <w:pPr>
        <w:spacing w:after="0" w:line="16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21"/>
          <w:szCs w:val="21"/>
          <w:color w:val="auto"/>
        </w:rPr>
        <w:t>Percentile Rank shall be determined by listing from highest TSR to lowest TSR of each company in the Peer Index (excluding the Company). The top company would have a one hundred percentile (100%) rank and the bottom company would have a zero percentile (0.0%) rank. Each company in between would be one hundred divided by n minus one (100/(n-1)) above the company below it, where “n” is the total number of companies in the Peer Index. The Company percentile rank would then be interpolated based on the Company TSR. The companies in the Peer Index shall remain constant throughout the entire Performance Cycle.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Peer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120"/>
          </w:cols>
          <w:pgMar w:left="320" w:top="1440" w:right="459" w:bottom="1440" w:gutter="0" w:footer="0" w:header="0"/>
          <w:type w:val="continuous"/>
        </w:sectPr>
      </w:pPr>
    </w:p>
    <w:bookmarkStart w:id="487" w:name="page488"/>
    <w:bookmarkEnd w:id="487"/>
    <w:p>
      <w:pPr>
        <w:ind w:left="140" w:hanging="133"/>
        <w:spacing w:after="0"/>
        <w:tabs>
          <w:tab w:leader="none" w:pos="140" w:val="left"/>
        </w:tabs>
        <w:numPr>
          <w:ilvl w:val="0"/>
          <w:numId w:val="3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Alliant Energy Corporation</w:t>
      </w:r>
    </w:p>
    <w:p>
      <w:pPr>
        <w:spacing w:after="0" w:line="226" w:lineRule="exact"/>
        <w:rPr>
          <w:rFonts w:ascii="Times New Roman" w:cs="Times New Roman" w:eastAsia="Times New Roman" w:hAnsi="Times New Roman"/>
          <w:sz w:val="21"/>
          <w:szCs w:val="21"/>
          <w:color w:val="auto"/>
        </w:rPr>
      </w:pPr>
    </w:p>
    <w:p>
      <w:pPr>
        <w:ind w:left="140" w:hanging="133"/>
        <w:spacing w:after="0"/>
        <w:tabs>
          <w:tab w:leader="none" w:pos="140" w:val="left"/>
        </w:tabs>
        <w:numPr>
          <w:ilvl w:val="0"/>
          <w:numId w:val="3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Ameren Corporation</w:t>
      </w:r>
    </w:p>
    <w:p>
      <w:pPr>
        <w:spacing w:after="0" w:line="226" w:lineRule="exact"/>
        <w:rPr>
          <w:rFonts w:ascii="Times New Roman" w:cs="Times New Roman" w:eastAsia="Times New Roman" w:hAnsi="Times New Roman"/>
          <w:sz w:val="21"/>
          <w:szCs w:val="21"/>
          <w:color w:val="auto"/>
        </w:rPr>
      </w:pPr>
    </w:p>
    <w:p>
      <w:pPr>
        <w:ind w:left="140" w:hanging="133"/>
        <w:spacing w:after="0"/>
        <w:tabs>
          <w:tab w:leader="none" w:pos="140" w:val="left"/>
        </w:tabs>
        <w:numPr>
          <w:ilvl w:val="0"/>
          <w:numId w:val="3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Atmos Energy Corporation</w:t>
      </w:r>
    </w:p>
    <w:p>
      <w:pPr>
        <w:spacing w:after="0" w:line="239" w:lineRule="exact"/>
        <w:rPr>
          <w:rFonts w:ascii="Times New Roman" w:cs="Times New Roman" w:eastAsia="Times New Roman" w:hAnsi="Times New Roman"/>
          <w:sz w:val="21"/>
          <w:szCs w:val="21"/>
          <w:color w:val="auto"/>
        </w:rPr>
      </w:pPr>
    </w:p>
    <w:p>
      <w:pPr>
        <w:ind w:left="140" w:hanging="133"/>
        <w:spacing w:after="0"/>
        <w:tabs>
          <w:tab w:leader="none" w:pos="140" w:val="left"/>
        </w:tabs>
        <w:numPr>
          <w:ilvl w:val="0"/>
          <w:numId w:val="3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Avista Corporation</w:t>
      </w:r>
    </w:p>
    <w:p>
      <w:pPr>
        <w:spacing w:after="0" w:line="226" w:lineRule="exact"/>
        <w:rPr>
          <w:rFonts w:ascii="Times New Roman" w:cs="Times New Roman" w:eastAsia="Times New Roman" w:hAnsi="Times New Roman"/>
          <w:sz w:val="21"/>
          <w:szCs w:val="21"/>
          <w:color w:val="auto"/>
        </w:rPr>
      </w:pPr>
    </w:p>
    <w:p>
      <w:pPr>
        <w:ind w:left="140" w:hanging="133"/>
        <w:spacing w:after="0"/>
        <w:tabs>
          <w:tab w:leader="none" w:pos="140" w:val="left"/>
        </w:tabs>
        <w:numPr>
          <w:ilvl w:val="0"/>
          <w:numId w:val="3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Black Hills Corporation</w:t>
      </w:r>
    </w:p>
    <w:p>
      <w:pPr>
        <w:spacing w:after="0" w:line="226" w:lineRule="exact"/>
        <w:rPr>
          <w:rFonts w:ascii="Times New Roman" w:cs="Times New Roman" w:eastAsia="Times New Roman" w:hAnsi="Times New Roman"/>
          <w:sz w:val="21"/>
          <w:szCs w:val="21"/>
          <w:color w:val="auto"/>
        </w:rPr>
      </w:pPr>
    </w:p>
    <w:p>
      <w:pPr>
        <w:ind w:left="140" w:hanging="133"/>
        <w:spacing w:after="0"/>
        <w:tabs>
          <w:tab w:leader="none" w:pos="140" w:val="left"/>
        </w:tabs>
        <w:numPr>
          <w:ilvl w:val="0"/>
          <w:numId w:val="3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CMS Energy Corporation</w:t>
      </w:r>
    </w:p>
    <w:p>
      <w:pPr>
        <w:spacing w:after="0" w:line="226" w:lineRule="exact"/>
        <w:rPr>
          <w:rFonts w:ascii="Times New Roman" w:cs="Times New Roman" w:eastAsia="Times New Roman" w:hAnsi="Times New Roman"/>
          <w:sz w:val="21"/>
          <w:szCs w:val="21"/>
          <w:color w:val="auto"/>
        </w:rPr>
      </w:pPr>
    </w:p>
    <w:p>
      <w:pPr>
        <w:ind w:left="140" w:hanging="133"/>
        <w:spacing w:after="0"/>
        <w:tabs>
          <w:tab w:leader="none" w:pos="140" w:val="left"/>
        </w:tabs>
        <w:numPr>
          <w:ilvl w:val="0"/>
          <w:numId w:val="3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Evergy, Inc.</w:t>
      </w:r>
    </w:p>
    <w:p>
      <w:pPr>
        <w:spacing w:after="0" w:line="226" w:lineRule="exact"/>
        <w:rPr>
          <w:rFonts w:ascii="Times New Roman" w:cs="Times New Roman" w:eastAsia="Times New Roman" w:hAnsi="Times New Roman"/>
          <w:sz w:val="21"/>
          <w:szCs w:val="21"/>
          <w:color w:val="auto"/>
        </w:rPr>
      </w:pPr>
    </w:p>
    <w:p>
      <w:pPr>
        <w:ind w:left="140" w:hanging="133"/>
        <w:spacing w:after="0"/>
        <w:tabs>
          <w:tab w:leader="none" w:pos="140" w:val="left"/>
        </w:tabs>
        <w:numPr>
          <w:ilvl w:val="0"/>
          <w:numId w:val="3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Hawaiian Electric Industries, Inc.</w:t>
      </w:r>
    </w:p>
    <w:p>
      <w:pPr>
        <w:spacing w:after="0" w:line="239" w:lineRule="exact"/>
        <w:rPr>
          <w:rFonts w:ascii="Times New Roman" w:cs="Times New Roman" w:eastAsia="Times New Roman" w:hAnsi="Times New Roman"/>
          <w:sz w:val="21"/>
          <w:szCs w:val="21"/>
          <w:color w:val="auto"/>
        </w:rPr>
      </w:pPr>
    </w:p>
    <w:p>
      <w:pPr>
        <w:ind w:left="140" w:hanging="133"/>
        <w:spacing w:after="0"/>
        <w:tabs>
          <w:tab w:leader="none" w:pos="140" w:val="left"/>
        </w:tabs>
        <w:numPr>
          <w:ilvl w:val="0"/>
          <w:numId w:val="3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IDACORP, Inc.</w:t>
      </w:r>
    </w:p>
    <w:p>
      <w:pPr>
        <w:spacing w:after="0" w:line="226" w:lineRule="exact"/>
        <w:rPr>
          <w:rFonts w:ascii="Times New Roman" w:cs="Times New Roman" w:eastAsia="Times New Roman" w:hAnsi="Times New Roman"/>
          <w:sz w:val="21"/>
          <w:szCs w:val="21"/>
          <w:color w:val="auto"/>
        </w:rPr>
      </w:pPr>
    </w:p>
    <w:p>
      <w:pPr>
        <w:ind w:left="140" w:hanging="133"/>
        <w:spacing w:after="0"/>
        <w:tabs>
          <w:tab w:leader="none" w:pos="140" w:val="left"/>
        </w:tabs>
        <w:numPr>
          <w:ilvl w:val="0"/>
          <w:numId w:val="3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MDU Resources Group, Inc.</w:t>
      </w:r>
    </w:p>
    <w:p>
      <w:pPr>
        <w:spacing w:after="0" w:line="226" w:lineRule="exact"/>
        <w:rPr>
          <w:rFonts w:ascii="Times New Roman" w:cs="Times New Roman" w:eastAsia="Times New Roman" w:hAnsi="Times New Roman"/>
          <w:sz w:val="21"/>
          <w:szCs w:val="21"/>
          <w:color w:val="auto"/>
        </w:rPr>
      </w:pPr>
    </w:p>
    <w:p>
      <w:pPr>
        <w:ind w:left="140" w:hanging="133"/>
        <w:spacing w:after="0"/>
        <w:tabs>
          <w:tab w:leader="none" w:pos="140" w:val="left"/>
        </w:tabs>
        <w:numPr>
          <w:ilvl w:val="0"/>
          <w:numId w:val="3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New Jersey Resources Corporation</w:t>
      </w:r>
    </w:p>
    <w:p>
      <w:pPr>
        <w:spacing w:after="0" w:line="226" w:lineRule="exact"/>
        <w:rPr>
          <w:rFonts w:ascii="Times New Roman" w:cs="Times New Roman" w:eastAsia="Times New Roman" w:hAnsi="Times New Roman"/>
          <w:sz w:val="21"/>
          <w:szCs w:val="21"/>
          <w:color w:val="auto"/>
        </w:rPr>
      </w:pPr>
    </w:p>
    <w:p>
      <w:pPr>
        <w:ind w:left="140" w:hanging="133"/>
        <w:spacing w:after="0"/>
        <w:tabs>
          <w:tab w:leader="none" w:pos="140" w:val="left"/>
        </w:tabs>
        <w:numPr>
          <w:ilvl w:val="0"/>
          <w:numId w:val="3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Nisource Inc.</w:t>
      </w:r>
    </w:p>
    <w:p>
      <w:pPr>
        <w:spacing w:after="0" w:line="226" w:lineRule="exact"/>
        <w:rPr>
          <w:rFonts w:ascii="Times New Roman" w:cs="Times New Roman" w:eastAsia="Times New Roman" w:hAnsi="Times New Roman"/>
          <w:sz w:val="21"/>
          <w:szCs w:val="21"/>
          <w:color w:val="auto"/>
        </w:rPr>
      </w:pPr>
    </w:p>
    <w:p>
      <w:pPr>
        <w:ind w:left="140" w:hanging="133"/>
        <w:spacing w:after="0"/>
        <w:tabs>
          <w:tab w:leader="none" w:pos="140" w:val="left"/>
        </w:tabs>
        <w:numPr>
          <w:ilvl w:val="0"/>
          <w:numId w:val="3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Northwestern Energy Group, Inc.</w:t>
      </w:r>
    </w:p>
    <w:p>
      <w:pPr>
        <w:spacing w:after="0" w:line="226" w:lineRule="exact"/>
        <w:rPr>
          <w:rFonts w:ascii="Times New Roman" w:cs="Times New Roman" w:eastAsia="Times New Roman" w:hAnsi="Times New Roman"/>
          <w:sz w:val="21"/>
          <w:szCs w:val="21"/>
          <w:color w:val="auto"/>
        </w:rPr>
      </w:pPr>
    </w:p>
    <w:p>
      <w:pPr>
        <w:ind w:left="140" w:hanging="133"/>
        <w:spacing w:after="0"/>
        <w:tabs>
          <w:tab w:leader="none" w:pos="140" w:val="left"/>
        </w:tabs>
        <w:numPr>
          <w:ilvl w:val="0"/>
          <w:numId w:val="3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OGE Energy Corporation</w:t>
      </w:r>
    </w:p>
    <w:p>
      <w:pPr>
        <w:spacing w:after="0" w:line="239" w:lineRule="exact"/>
        <w:rPr>
          <w:rFonts w:ascii="Times New Roman" w:cs="Times New Roman" w:eastAsia="Times New Roman" w:hAnsi="Times New Roman"/>
          <w:sz w:val="21"/>
          <w:szCs w:val="21"/>
          <w:color w:val="auto"/>
        </w:rPr>
      </w:pPr>
    </w:p>
    <w:p>
      <w:pPr>
        <w:ind w:left="140" w:hanging="133"/>
        <w:spacing w:after="0"/>
        <w:tabs>
          <w:tab w:leader="none" w:pos="140" w:val="left"/>
        </w:tabs>
        <w:numPr>
          <w:ilvl w:val="0"/>
          <w:numId w:val="3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ONE Gas, Inc</w:t>
      </w:r>
    </w:p>
    <w:p>
      <w:pPr>
        <w:spacing w:after="0" w:line="226" w:lineRule="exact"/>
        <w:rPr>
          <w:rFonts w:ascii="Times New Roman" w:cs="Times New Roman" w:eastAsia="Times New Roman" w:hAnsi="Times New Roman"/>
          <w:sz w:val="21"/>
          <w:szCs w:val="21"/>
          <w:color w:val="auto"/>
        </w:rPr>
      </w:pPr>
    </w:p>
    <w:p>
      <w:pPr>
        <w:ind w:left="140" w:hanging="133"/>
        <w:spacing w:after="0"/>
        <w:tabs>
          <w:tab w:leader="none" w:pos="140" w:val="left"/>
        </w:tabs>
        <w:numPr>
          <w:ilvl w:val="0"/>
          <w:numId w:val="3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Pinnacle West Capital Corporation</w:t>
      </w:r>
    </w:p>
    <w:p>
      <w:pPr>
        <w:spacing w:after="0" w:line="226" w:lineRule="exact"/>
        <w:rPr>
          <w:rFonts w:ascii="Times New Roman" w:cs="Times New Roman" w:eastAsia="Times New Roman" w:hAnsi="Times New Roman"/>
          <w:sz w:val="21"/>
          <w:szCs w:val="21"/>
          <w:color w:val="auto"/>
        </w:rPr>
      </w:pPr>
    </w:p>
    <w:p>
      <w:pPr>
        <w:ind w:left="140" w:hanging="133"/>
        <w:spacing w:after="0"/>
        <w:tabs>
          <w:tab w:leader="none" w:pos="140" w:val="left"/>
        </w:tabs>
        <w:numPr>
          <w:ilvl w:val="0"/>
          <w:numId w:val="3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Portland General Electric Company</w:t>
      </w:r>
    </w:p>
    <w:p>
      <w:pPr>
        <w:spacing w:after="0" w:line="226" w:lineRule="exact"/>
        <w:rPr>
          <w:rFonts w:ascii="Times New Roman" w:cs="Times New Roman" w:eastAsia="Times New Roman" w:hAnsi="Times New Roman"/>
          <w:sz w:val="21"/>
          <w:szCs w:val="21"/>
          <w:color w:val="auto"/>
        </w:rPr>
      </w:pPr>
    </w:p>
    <w:p>
      <w:pPr>
        <w:ind w:left="140" w:hanging="133"/>
        <w:spacing w:after="0"/>
        <w:tabs>
          <w:tab w:leader="none" w:pos="140" w:val="left"/>
        </w:tabs>
        <w:numPr>
          <w:ilvl w:val="0"/>
          <w:numId w:val="3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TXNM Energy, Inc.</w:t>
      </w:r>
    </w:p>
    <w:p>
      <w:pPr>
        <w:spacing w:after="0" w:line="226" w:lineRule="exact"/>
        <w:rPr>
          <w:rFonts w:ascii="Times New Roman" w:cs="Times New Roman" w:eastAsia="Times New Roman" w:hAnsi="Times New Roman"/>
          <w:sz w:val="21"/>
          <w:szCs w:val="21"/>
          <w:color w:val="auto"/>
        </w:rPr>
      </w:pPr>
    </w:p>
    <w:p>
      <w:pPr>
        <w:ind w:left="140" w:hanging="133"/>
        <w:spacing w:after="0"/>
        <w:tabs>
          <w:tab w:leader="none" w:pos="140" w:val="left"/>
        </w:tabs>
        <w:numPr>
          <w:ilvl w:val="0"/>
          <w:numId w:val="3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Spire,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0139"/>
          </w:cols>
          <w:pgMar w:left="320" w:top="1409" w:right="1440" w:bottom="1440" w:gutter="0" w:footer="0" w:header="0"/>
        </w:sectPr>
      </w:pPr>
    </w:p>
    <w:bookmarkStart w:id="488" w:name="page489"/>
    <w:bookmarkEnd w:id="488"/>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PERFORMANCE STOCK UNIT AWARD AGREEMENT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UNDER THE SOUTHWEST GAS HOLDINGS, INC.</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2024 OMNIBUS INCENTIVE PLAN</w:t>
      </w:r>
    </w:p>
    <w:p>
      <w:pPr>
        <w:spacing w:after="0" w:line="240" w:lineRule="exact"/>
        <w:rPr>
          <w:sz w:val="20"/>
          <w:szCs w:val="20"/>
          <w:color w:val="auto"/>
        </w:rPr>
      </w:pPr>
    </w:p>
    <w:p>
      <w:pPr>
        <w:ind w:right="160" w:firstLine="642"/>
        <w:spacing w:after="0" w:line="266" w:lineRule="auto"/>
        <w:rPr>
          <w:sz w:val="20"/>
          <w:szCs w:val="20"/>
          <w:color w:val="auto"/>
        </w:rPr>
      </w:pPr>
      <w:r>
        <w:rPr>
          <w:rFonts w:ascii="Times New Roman" w:cs="Times New Roman" w:eastAsia="Times New Roman" w:hAnsi="Times New Roman"/>
          <w:sz w:val="21"/>
          <w:szCs w:val="21"/>
          <w:color w:val="auto"/>
        </w:rPr>
        <w:t>This Performance Stock Unit Award Agreement (this “</w:t>
      </w:r>
      <w:r>
        <w:rPr>
          <w:rFonts w:ascii="Times New Roman" w:cs="Times New Roman" w:eastAsia="Times New Roman" w:hAnsi="Times New Roman"/>
          <w:sz w:val="21"/>
          <w:szCs w:val="21"/>
          <w:b w:val="1"/>
          <w:bCs w:val="1"/>
          <w:color w:val="auto"/>
        </w:rPr>
        <w:t>Award Agreement</w:t>
      </w:r>
      <w:r>
        <w:rPr>
          <w:rFonts w:ascii="Times New Roman" w:cs="Times New Roman" w:eastAsia="Times New Roman" w:hAnsi="Times New Roman"/>
          <w:sz w:val="21"/>
          <w:szCs w:val="21"/>
          <w:color w:val="auto"/>
        </w:rPr>
        <w:t>”) is dated as of [●], 2025, by and between Southwest Gas Holdings, Inc., a Delaware corporation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and [●] (the “</w:t>
      </w:r>
      <w:r>
        <w:rPr>
          <w:rFonts w:ascii="Times New Roman" w:cs="Times New Roman" w:eastAsia="Times New Roman" w:hAnsi="Times New Roman"/>
          <w:sz w:val="21"/>
          <w:szCs w:val="21"/>
          <w:b w:val="1"/>
          <w:bCs w:val="1"/>
          <w:color w:val="auto"/>
        </w:rPr>
        <w:t>Participant</w:t>
      </w:r>
      <w:r>
        <w:rPr>
          <w:rFonts w:ascii="Times New Roman" w:cs="Times New Roman" w:eastAsia="Times New Roman" w:hAnsi="Times New Roman"/>
          <w:sz w:val="21"/>
          <w:szCs w:val="21"/>
          <w:color w:val="auto"/>
        </w:rPr>
        <w:t>”), pursuant to the Southwest Gas Holdings, Inc. 2024 Omnibus Incentive Plan (the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Capitalized terms that are used, but not defined, in this Award Agreement shall have the meaning set forth in the Plan, and the Plan is incorporated by reference into this Award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Overview of Your Award</w:t>
      </w:r>
    </w:p>
    <w:p>
      <w:pPr>
        <w:spacing w:after="0" w:line="240"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21"/>
          <w:szCs w:val="21"/>
          <w:b w:val="1"/>
          <w:bCs w:val="1"/>
          <w:color w:val="auto"/>
        </w:rPr>
        <w:t xml:space="preserve">Aggregate Target Number of Performance Stock Units Granted: </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b w:val="1"/>
          <w:bCs w:val="1"/>
          <w:color w:val="auto"/>
        </w:rPr>
        <w:t>Target Performance Units</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i w:val="1"/>
          <w:iCs w:val="1"/>
          <w:color w:val="auto"/>
        </w:rPr>
        <w:t>determined by award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i w:val="1"/>
          <w:iCs w:val="1"/>
          <w:color w:val="auto"/>
        </w:rPr>
        <w:t>opportunity, December 31, 2024 base salary, and stock price on the last trading day of 2024)</w:t>
      </w:r>
      <w:r>
        <w:rPr>
          <w:rFonts w:ascii="Times New Roman" w:cs="Times New Roman" w:eastAsia="Times New Roman" w:hAnsi="Times New Roman"/>
          <w:sz w:val="21"/>
          <w:szCs w:val="21"/>
          <w:color w:val="auto"/>
        </w:rPr>
        <w:t>, including:</w:t>
      </w:r>
    </w:p>
    <w:p>
      <w:pPr>
        <w:spacing w:after="0" w:line="159" w:lineRule="exact"/>
        <w:rPr>
          <w:sz w:val="20"/>
          <w:szCs w:val="20"/>
          <w:color w:val="auto"/>
        </w:rPr>
      </w:pPr>
    </w:p>
    <w:p>
      <w:pPr>
        <w:ind w:left="1180" w:hanging="335"/>
        <w:spacing w:after="0"/>
        <w:tabs>
          <w:tab w:leader="none" w:pos="1180" w:val="left"/>
        </w:tabs>
        <w:numPr>
          <w:ilvl w:val="0"/>
          <w:numId w:val="3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UNI Units </w:t>
      </w:r>
      <w:r>
        <w:rPr>
          <w:rFonts w:ascii="Times New Roman" w:cs="Times New Roman" w:eastAsia="Times New Roman" w:hAnsi="Times New Roman"/>
          <w:sz w:val="21"/>
          <w:szCs w:val="21"/>
          <w:color w:val="auto"/>
        </w:rPr>
        <w:t>(60% of the Target Performance Units), and</w:t>
      </w:r>
    </w:p>
    <w:p>
      <w:pPr>
        <w:spacing w:after="0" w:line="40" w:lineRule="exact"/>
        <w:rPr>
          <w:rFonts w:ascii="Times New Roman" w:cs="Times New Roman" w:eastAsia="Times New Roman" w:hAnsi="Times New Roman"/>
          <w:sz w:val="21"/>
          <w:szCs w:val="21"/>
          <w:color w:val="auto"/>
        </w:rPr>
      </w:pPr>
    </w:p>
    <w:p>
      <w:pPr>
        <w:ind w:left="1180" w:hanging="335"/>
        <w:spacing w:after="0"/>
        <w:tabs>
          <w:tab w:leader="none" w:pos="1180" w:val="left"/>
        </w:tabs>
        <w:numPr>
          <w:ilvl w:val="0"/>
          <w:numId w:val="3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ROE Units </w:t>
      </w:r>
      <w:r>
        <w:rPr>
          <w:rFonts w:ascii="Times New Roman" w:cs="Times New Roman" w:eastAsia="Times New Roman" w:hAnsi="Times New Roman"/>
          <w:sz w:val="21"/>
          <w:szCs w:val="21"/>
          <w:color w:val="auto"/>
        </w:rPr>
        <w:t>(40% of the Target Performance Units)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Performance Cycle</w:t>
      </w:r>
      <w:r>
        <w:rPr>
          <w:rFonts w:ascii="Times New Roman" w:cs="Times New Roman" w:eastAsia="Times New Roman" w:hAnsi="Times New Roman"/>
          <w:sz w:val="21"/>
          <w:szCs w:val="21"/>
          <w:color w:val="auto"/>
        </w:rPr>
        <w:t>: January 1, 2025 to December 31, 2027 (the “</w:t>
      </w:r>
      <w:r>
        <w:rPr>
          <w:rFonts w:ascii="Times New Roman" w:cs="Times New Roman" w:eastAsia="Times New Roman" w:hAnsi="Times New Roman"/>
          <w:sz w:val="21"/>
          <w:szCs w:val="21"/>
          <w:b w:val="1"/>
          <w:bCs w:val="1"/>
          <w:color w:val="auto"/>
        </w:rPr>
        <w:t>Performance Cycle</w:t>
      </w:r>
      <w:r>
        <w:rPr>
          <w:rFonts w:ascii="Times New Roman" w:cs="Times New Roman" w:eastAsia="Times New Roman" w:hAnsi="Times New Roman"/>
          <w:sz w:val="21"/>
          <w:szCs w:val="21"/>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Date of Grant</w:t>
      </w:r>
      <w:r>
        <w:rPr>
          <w:rFonts w:ascii="Times New Roman" w:cs="Times New Roman" w:eastAsia="Times New Roman" w:hAnsi="Times New Roman"/>
          <w:sz w:val="21"/>
          <w:szCs w:val="21"/>
          <w:color w:val="auto"/>
        </w:rPr>
        <w:t>: [●], 2025 (</w:t>
      </w:r>
      <w:r>
        <w:rPr>
          <w:rFonts w:ascii="Times New Roman" w:cs="Times New Roman" w:eastAsia="Times New Roman" w:hAnsi="Times New Roman"/>
          <w:sz w:val="21"/>
          <w:szCs w:val="21"/>
          <w:i w:val="1"/>
          <w:iCs w:val="1"/>
          <w:color w:val="auto"/>
        </w:rPr>
        <w:t>date of Board approval)</w:t>
      </w:r>
    </w:p>
    <w:p>
      <w:pPr>
        <w:spacing w:after="0" w:line="227"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21"/>
          <w:szCs w:val="21"/>
          <w:b w:val="1"/>
          <w:bCs w:val="1"/>
          <w:color w:val="auto"/>
        </w:rPr>
        <w:t>Vesting Schedule</w:t>
      </w:r>
      <w:r>
        <w:rPr>
          <w:rFonts w:ascii="Times New Roman" w:cs="Times New Roman" w:eastAsia="Times New Roman" w:hAnsi="Times New Roman"/>
          <w:sz w:val="21"/>
          <w:szCs w:val="21"/>
          <w:color w:val="auto"/>
        </w:rPr>
        <w:t>: Unless otherwise provided in this Award Agreement, subject to the Participant’s Continuous Service and other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terms and conditions set forth in the Plan and this Award Agreement, the Performance Units shall vest based on the level of achievement of the performance criteria set forth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over the Performance Cycle.</w:t>
      </w:r>
    </w:p>
    <w:p>
      <w:pPr>
        <w:spacing w:after="0" w:line="125" w:lineRule="exact"/>
        <w:rPr>
          <w:sz w:val="20"/>
          <w:szCs w:val="20"/>
          <w:color w:val="auto"/>
        </w:rPr>
      </w:pPr>
    </w:p>
    <w:p>
      <w:pPr>
        <w:ind w:right="40" w:firstLine="7"/>
        <w:spacing w:after="0" w:line="217" w:lineRule="auto"/>
        <w:tabs>
          <w:tab w:leader="none" w:pos="642" w:val="left"/>
        </w:tabs>
        <w:numPr>
          <w:ilvl w:val="0"/>
          <w:numId w:val="3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 of Performance Units</w:t>
      </w:r>
      <w:r>
        <w:rPr>
          <w:rFonts w:ascii="Times New Roman" w:cs="Times New Roman" w:eastAsia="Times New Roman" w:hAnsi="Times New Roman"/>
          <w:sz w:val="21"/>
          <w:szCs w:val="21"/>
          <w:color w:val="auto"/>
        </w:rPr>
        <w:t>. The Company hereby grants the Participant a target Award of Performance Stock Units covering the number of Shares set forth above (the “</w:t>
      </w:r>
      <w:r>
        <w:rPr>
          <w:rFonts w:ascii="Times New Roman" w:cs="Times New Roman" w:eastAsia="Times New Roman" w:hAnsi="Times New Roman"/>
          <w:sz w:val="21"/>
          <w:szCs w:val="21"/>
          <w:b w:val="1"/>
          <w:bCs w:val="1"/>
          <w:color w:val="auto"/>
        </w:rPr>
        <w:t>Performance Units</w:t>
      </w:r>
      <w:r>
        <w:rPr>
          <w:rFonts w:ascii="Times New Roman" w:cs="Times New Roman" w:eastAsia="Times New Roman" w:hAnsi="Times New Roman"/>
          <w:sz w:val="21"/>
          <w:szCs w:val="21"/>
          <w:color w:val="auto"/>
        </w:rPr>
        <w:t xml:space="preserve">”) under the Plan, subject to the terms and conditions of the Plan and this Award Agreement. The actual number of Performance Units that may be earned under this Award Agreement, if any, may range from 0% to 200% of the Target Performance Units, depending on the level of achievement of the performance goals set forth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Each Performance Unit represents the right to receive one Share if the Performance Units vest. The Performance Units shall be credited to a separate account maintained for the Participant on the books and records of the Company. All amounts credited to the Participant’s account shall continue for all purposes to be part of the general assets of the Company. The number of Performance Units that the Participant actually earns for the Performance Cycle will be determined at the end of the Performance Cycle based on the level of achievement of the performance goals as set forth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All determinations of whether the performance goals have been achieved, the number of Performance Units earned, and all other matters related thereto shall be made by the Committee in its sole discretion. Unless and until such time as Shares are issued in settlement of the vested Performance Units, the Participant shall not have any of the rights of a stockholder of the Company with respect to any of the Shares, including any voting rights or rights with respect to dividends paid on the Shares.</w:t>
      </w:r>
    </w:p>
    <w:p>
      <w:pPr>
        <w:sectPr>
          <w:pgSz w:w="11900" w:h="16838" w:orient="portrait"/>
          <w:cols w:equalWidth="0" w:num="1">
            <w:col w:w="11220"/>
          </w:cols>
          <w:pgMar w:left="320" w:top="1405" w:right="359" w:bottom="1440" w:gutter="0" w:footer="0" w:header="0"/>
        </w:sectPr>
      </w:pPr>
    </w:p>
    <w:bookmarkStart w:id="489" w:name="page490"/>
    <w:bookmarkEnd w:id="489"/>
    <w:p>
      <w:pPr>
        <w:ind w:right="60" w:firstLine="7"/>
        <w:spacing w:after="0" w:line="228" w:lineRule="auto"/>
        <w:tabs>
          <w:tab w:leader="none" w:pos="642" w:val="left"/>
        </w:tabs>
        <w:numPr>
          <w:ilvl w:val="0"/>
          <w:numId w:val="3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Restrictions on Alienation</w:t>
      </w:r>
      <w:r>
        <w:rPr>
          <w:rFonts w:ascii="Times New Roman" w:cs="Times New Roman" w:eastAsia="Times New Roman" w:hAnsi="Times New Roman"/>
          <w:sz w:val="21"/>
          <w:szCs w:val="21"/>
          <w:color w:val="auto"/>
        </w:rPr>
        <w:t>. Performance Units or the rights relating thereto may not be sold, transferred, pledged, attached, assigned, or otherwise alienated or encumbered by the Participant in any manner, whether voluntarily, by operation of law, or otherwise. Any attempt to assign, alienate, pledge, attach, sell, or otherwise transfer or encumber the Performance Units or the rights relating thereto shall be wholly ineffective.</w:t>
      </w:r>
    </w:p>
    <w:p>
      <w:pPr>
        <w:spacing w:after="0" w:line="152" w:lineRule="exact"/>
        <w:rPr>
          <w:rFonts w:ascii="Times New Roman" w:cs="Times New Roman" w:eastAsia="Times New Roman" w:hAnsi="Times New Roman"/>
          <w:sz w:val="21"/>
          <w:szCs w:val="21"/>
          <w:color w:val="auto"/>
        </w:rPr>
      </w:pPr>
    </w:p>
    <w:p>
      <w:pPr>
        <w:ind w:right="60" w:firstLine="7"/>
        <w:spacing w:after="0" w:line="225" w:lineRule="auto"/>
        <w:tabs>
          <w:tab w:leader="none" w:pos="642" w:val="left"/>
        </w:tabs>
        <w:numPr>
          <w:ilvl w:val="0"/>
          <w:numId w:val="3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 of Performance Units</w:t>
      </w:r>
      <w:r>
        <w:rPr>
          <w:rFonts w:ascii="Times New Roman" w:cs="Times New Roman" w:eastAsia="Times New Roman" w:hAnsi="Times New Roman"/>
          <w:sz w:val="21"/>
          <w:szCs w:val="21"/>
          <w:color w:val="auto"/>
        </w:rPr>
        <w:t xml:space="preserve">. Except as otherwise provided herein or in the Plan, the Performance Units will vest in accordance with the Vesting Schedule and the terms and conditions set forth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subject to the Participant’s Continuous Service through the last date of the Performance Cycle (the “</w:t>
      </w:r>
      <w:r>
        <w:rPr>
          <w:rFonts w:ascii="Times New Roman" w:cs="Times New Roman" w:eastAsia="Times New Roman" w:hAnsi="Times New Roman"/>
          <w:sz w:val="21"/>
          <w:szCs w:val="21"/>
          <w:b w:val="1"/>
          <w:bCs w:val="1"/>
          <w:color w:val="auto"/>
        </w:rPr>
        <w:t>Vesting Date</w:t>
      </w:r>
      <w:r>
        <w:rPr>
          <w:rFonts w:ascii="Times New Roman" w:cs="Times New Roman" w:eastAsia="Times New Roman" w:hAnsi="Times New Roman"/>
          <w:sz w:val="21"/>
          <w:szCs w:val="21"/>
          <w:color w:val="auto"/>
        </w:rPr>
        <w:t xml:space="preserve">”). The number of Performance Units earned, if any, shall be determined by the Committee based on the level of achievement of the performance goals set forth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in its sole discretion.</w:t>
      </w:r>
    </w:p>
    <w:p>
      <w:pPr>
        <w:spacing w:after="0" w:line="151" w:lineRule="exact"/>
        <w:rPr>
          <w:rFonts w:ascii="Times New Roman" w:cs="Times New Roman" w:eastAsia="Times New Roman" w:hAnsi="Times New Roman"/>
          <w:sz w:val="21"/>
          <w:szCs w:val="21"/>
          <w:color w:val="auto"/>
        </w:rPr>
      </w:pPr>
    </w:p>
    <w:p>
      <w:pPr>
        <w:ind w:right="40" w:firstLine="7"/>
        <w:spacing w:after="0" w:line="225" w:lineRule="auto"/>
        <w:tabs>
          <w:tab w:leader="none" w:pos="642" w:val="left"/>
        </w:tabs>
        <w:numPr>
          <w:ilvl w:val="0"/>
          <w:numId w:val="3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Forfeiture.</w:t>
      </w:r>
      <w:r>
        <w:rPr>
          <w:rFonts w:ascii="Times New Roman" w:cs="Times New Roman" w:eastAsia="Times New Roman" w:hAnsi="Times New Roman"/>
          <w:sz w:val="21"/>
          <w:szCs w:val="21"/>
          <w:color w:val="auto"/>
        </w:rPr>
        <w:t xml:space="preserve"> Except as otherwise provided in this Award Agreement or the Plan, any unvested Performance Units shall be automatically forfeited upon a termination of the Participant’s Continuous Service for any reason prior to the Vesting Date. The Participant shall execute any documents reasonably requested by the Company in connection with such forfeiture. All rights of the Participant with respect to any forfeited Performance Units shall cease and terminate upon forfeiture of such Performance Units, without any further obligation on the part of the Company.</w:t>
      </w:r>
    </w:p>
    <w:p>
      <w:pPr>
        <w:spacing w:after="0" w:line="151" w:lineRule="exact"/>
        <w:rPr>
          <w:rFonts w:ascii="Times New Roman" w:cs="Times New Roman" w:eastAsia="Times New Roman" w:hAnsi="Times New Roman"/>
          <w:sz w:val="21"/>
          <w:szCs w:val="21"/>
          <w:color w:val="auto"/>
        </w:rPr>
      </w:pPr>
    </w:p>
    <w:p>
      <w:pPr>
        <w:ind w:left="640" w:hanging="633"/>
        <w:spacing w:after="0"/>
        <w:tabs>
          <w:tab w:leader="none" w:pos="640" w:val="left"/>
        </w:tabs>
        <w:numPr>
          <w:ilvl w:val="0"/>
          <w:numId w:val="3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Continuous Service</w:t>
      </w:r>
      <w:r>
        <w:rPr>
          <w:rFonts w:ascii="Times New Roman" w:cs="Times New Roman" w:eastAsia="Times New Roman" w:hAnsi="Times New Roman"/>
          <w:sz w:val="21"/>
          <w:szCs w:val="21"/>
          <w:color w:val="auto"/>
        </w:rPr>
        <w:t>.</w:t>
      </w:r>
    </w:p>
    <w:p>
      <w:pPr>
        <w:spacing w:after="0" w:line="186" w:lineRule="exact"/>
        <w:rPr>
          <w:rFonts w:ascii="Times New Roman" w:cs="Times New Roman" w:eastAsia="Times New Roman" w:hAnsi="Times New Roman"/>
          <w:sz w:val="21"/>
          <w:szCs w:val="21"/>
          <w:color w:val="auto"/>
        </w:rPr>
      </w:pPr>
    </w:p>
    <w:p>
      <w:pPr>
        <w:ind w:firstLine="649"/>
        <w:spacing w:after="0" w:line="219" w:lineRule="auto"/>
        <w:tabs>
          <w:tab w:leader="none" w:pos="1281" w:val="left"/>
        </w:tabs>
        <w:numPr>
          <w:ilvl w:val="1"/>
          <w:numId w:val="3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the Vesting Schedule and the performance criteria set forth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if during the Performance Cycle, the Participant’s Continuous Service is terminated (i) by the Company or its successors without Cause or by the Participant for Good Reason, in each case, within 24 months following a Change in Control, (ii) due to the Participant’s death or (iii) by the Company due to the Participant’s Disability or due to a general reduction in force or specific elimination of the Participant’s job (except if contemporaneously with such elimination the Participant’s suffers a termination for Cause), a prorated portion of the Performance Units shall immediately vest upon such termination, with such prorated portion equal to (A) the Target Performance Units multiplied by (B) a fraction, the numerator of which is the number of full months that the Participant provided Continuous Service during the Performance Cycle, and the denominator of which is 36. Any Performance Units that are not vested as a result of this </w:t>
      </w:r>
      <w:r>
        <w:rPr>
          <w:rFonts w:ascii="Times New Roman" w:cs="Times New Roman" w:eastAsia="Times New Roman" w:hAnsi="Times New Roman"/>
          <w:sz w:val="21"/>
          <w:szCs w:val="21"/>
          <w:u w:val="single" w:color="auto"/>
          <w:color w:val="auto"/>
        </w:rPr>
        <w:t>Section 5(a)</w:t>
      </w:r>
      <w:r>
        <w:rPr>
          <w:rFonts w:ascii="Times New Roman" w:cs="Times New Roman" w:eastAsia="Times New Roman" w:hAnsi="Times New Roman"/>
          <w:sz w:val="21"/>
          <w:szCs w:val="21"/>
          <w:color w:val="auto"/>
        </w:rPr>
        <w:t xml:space="preserve"> shall be forfeited and the Participant shall have no rights with respect to any forfeited Performance Units.</w:t>
      </w:r>
    </w:p>
    <w:p>
      <w:pPr>
        <w:spacing w:after="0" w:line="156" w:lineRule="exact"/>
        <w:rPr>
          <w:rFonts w:ascii="Times New Roman" w:cs="Times New Roman" w:eastAsia="Times New Roman" w:hAnsi="Times New Roman"/>
          <w:sz w:val="21"/>
          <w:szCs w:val="21"/>
          <w:color w:val="auto"/>
        </w:rPr>
      </w:pPr>
    </w:p>
    <w:p>
      <w:pPr>
        <w:ind w:right="100" w:firstLine="649"/>
        <w:spacing w:after="0" w:line="220" w:lineRule="auto"/>
        <w:tabs>
          <w:tab w:leader="none" w:pos="1279" w:val="left"/>
        </w:tabs>
        <w:numPr>
          <w:ilvl w:val="1"/>
          <w:numId w:val="3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Retirement</w:t>
      </w:r>
      <w:r>
        <w:rPr>
          <w:rFonts w:ascii="Times New Roman" w:cs="Times New Roman" w:eastAsia="Times New Roman" w:hAnsi="Times New Roman"/>
          <w:sz w:val="21"/>
          <w:szCs w:val="21"/>
          <w:color w:val="auto"/>
        </w:rPr>
        <w:t xml:space="preserve">. Notwithstanding the Vesting Schedule and the performance criteria set forth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if during the Performance Cycle, the Participant’s Continuous Service is terminated due to Retirement, the Participant shall remain eligible to vest in a prorated portion of the Performance Units at the end of the Performance Cycle and, with such prorated portion equal to</w:t>
      </w:r>
    </w:p>
    <w:p>
      <w:pPr>
        <w:spacing w:after="0" w:line="1" w:lineRule="exact"/>
        <w:rPr>
          <w:rFonts w:ascii="Times New Roman" w:cs="Times New Roman" w:eastAsia="Times New Roman" w:hAnsi="Times New Roman"/>
          <w:sz w:val="21"/>
          <w:szCs w:val="21"/>
          <w:color w:val="auto"/>
        </w:rPr>
      </w:pPr>
    </w:p>
    <w:p>
      <w:pPr>
        <w:ind w:right="60"/>
        <w:spacing w:after="0" w:line="22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the number of Performance Units that would have vested based on actual performance in the Performance Cycle had the Participant’s Continuous Service not terminated, multiplied by (B) a fraction, the numerator of which is the number of full months of Continuous Service that the Participant provided during the Performance Cycle, and the denominator of which is 36. Any Performance Units that are not vested as a result of this </w:t>
      </w:r>
      <w:r>
        <w:rPr>
          <w:rFonts w:ascii="Times New Roman" w:cs="Times New Roman" w:eastAsia="Times New Roman" w:hAnsi="Times New Roman"/>
          <w:sz w:val="21"/>
          <w:szCs w:val="21"/>
          <w:u w:val="single" w:color="auto"/>
          <w:color w:val="auto"/>
        </w:rPr>
        <w:t>Section 5(b)</w:t>
      </w:r>
      <w:r>
        <w:rPr>
          <w:rFonts w:ascii="Times New Roman" w:cs="Times New Roman" w:eastAsia="Times New Roman" w:hAnsi="Times New Roman"/>
          <w:sz w:val="21"/>
          <w:szCs w:val="21"/>
          <w:color w:val="auto"/>
        </w:rPr>
        <w:t xml:space="preserve"> shall be forfeited and the Participant shall have no rights with respect to any forfeited Performance Units.</w:t>
      </w:r>
    </w:p>
    <w:p>
      <w:pPr>
        <w:spacing w:after="0" w:line="153" w:lineRule="exact"/>
        <w:rPr>
          <w:rFonts w:ascii="Times New Roman" w:cs="Times New Roman" w:eastAsia="Times New Roman" w:hAnsi="Times New Roman"/>
          <w:sz w:val="21"/>
          <w:szCs w:val="21"/>
          <w:color w:val="auto"/>
        </w:rPr>
      </w:pPr>
    </w:p>
    <w:p>
      <w:pPr>
        <w:ind w:right="140" w:firstLine="649"/>
        <w:spacing w:after="0" w:line="234" w:lineRule="auto"/>
        <w:tabs>
          <w:tab w:leader="none" w:pos="1281" w:val="left"/>
        </w:tabs>
        <w:numPr>
          <w:ilvl w:val="1"/>
          <w:numId w:val="3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in this Award Agreement, if the Participant is party to an employment or change in control agreement with the Company on the Date of Grant, the terms of such employment or change in control agreement shall apply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20"/>
          </w:cols>
          <w:pgMar w:left="320" w:top="1382" w:right="359" w:bottom="1440" w:gutter="0" w:footer="0" w:header="0"/>
        </w:sectPr>
      </w:pPr>
    </w:p>
    <w:bookmarkStart w:id="490" w:name="page491"/>
    <w:bookmarkEnd w:id="490"/>
    <w:p>
      <w:pPr>
        <w:spacing w:after="0"/>
        <w:rPr>
          <w:sz w:val="20"/>
          <w:szCs w:val="20"/>
          <w:color w:val="auto"/>
        </w:rPr>
      </w:pPr>
      <w:r>
        <w:rPr>
          <w:rFonts w:ascii="Times New Roman" w:cs="Times New Roman" w:eastAsia="Times New Roman" w:hAnsi="Times New Roman"/>
          <w:sz w:val="21"/>
          <w:szCs w:val="21"/>
          <w:color w:val="auto"/>
        </w:rPr>
        <w:t>Performance Units to the extent the Participant has greater rights under such agreement than under this Award Agreement.</w:t>
      </w:r>
    </w:p>
    <w:p>
      <w:pPr>
        <w:spacing w:after="0" w:line="186" w:lineRule="exact"/>
        <w:rPr>
          <w:sz w:val="20"/>
          <w:szCs w:val="20"/>
          <w:color w:val="auto"/>
        </w:rPr>
      </w:pPr>
    </w:p>
    <w:p>
      <w:pPr>
        <w:ind w:left="640" w:hanging="633"/>
        <w:spacing w:after="0"/>
        <w:tabs>
          <w:tab w:leader="none" w:pos="640" w:val="left"/>
        </w:tabs>
        <w:numPr>
          <w:ilvl w:val="0"/>
          <w:numId w:val="3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color w:val="auto"/>
        </w:rPr>
      </w:pPr>
    </w:p>
    <w:p>
      <w:pPr>
        <w:ind w:left="1280" w:hanging="631"/>
        <w:spacing w:after="0"/>
        <w:tabs>
          <w:tab w:leader="none" w:pos="1280" w:val="left"/>
        </w:tabs>
        <w:numPr>
          <w:ilvl w:val="1"/>
          <w:numId w:val="3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For purposes of this Award Agreement, “</w:t>
      </w:r>
      <w:r>
        <w:rPr>
          <w:rFonts w:ascii="Times New Roman" w:cs="Times New Roman" w:eastAsia="Times New Roman" w:hAnsi="Times New Roman"/>
          <w:sz w:val="21"/>
          <w:szCs w:val="21"/>
          <w:b w:val="1"/>
          <w:bCs w:val="1"/>
          <w:color w:val="auto"/>
        </w:rPr>
        <w:t>Good Reason</w:t>
      </w:r>
      <w:r>
        <w:rPr>
          <w:rFonts w:ascii="Times New Roman" w:cs="Times New Roman" w:eastAsia="Times New Roman" w:hAnsi="Times New Roman"/>
          <w:sz w:val="21"/>
          <w:szCs w:val="21"/>
          <w:color w:val="auto"/>
        </w:rPr>
        <w:t>” means, following a Change in Control:</w:t>
      </w:r>
    </w:p>
    <w:p>
      <w:pPr>
        <w:spacing w:after="0" w:line="190" w:lineRule="exact"/>
        <w:rPr>
          <w:rFonts w:ascii="Times New Roman" w:cs="Times New Roman" w:eastAsia="Times New Roman" w:hAnsi="Times New Roman"/>
          <w:sz w:val="21"/>
          <w:szCs w:val="21"/>
          <w:color w:val="auto"/>
        </w:rPr>
      </w:pPr>
    </w:p>
    <w:p>
      <w:pPr>
        <w:jc w:val="both"/>
        <w:ind w:left="640" w:right="120" w:firstLine="651"/>
        <w:spacing w:after="0" w:line="234" w:lineRule="auto"/>
        <w:tabs>
          <w:tab w:leader="none" w:pos="1912" w:val="left"/>
        </w:tabs>
        <w:numPr>
          <w:ilvl w:val="2"/>
          <w:numId w:val="3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the Participant’s express written consent, the assignment to the Participant of any duties materially inconsistent with the Participant’s positions, duties, authority, responsibilities or status with the Company or its successors immediately prior to such Change in Control;</w:t>
      </w:r>
    </w:p>
    <w:p>
      <w:pPr>
        <w:spacing w:after="0" w:line="149" w:lineRule="exact"/>
        <w:rPr>
          <w:rFonts w:ascii="Times New Roman" w:cs="Times New Roman" w:eastAsia="Times New Roman" w:hAnsi="Times New Roman"/>
          <w:sz w:val="21"/>
          <w:szCs w:val="21"/>
          <w:color w:val="auto"/>
        </w:rPr>
      </w:pPr>
    </w:p>
    <w:p>
      <w:pPr>
        <w:ind w:left="640" w:firstLine="651"/>
        <w:spacing w:after="0" w:line="249" w:lineRule="auto"/>
        <w:tabs>
          <w:tab w:leader="none" w:pos="1918" w:val="left"/>
        </w:tabs>
        <w:numPr>
          <w:ilvl w:val="2"/>
          <w:numId w:val="3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demotion or a material change in the Participant’s titles or offices as in effect immediately prior to such Change in Control;</w:t>
      </w:r>
    </w:p>
    <w:p>
      <w:pPr>
        <w:spacing w:after="0" w:line="140" w:lineRule="exact"/>
        <w:rPr>
          <w:rFonts w:ascii="Times New Roman" w:cs="Times New Roman" w:eastAsia="Times New Roman" w:hAnsi="Times New Roman"/>
          <w:sz w:val="21"/>
          <w:szCs w:val="21"/>
          <w:color w:val="auto"/>
        </w:rPr>
      </w:pPr>
    </w:p>
    <w:p>
      <w:pPr>
        <w:jc w:val="both"/>
        <w:ind w:left="640" w:right="20" w:firstLine="651"/>
        <w:spacing w:after="0" w:line="234" w:lineRule="auto"/>
        <w:tabs>
          <w:tab w:leader="none" w:pos="1924" w:val="left"/>
        </w:tabs>
        <w:numPr>
          <w:ilvl w:val="2"/>
          <w:numId w:val="3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removal of the Participant from or any failure to re-elect the Participant to any of such positions; except in connection with the termination of the Participant’s Continuous Service for Cause, Disability or Retirement or as a result of Participant’s death or by the Participant other than for Good Reason;</w:t>
      </w:r>
    </w:p>
    <w:p>
      <w:pPr>
        <w:spacing w:after="0" w:line="149" w:lineRule="exact"/>
        <w:rPr>
          <w:rFonts w:ascii="Times New Roman" w:cs="Times New Roman" w:eastAsia="Times New Roman" w:hAnsi="Times New Roman"/>
          <w:sz w:val="21"/>
          <w:szCs w:val="21"/>
          <w:color w:val="auto"/>
        </w:rPr>
      </w:pPr>
    </w:p>
    <w:p>
      <w:pPr>
        <w:ind w:left="640" w:firstLine="651"/>
        <w:spacing w:after="0" w:line="225" w:lineRule="auto"/>
        <w:tabs>
          <w:tab w:leader="none" w:pos="1912" w:val="left"/>
        </w:tabs>
        <w:numPr>
          <w:ilvl w:val="2"/>
          <w:numId w:val="3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the Participant’s express written consent, a material reduction by the Company or its successors in the Participant’s base salary as in effect on the date of such Change in Control or, if greater, such greater base salary as may be in effect from time to time subsequent to such Change in Control, provided, in each case, that a reduction by the Company or its successors in the Participant’s base salary of 10% or more shall be sufficient but not necessary to constitute a material reduction by the Company or its successors in the Participant’s base salary;</w:t>
      </w:r>
    </w:p>
    <w:p>
      <w:pPr>
        <w:spacing w:after="0" w:line="151" w:lineRule="exact"/>
        <w:rPr>
          <w:rFonts w:ascii="Times New Roman" w:cs="Times New Roman" w:eastAsia="Times New Roman" w:hAnsi="Times New Roman"/>
          <w:sz w:val="21"/>
          <w:szCs w:val="21"/>
          <w:color w:val="auto"/>
        </w:rPr>
      </w:pPr>
    </w:p>
    <w:p>
      <w:pPr>
        <w:ind w:left="640" w:right="20" w:firstLine="651"/>
        <w:spacing w:after="0" w:line="225" w:lineRule="auto"/>
        <w:tabs>
          <w:tab w:leader="none" w:pos="1919" w:val="left"/>
        </w:tabs>
        <w:numPr>
          <w:ilvl w:val="2"/>
          <w:numId w:val="3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failure by the Company or its successors to continue at levels materially not less than those in existence immediately prior to such Change in Control the Participant’s participation in any thrift, incentive or compensation plan, or any pension plan, in which the Participant participated immediately prior to such Change in Control, provided that the Company or its successors may provide for participation in substantially similar plans that provide benefits at levels materially not less than those in existence immediately prior to such Change in Control;</w:t>
      </w:r>
    </w:p>
    <w:p>
      <w:pPr>
        <w:spacing w:after="0" w:line="151" w:lineRule="exact"/>
        <w:rPr>
          <w:rFonts w:ascii="Times New Roman" w:cs="Times New Roman" w:eastAsia="Times New Roman" w:hAnsi="Times New Roman"/>
          <w:sz w:val="21"/>
          <w:szCs w:val="21"/>
          <w:color w:val="auto"/>
        </w:rPr>
      </w:pPr>
    </w:p>
    <w:p>
      <w:pPr>
        <w:ind w:left="640" w:right="40" w:firstLine="651"/>
        <w:spacing w:after="0" w:line="234" w:lineRule="auto"/>
        <w:tabs>
          <w:tab w:leader="none" w:pos="1912" w:val="left"/>
        </w:tabs>
        <w:numPr>
          <w:ilvl w:val="2"/>
          <w:numId w:val="3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failure by the Company or its successors to provide for the Participant’s participation in any welfare, life insurance, health and accident or disability plan on the same basis as those provided to executives of the Company or its successors who are similarly situated to the Participant;</w:t>
      </w:r>
    </w:p>
    <w:p>
      <w:pPr>
        <w:spacing w:after="0" w:line="149" w:lineRule="exact"/>
        <w:rPr>
          <w:rFonts w:ascii="Times New Roman" w:cs="Times New Roman" w:eastAsia="Times New Roman" w:hAnsi="Times New Roman"/>
          <w:sz w:val="21"/>
          <w:szCs w:val="21"/>
          <w:color w:val="auto"/>
        </w:rPr>
      </w:pPr>
    </w:p>
    <w:p>
      <w:pPr>
        <w:ind w:left="640" w:right="80" w:firstLine="651"/>
        <w:spacing w:after="0" w:line="221" w:lineRule="auto"/>
        <w:tabs>
          <w:tab w:leader="none" w:pos="1918" w:val="left"/>
        </w:tabs>
        <w:numPr>
          <w:ilvl w:val="2"/>
          <w:numId w:val="3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taking of any action by the Company or its successors which would materially adversely affect the Participant’s participation in or materially reduce the Participant’s benefits under any single such plan or all such plans, when taken together, or deprive the Participant of any material fringe benefit enjoyed by the Participant at the time of such Change in Control (except for the acceleration of the vesting of the Performance Units, as contemplated by this Award Agreement), provided that the taking of any action by the Company or its successors that reduces the economic value attributable to such participation, benefits or fringe benefit by 10% or more shall be sufficient but not necessary to constitute a materially adverse effect, material reduction or deprivation,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20"/>
          </w:cols>
          <w:pgMar w:left="320" w:top="1382" w:right="359" w:bottom="1440" w:gutter="0" w:footer="0" w:header="0"/>
        </w:sectPr>
      </w:pPr>
    </w:p>
    <w:bookmarkStart w:id="491" w:name="page492"/>
    <w:bookmarkEnd w:id="491"/>
    <w:p>
      <w:pPr>
        <w:ind w:left="640" w:firstLine="651"/>
        <w:spacing w:after="0" w:line="234" w:lineRule="auto"/>
        <w:tabs>
          <w:tab w:leader="none" w:pos="1924" w:val="left"/>
        </w:tabs>
        <w:numPr>
          <w:ilvl w:val="0"/>
          <w:numId w:val="3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assignment to the Participant without the Participant’s consent to a new work location which would require an increase in the round-trip commute to work from the Participant’s residence immediately prior to such Change in Control of more than 40 miles per day; or</w:t>
      </w:r>
    </w:p>
    <w:p>
      <w:pPr>
        <w:spacing w:after="0" w:line="149" w:lineRule="exact"/>
        <w:rPr>
          <w:rFonts w:ascii="Times New Roman" w:cs="Times New Roman" w:eastAsia="Times New Roman" w:hAnsi="Times New Roman"/>
          <w:sz w:val="21"/>
          <w:szCs w:val="21"/>
          <w:color w:val="auto"/>
        </w:rPr>
      </w:pPr>
    </w:p>
    <w:p>
      <w:pPr>
        <w:ind w:left="1920" w:hanging="629"/>
        <w:spacing w:after="0"/>
        <w:tabs>
          <w:tab w:leader="none" w:pos="1920" w:val="left"/>
        </w:tabs>
        <w:numPr>
          <w:ilvl w:val="0"/>
          <w:numId w:val="3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material breach of any material provision of this Award Agreement.</w:t>
      </w:r>
    </w:p>
    <w:p>
      <w:pPr>
        <w:spacing w:after="0" w:line="213" w:lineRule="exact"/>
        <w:rPr>
          <w:sz w:val="20"/>
          <w:szCs w:val="20"/>
          <w:color w:val="auto"/>
        </w:rPr>
      </w:pPr>
    </w:p>
    <w:p>
      <w:pPr>
        <w:ind w:right="140" w:firstLine="642"/>
        <w:spacing w:after="0" w:line="258" w:lineRule="auto"/>
        <w:rPr>
          <w:sz w:val="20"/>
          <w:szCs w:val="20"/>
          <w:color w:val="auto"/>
        </w:rPr>
      </w:pPr>
      <w:r>
        <w:rPr>
          <w:rFonts w:ascii="Times New Roman" w:cs="Times New Roman" w:eastAsia="Times New Roman" w:hAnsi="Times New Roman"/>
          <w:sz w:val="21"/>
          <w:szCs w:val="21"/>
          <w:color w:val="auto"/>
        </w:rPr>
        <w:t>Notwithstanding the foregoing, the Participant shall not be entitled to terminate the Participant’s Continuous Service with the Company or its successors for Good Reason unless the following process is followed with respect to such termination. Within 90 days following the initial occurrence of an event that purportedly constitutes Good Reason, the Participant shall give the Company or its successors written notice of the occurrence of such event, setting forth the exact nature of such event and the conduct required to cure such event. The Company or its successors shall have 30 days from the receipt of such notice within which to cure such event (such period, the “</w:t>
      </w:r>
      <w:r>
        <w:rPr>
          <w:rFonts w:ascii="Times New Roman" w:cs="Times New Roman" w:eastAsia="Times New Roman" w:hAnsi="Times New Roman"/>
          <w:sz w:val="21"/>
          <w:szCs w:val="21"/>
          <w:b w:val="1"/>
          <w:bCs w:val="1"/>
          <w:color w:val="auto"/>
        </w:rPr>
        <w:t>Cure Period</w:t>
      </w:r>
      <w:r>
        <w:rPr>
          <w:rFonts w:ascii="Times New Roman" w:cs="Times New Roman" w:eastAsia="Times New Roman" w:hAnsi="Times New Roman"/>
          <w:sz w:val="21"/>
          <w:szCs w:val="21"/>
          <w:color w:val="auto"/>
        </w:rPr>
        <w:t>”). If, during the Cure Period, such event is cured, then the Participant shall not be permitted to terminate the Participant’s Continuous Service with the Company or its successors for Good Reason as a result of such event. If, at the end of the Cure Period, such event is not cured, the Participant shall be entitled to terminate the Participant’s Continuous Service with the Company or its successors for Good Reason as a result of such event during the 60 day period following the end of the Cure Period. If the Participant does not terminate the Participant’s Continuous Service with the Company or its successors for Good Reason during such 60 day period, the Participant shall not be permitted to terminate the Participant’s Continuous Service with the Company or its successors for Good Reason as a result of such event.</w:t>
      </w:r>
    </w:p>
    <w:p>
      <w:pPr>
        <w:spacing w:after="0" w:line="144" w:lineRule="exact"/>
        <w:rPr>
          <w:sz w:val="20"/>
          <w:szCs w:val="20"/>
          <w:color w:val="auto"/>
        </w:rPr>
      </w:pPr>
    </w:p>
    <w:p>
      <w:pPr>
        <w:ind w:right="700" w:firstLine="649"/>
        <w:spacing w:after="0" w:line="229" w:lineRule="auto"/>
        <w:tabs>
          <w:tab w:leader="none" w:pos="1279" w:val="left"/>
        </w:tabs>
        <w:numPr>
          <w:ilvl w:val="1"/>
          <w:numId w:val="3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Retirement</w:t>
      </w:r>
      <w:r>
        <w:rPr>
          <w:rFonts w:ascii="Times New Roman" w:cs="Times New Roman" w:eastAsia="Times New Roman" w:hAnsi="Times New Roman"/>
          <w:sz w:val="21"/>
          <w:szCs w:val="21"/>
          <w:color w:val="auto"/>
        </w:rPr>
        <w:t>. For purpose of this Award Agreement, “</w:t>
      </w:r>
      <w:r>
        <w:rPr>
          <w:rFonts w:ascii="Times New Roman" w:cs="Times New Roman" w:eastAsia="Times New Roman" w:hAnsi="Times New Roman"/>
          <w:sz w:val="21"/>
          <w:szCs w:val="21"/>
          <w:b w:val="1"/>
          <w:bCs w:val="1"/>
          <w:color w:val="auto"/>
        </w:rPr>
        <w:t>Retirement</w:t>
      </w:r>
      <w:r>
        <w:rPr>
          <w:rFonts w:ascii="Times New Roman" w:cs="Times New Roman" w:eastAsia="Times New Roman" w:hAnsi="Times New Roman"/>
          <w:sz w:val="21"/>
          <w:szCs w:val="21"/>
          <w:color w:val="auto"/>
        </w:rPr>
        <w:t>” means, unless otherwise defined in the Participant’s written employment arrangements with the Company or any Related Entity in effect on the Date of Grant (as amended from time to time thereafter), and unless otherwise determined by the Committee, termination of the Participant’s Continuous Service after both (i) at least 10 years of employment and (ii) attaining at least 55 years of age.</w:t>
      </w:r>
    </w:p>
    <w:p>
      <w:pPr>
        <w:spacing w:after="0" w:line="152" w:lineRule="exact"/>
        <w:rPr>
          <w:rFonts w:ascii="Times New Roman" w:cs="Times New Roman" w:eastAsia="Times New Roman" w:hAnsi="Times New Roman"/>
          <w:sz w:val="21"/>
          <w:szCs w:val="21"/>
          <w:color w:val="auto"/>
        </w:rPr>
      </w:pPr>
    </w:p>
    <w:p>
      <w:pPr>
        <w:ind w:right="20" w:firstLine="7"/>
        <w:spacing w:after="0" w:line="219" w:lineRule="auto"/>
        <w:tabs>
          <w:tab w:leader="none" w:pos="642" w:val="left"/>
        </w:tabs>
        <w:numPr>
          <w:ilvl w:val="0"/>
          <w:numId w:val="3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Dividend Equivalent Rights</w:t>
      </w:r>
      <w:r>
        <w:rPr>
          <w:rFonts w:ascii="Times New Roman" w:cs="Times New Roman" w:eastAsia="Times New Roman" w:hAnsi="Times New Roman"/>
          <w:sz w:val="21"/>
          <w:szCs w:val="21"/>
          <w:color w:val="auto"/>
        </w:rPr>
        <w:t xml:space="preserve">. From the beginning of the Performance Cycle and until the Performance Units are settled pursuant to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the Participant’s account will be credited with Dividend Equivalent Rights (without interest and earnings) at the same time, in the same form, and in equivalent amounts as dividends that were declared and paid on Shares during each fiscal quarter of the Performance Cycle. Dividend Equivalent Rights will be credited in the form of additional Performance Units and the amount of the Dividend Equivalent Rights will be determined based on the total number of Performance Units earned at the end of the Performance Cycle or vested. The additional number of Performance Units credited to the Participant’s account shall equal the amount of such Dividend Equivalent Right divided by the closing price of the Shares on the dividend payment date during the appropriate Performance Cycle. Incremental Performance Units credited for dividends may also earn Dividend Equivalent Rights. Additional Performance Units granted as Dividend Equivalent Rights shall be subject to the same vesting and forfeiture restrictions as the Performance Units to which they are attributable.</w:t>
      </w:r>
    </w:p>
    <w:p>
      <w:pPr>
        <w:spacing w:after="0" w:line="150" w:lineRule="exact"/>
        <w:rPr>
          <w:rFonts w:ascii="Times New Roman" w:cs="Times New Roman" w:eastAsia="Times New Roman" w:hAnsi="Times New Roman"/>
          <w:sz w:val="21"/>
          <w:szCs w:val="21"/>
          <w:color w:val="auto"/>
        </w:rPr>
      </w:pPr>
    </w:p>
    <w:p>
      <w:pPr>
        <w:jc w:val="both"/>
        <w:ind w:right="20" w:firstLine="7"/>
        <w:spacing w:after="0" w:line="228" w:lineRule="auto"/>
        <w:tabs>
          <w:tab w:leader="none" w:pos="642" w:val="left"/>
        </w:tabs>
        <w:numPr>
          <w:ilvl w:val="0"/>
          <w:numId w:val="3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Settlement of Performance Units</w:t>
      </w:r>
      <w:r>
        <w:rPr>
          <w:rFonts w:ascii="Times New Roman" w:cs="Times New Roman" w:eastAsia="Times New Roman" w:hAnsi="Times New Roman"/>
          <w:sz w:val="21"/>
          <w:szCs w:val="21"/>
          <w:color w:val="auto"/>
        </w:rPr>
        <w:t xml:space="preserve">. If the Performance Units vest, the Participant shall receive one Share with respect to each vested Performance Unit (including any vested Performance Units attributable to Dividend Equivalent Rights) and a cash payment in respect of any Dividend Equivalent Rights paid in cash (subject to the withholding requirements set forth in the Plan and </w:t>
      </w:r>
      <w:r>
        <w:rPr>
          <w:rFonts w:ascii="Times New Roman" w:cs="Times New Roman" w:eastAsia="Times New Roman" w:hAnsi="Times New Roman"/>
          <w:sz w:val="21"/>
          <w:szCs w:val="21"/>
          <w:u w:val="single" w:color="auto"/>
          <w:color w:val="auto"/>
        </w:rPr>
        <w:t>Section 10</w:t>
      </w:r>
      <w:r>
        <w:rPr>
          <w:rFonts w:ascii="Times New Roman" w:cs="Times New Roman" w:eastAsia="Times New Roman" w:hAnsi="Times New Roman"/>
          <w:sz w:val="21"/>
          <w:szCs w:val="21"/>
          <w:color w:val="auto"/>
        </w:rPr>
        <w:t xml:space="preserve"> below). The issuance of Shares underlying any Performance Units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82" w:right="339" w:bottom="1440" w:gutter="0" w:footer="0" w:header="0"/>
        </w:sectPr>
      </w:pPr>
    </w:p>
    <w:bookmarkStart w:id="492" w:name="page493"/>
    <w:bookmarkEnd w:id="492"/>
    <w:p>
      <w:pPr>
        <w:spacing w:after="0" w:line="220" w:lineRule="auto"/>
        <w:rPr>
          <w:sz w:val="20"/>
          <w:szCs w:val="20"/>
          <w:color w:val="auto"/>
        </w:rPr>
      </w:pPr>
      <w:r>
        <w:rPr>
          <w:rFonts w:ascii="Times New Roman" w:cs="Times New Roman" w:eastAsia="Times New Roman" w:hAnsi="Times New Roman"/>
          <w:sz w:val="21"/>
          <w:szCs w:val="21"/>
          <w:color w:val="auto"/>
        </w:rPr>
        <w:t xml:space="preserve">vest shall occur (A) if the Performance Units vest on the last day of the Performance Cycle pursuant to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5(b)</w:t>
      </w:r>
      <w:r>
        <w:rPr>
          <w:rFonts w:ascii="Times New Roman" w:cs="Times New Roman" w:eastAsia="Times New Roman" w:hAnsi="Times New Roman"/>
          <w:sz w:val="21"/>
          <w:szCs w:val="21"/>
          <w:color w:val="auto"/>
        </w:rPr>
        <w:t xml:space="preserve"> above, as soon as administratively possible, as determined solely by the Company, in the calendar year following the end of the Performance Cycle, but in no event later than March 15 of such calendar year and (B) if the Performance Units vest before the last day of the Performance Cycle due to the termination of Participant’s Continuous Service pursuant to </w:t>
      </w:r>
      <w:r>
        <w:rPr>
          <w:rFonts w:ascii="Times New Roman" w:cs="Times New Roman" w:eastAsia="Times New Roman" w:hAnsi="Times New Roman"/>
          <w:sz w:val="21"/>
          <w:szCs w:val="21"/>
          <w:u w:val="single" w:color="auto"/>
          <w:color w:val="auto"/>
        </w:rPr>
        <w:t>Section 5(a)</w:t>
      </w:r>
      <w:r>
        <w:rPr>
          <w:rFonts w:ascii="Times New Roman" w:cs="Times New Roman" w:eastAsia="Times New Roman" w:hAnsi="Times New Roman"/>
          <w:sz w:val="21"/>
          <w:szCs w:val="21"/>
          <w:color w:val="auto"/>
        </w:rPr>
        <w:t xml:space="preserve"> or otherwise, within 60 days following the date the Performance Units vest. Upon a distribution of Shares as provided herein, the Company shall cause the Shares then being distributed to be registered in the Participant’s name. From and after the date of receipt of such distribution, the Participant or the Participant’s legal representatives, beneficiaries or heirs, as the case may be, shall have full rights of transfer or resale with respect to such Shares subject to applicable Company policies and state and federal regulations.</w:t>
      </w:r>
    </w:p>
    <w:p>
      <w:pPr>
        <w:spacing w:after="0" w:line="155" w:lineRule="exact"/>
        <w:rPr>
          <w:sz w:val="20"/>
          <w:szCs w:val="20"/>
          <w:color w:val="auto"/>
        </w:rPr>
      </w:pPr>
    </w:p>
    <w:p>
      <w:pPr>
        <w:jc w:val="both"/>
        <w:ind w:right="780" w:firstLine="7"/>
        <w:spacing w:after="0" w:line="234" w:lineRule="auto"/>
        <w:tabs>
          <w:tab w:leader="none" w:pos="642" w:val="left"/>
        </w:tabs>
        <w:numPr>
          <w:ilvl w:val="0"/>
          <w:numId w:val="3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Administration</w:t>
      </w:r>
      <w:r>
        <w:rPr>
          <w:rFonts w:ascii="Times New Roman" w:cs="Times New Roman" w:eastAsia="Times New Roman" w:hAnsi="Times New Roman"/>
          <w:sz w:val="21"/>
          <w:szCs w:val="21"/>
          <w:color w:val="auto"/>
        </w:rPr>
        <w:t>. This Award Agreement and the rights of the Participant hereunder are subject to all the terms and conditions of the Plan and, to the extent applicable, the terms of any employment or change in control agreement with the Company in effect on the Date of Grant.</w:t>
      </w:r>
    </w:p>
    <w:p>
      <w:pPr>
        <w:spacing w:after="0" w:line="149" w:lineRule="exact"/>
        <w:rPr>
          <w:rFonts w:ascii="Times New Roman" w:cs="Times New Roman" w:eastAsia="Times New Roman" w:hAnsi="Times New Roman"/>
          <w:sz w:val="21"/>
          <w:szCs w:val="21"/>
          <w:color w:val="auto"/>
        </w:rPr>
      </w:pPr>
    </w:p>
    <w:p>
      <w:pPr>
        <w:ind w:firstLine="7"/>
        <w:spacing w:after="0" w:line="218" w:lineRule="auto"/>
        <w:tabs>
          <w:tab w:leader="none" w:pos="642" w:val="left"/>
        </w:tabs>
        <w:numPr>
          <w:ilvl w:val="0"/>
          <w:numId w:val="3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Liability and Withholding</w:t>
      </w:r>
      <w:r>
        <w:rPr>
          <w:rFonts w:ascii="Times New Roman" w:cs="Times New Roman" w:eastAsia="Times New Roman" w:hAnsi="Times New Roman"/>
          <w:sz w:val="21"/>
          <w:szCs w:val="21"/>
          <w:color w:val="auto"/>
        </w:rPr>
        <w:t>. The Participant shall be required to pay to the Company, and the Company shall have the right to deduct from any compensation paid to the Participant pursuant to the Plan, the amount of any required withholding taxes in respect of the Performance Units and any Dividend Equivalent Rights, and to take all such other action as the Committee deems necessary to satisfy all obligations for the payment of such withholding taxes. Unless otherwise approved by the Committee, the Participant shall satisfy any federal, state or local tax withholding obligation by authorizing the Company to withhold Shares from the Shares otherwise issuable or deliverable to the Participant as a result of the vesting of the Performance Units; provided, however, that no Shares shall be withheld with a value exceeding the maximum rate of withholding in the applicable jurisdiction. Notwithstanding any action the Company takes with respect to any or all income tax, social insurance, payroll tax, or other tax-related withholding (“</w:t>
      </w:r>
      <w:r>
        <w:rPr>
          <w:rFonts w:ascii="Times New Roman" w:cs="Times New Roman" w:eastAsia="Times New Roman" w:hAnsi="Times New Roman"/>
          <w:sz w:val="21"/>
          <w:szCs w:val="21"/>
          <w:b w:val="1"/>
          <w:bCs w:val="1"/>
          <w:color w:val="auto"/>
        </w:rPr>
        <w:t>Tax-Related Items</w:t>
      </w:r>
      <w:r>
        <w:rPr>
          <w:rFonts w:ascii="Times New Roman" w:cs="Times New Roman" w:eastAsia="Times New Roman" w:hAnsi="Times New Roman"/>
          <w:sz w:val="21"/>
          <w:szCs w:val="21"/>
          <w:color w:val="auto"/>
        </w:rPr>
        <w:t>”), the ultimate liability for all Tax-Related Items is and remains the Participant’s responsibility and the Company (a) makes no representation or undertakings regarding the treatment of any Tax-Related Items in connection with the grant, vesting or settlement of the Performance Units or the subsequent sale of any Shares; and (b) does not commit to structure the Performance Units to reduce or eliminate the Participant’s liability for Tax-Related Items.</w:t>
      </w:r>
    </w:p>
    <w:p>
      <w:pPr>
        <w:spacing w:after="0" w:line="149" w:lineRule="exact"/>
        <w:rPr>
          <w:rFonts w:ascii="Times New Roman" w:cs="Times New Roman" w:eastAsia="Times New Roman" w:hAnsi="Times New Roman"/>
          <w:sz w:val="21"/>
          <w:szCs w:val="21"/>
          <w:color w:val="auto"/>
        </w:rPr>
      </w:pPr>
    </w:p>
    <w:p>
      <w:pPr>
        <w:ind w:right="60" w:firstLine="7"/>
        <w:spacing w:after="0" w:line="219" w:lineRule="auto"/>
        <w:tabs>
          <w:tab w:leader="none" w:pos="634" w:val="left"/>
        </w:tabs>
        <w:numPr>
          <w:ilvl w:val="0"/>
          <w:numId w:val="3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This Award Agreement is intended to comply with Section 409A or an exemption thereunder and shall be construed and interpreted in a manner that is consistent with the requirements for avoiding additional taxes or penalties under Section 409A. Notwithstanding the foregoing, the Company makes no representations that the payments and benefits provided under this Award Agreement comply with Section 409A and in no event shall the Company be liable for all or any portion of any taxes, penalties, interest or other expenses that may be incurred by the Participant on account of non-compliance with Section 409A. Notwithstanding anything to the contrary herein, if the Participant is a “specified employee” as defined in Section 409A, in the case of a distribution of Shares due to any termination, other than due to death, to the extent required to avoid incurring taxes under Section 409A, the distribution of Shares (and any Dividend Equivalent Rights) in respect of the vested Performance Units shall not occur until the date which is six months following the Termination Date (or, if earlier, upon the death of the Participant).</w:t>
      </w:r>
    </w:p>
    <w:p>
      <w:pPr>
        <w:spacing w:after="0" w:line="156" w:lineRule="exact"/>
        <w:rPr>
          <w:rFonts w:ascii="Times New Roman" w:cs="Times New Roman" w:eastAsia="Times New Roman" w:hAnsi="Times New Roman"/>
          <w:sz w:val="21"/>
          <w:szCs w:val="21"/>
          <w:color w:val="auto"/>
        </w:rPr>
      </w:pPr>
    </w:p>
    <w:p>
      <w:pPr>
        <w:ind w:left="640" w:hanging="633"/>
        <w:spacing w:after="0"/>
        <w:tabs>
          <w:tab w:leader="none" w:pos="640" w:val="left"/>
        </w:tabs>
        <w:numPr>
          <w:ilvl w:val="0"/>
          <w:numId w:val="3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Miscellaneous</w:t>
      </w:r>
      <w:r>
        <w:rPr>
          <w:rFonts w:ascii="Times New Roman" w:cs="Times New Roman" w:eastAsia="Times New Roman" w:hAnsi="Times New Roman"/>
          <w:sz w:val="21"/>
          <w:szCs w:val="21"/>
          <w:color w:val="auto"/>
        </w:rPr>
        <w:t>.</w:t>
      </w:r>
    </w:p>
    <w:p>
      <w:pPr>
        <w:spacing w:after="0" w:line="186" w:lineRule="exact"/>
        <w:rPr>
          <w:rFonts w:ascii="Times New Roman" w:cs="Times New Roman" w:eastAsia="Times New Roman" w:hAnsi="Times New Roman"/>
          <w:sz w:val="21"/>
          <w:szCs w:val="21"/>
          <w:color w:val="auto"/>
        </w:rPr>
      </w:pPr>
    </w:p>
    <w:p>
      <w:pPr>
        <w:ind w:right="260" w:firstLine="649"/>
        <w:spacing w:after="0" w:line="234" w:lineRule="auto"/>
        <w:tabs>
          <w:tab w:leader="none" w:pos="1281" w:val="left"/>
        </w:tabs>
        <w:numPr>
          <w:ilvl w:val="1"/>
          <w:numId w:val="3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Nothing in this Award Agreement or the Plan shall interfere with or limit in any way the right of the Company to terminate the Participant’s Continuous Service, nor confer upon the Participant any right to continued employment with the Company or continued service as a Board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00"/>
          </w:cols>
          <w:pgMar w:left="320" w:top="1382" w:right="379" w:bottom="1440" w:gutter="0" w:footer="0" w:header="0"/>
        </w:sectPr>
      </w:pPr>
    </w:p>
    <w:bookmarkStart w:id="493" w:name="page494"/>
    <w:bookmarkEnd w:id="493"/>
    <w:p>
      <w:pPr>
        <w:ind w:left="-60" w:right="320" w:firstLine="649"/>
        <w:spacing w:after="0" w:line="234" w:lineRule="auto"/>
        <w:tabs>
          <w:tab w:leader="none" w:pos="1219" w:val="left"/>
        </w:tabs>
        <w:numPr>
          <w:ilvl w:val="0"/>
          <w:numId w:val="3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the approval of the Board in its sole discretion, the Committee may terminate, amend, or modify the Plan;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no such termination, amendment, or modification of the Plan may in any way adversely affect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Participant’s rights under this Award Agreement without the Participant’s written consent.</w:t>
      </w:r>
    </w:p>
    <w:p>
      <w:pPr>
        <w:spacing w:after="0" w:line="149" w:lineRule="exact"/>
        <w:rPr>
          <w:rFonts w:ascii="Times New Roman" w:cs="Times New Roman" w:eastAsia="Times New Roman" w:hAnsi="Times New Roman"/>
          <w:sz w:val="21"/>
          <w:szCs w:val="21"/>
          <w:color w:val="auto"/>
        </w:rPr>
      </w:pPr>
    </w:p>
    <w:p>
      <w:pPr>
        <w:ind w:left="-60" w:right="180" w:firstLine="649"/>
        <w:spacing w:after="0" w:line="249" w:lineRule="auto"/>
        <w:tabs>
          <w:tab w:leader="none" w:pos="1221" w:val="left"/>
        </w:tabs>
        <w:numPr>
          <w:ilvl w:val="0"/>
          <w:numId w:val="3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 shall not have voting rights with respect to the Performance Units until the Performance Units are settled and have been distributed as Shares.</w:t>
      </w:r>
    </w:p>
    <w:p>
      <w:pPr>
        <w:spacing w:after="0" w:line="140" w:lineRule="exact"/>
        <w:rPr>
          <w:rFonts w:ascii="Times New Roman" w:cs="Times New Roman" w:eastAsia="Times New Roman" w:hAnsi="Times New Roman"/>
          <w:sz w:val="21"/>
          <w:szCs w:val="21"/>
          <w:color w:val="auto"/>
        </w:rPr>
      </w:pPr>
    </w:p>
    <w:p>
      <w:pPr>
        <w:ind w:left="-60" w:firstLine="649"/>
        <w:spacing w:after="0" w:line="249" w:lineRule="auto"/>
        <w:tabs>
          <w:tab w:leader="none" w:pos="1219" w:val="left"/>
        </w:tabs>
        <w:numPr>
          <w:ilvl w:val="0"/>
          <w:numId w:val="3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Award Agreement shall be subject to all Applicable Laws, rules, and regulations, and to such approvals by any governmental agencies or national securities exchanges as may be required.</w:t>
      </w:r>
    </w:p>
    <w:p>
      <w:pPr>
        <w:spacing w:after="0" w:line="140" w:lineRule="exact"/>
        <w:rPr>
          <w:rFonts w:ascii="Times New Roman" w:cs="Times New Roman" w:eastAsia="Times New Roman" w:hAnsi="Times New Roman"/>
          <w:sz w:val="21"/>
          <w:szCs w:val="21"/>
          <w:color w:val="auto"/>
        </w:rPr>
      </w:pPr>
    </w:p>
    <w:p>
      <w:pPr>
        <w:ind w:left="-60" w:right="20" w:firstLine="649"/>
        <w:spacing w:after="0" w:line="234" w:lineRule="auto"/>
        <w:tabs>
          <w:tab w:leader="none" w:pos="1221" w:val="left"/>
        </w:tabs>
        <w:numPr>
          <w:ilvl w:val="0"/>
          <w:numId w:val="3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Award Agreement shall be governed by the corporate laws of the State of Nevada, without giving effect to any conflict of law provisions that might otherwise refer construction or interpretation of this Award Agreement or the Plan to the substantive law of another jurisdiction.</w:t>
      </w:r>
    </w:p>
    <w:p>
      <w:pPr>
        <w:spacing w:after="0" w:line="149" w:lineRule="exact"/>
        <w:rPr>
          <w:rFonts w:ascii="Times New Roman" w:cs="Times New Roman" w:eastAsia="Times New Roman" w:hAnsi="Times New Roman"/>
          <w:sz w:val="21"/>
          <w:szCs w:val="21"/>
          <w:color w:val="auto"/>
        </w:rPr>
      </w:pPr>
    </w:p>
    <w:p>
      <w:pPr>
        <w:ind w:left="-60" w:right="540" w:firstLine="649"/>
        <w:spacing w:after="0" w:line="234" w:lineRule="auto"/>
        <w:tabs>
          <w:tab w:leader="none" w:pos="1224" w:val="left"/>
        </w:tabs>
        <w:numPr>
          <w:ilvl w:val="0"/>
          <w:numId w:val="3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dispute regarding the interpretation of this Award Agreement shall be submitted by the Participant or the Company to the Committee for review. The resolution of such dispute by the Committee shall be final and binding on the Participant and the Company.</w:t>
      </w:r>
    </w:p>
    <w:p>
      <w:pPr>
        <w:spacing w:after="0" w:line="149" w:lineRule="exact"/>
        <w:rPr>
          <w:rFonts w:ascii="Times New Roman" w:cs="Times New Roman" w:eastAsia="Times New Roman" w:hAnsi="Times New Roman"/>
          <w:sz w:val="21"/>
          <w:szCs w:val="21"/>
          <w:color w:val="auto"/>
        </w:rPr>
      </w:pPr>
    </w:p>
    <w:p>
      <w:pPr>
        <w:ind w:left="-60" w:right="200" w:firstLine="649"/>
        <w:spacing w:after="0" w:line="249" w:lineRule="auto"/>
        <w:tabs>
          <w:tab w:leader="none" w:pos="1219" w:val="left"/>
        </w:tabs>
        <w:numPr>
          <w:ilvl w:val="0"/>
          <w:numId w:val="3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value of the Participant’s Performance Units is not part of the Participant’s normal or expected compensation for purposes of calculating any severance, retirement, welfare, insurance or similar employee benefit.</w:t>
      </w:r>
    </w:p>
    <w:p>
      <w:pPr>
        <w:spacing w:after="0" w:line="140" w:lineRule="exact"/>
        <w:rPr>
          <w:rFonts w:ascii="Times New Roman" w:cs="Times New Roman" w:eastAsia="Times New Roman" w:hAnsi="Times New Roman"/>
          <w:sz w:val="21"/>
          <w:szCs w:val="21"/>
          <w:color w:val="auto"/>
        </w:rPr>
      </w:pPr>
    </w:p>
    <w:p>
      <w:pPr>
        <w:ind w:left="-60" w:right="300" w:firstLine="649"/>
        <w:spacing w:after="0" w:line="249" w:lineRule="auto"/>
        <w:tabs>
          <w:tab w:leader="none" w:pos="1219" w:val="left"/>
        </w:tabs>
        <w:numPr>
          <w:ilvl w:val="0"/>
          <w:numId w:val="3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understands that the Performance Units and the Shares settled therefrom, as well as any Performance Units that were previously awarded, are subject to the Company’s clawback policy as effective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140"/>
          </w:cols>
          <w:pgMar w:left="380" w:top="1382" w:right="379" w:bottom="1440" w:gutter="0" w:footer="0" w:header="0"/>
        </w:sectPr>
      </w:pPr>
    </w:p>
    <w:bookmarkStart w:id="494" w:name="page495"/>
    <w:bookmarkEnd w:id="494"/>
    <w:p>
      <w:pPr>
        <w:jc w:val="both"/>
        <w:ind w:firstLine="642"/>
        <w:spacing w:after="0" w:line="260" w:lineRule="auto"/>
        <w:rPr>
          <w:sz w:val="20"/>
          <w:szCs w:val="20"/>
          <w:color w:val="auto"/>
        </w:rPr>
      </w:pPr>
      <w:r>
        <w:rPr>
          <w:rFonts w:ascii="Times New Roman" w:cs="Times New Roman" w:eastAsia="Times New Roman" w:hAnsi="Times New Roman"/>
          <w:sz w:val="21"/>
          <w:szCs w:val="21"/>
          <w:b w:val="1"/>
          <w:bCs w:val="1"/>
          <w:color w:val="auto"/>
        </w:rPr>
        <w:t>The Participant acknowledges that this Award Agreement and the Plan set forth the entire understanding between the Participant and the Company regarding the acquisition of the Performance Units granted pursuant to this Award Agreement. The Participant has reviewed and fully understands all provisions of this Award Agreement and the Plan in their entirety. The Participant acknowledges that Performance Units awarded hereunder may not be sold, transferred, pledged, assigned, or otherwise alienated until the Performance Units are vested and the Performance Units are settled in the form of Shares. The Participant acknowledges that there may be adverse tax consequences upon the vesting or settlement of the Performance Units or disposition of the underlying shares and that the Participant has been advised to consult a tax advisor prior to such vesting, settlement or disposition.</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SOUTHWEST GAS HOLDINGS, INC.</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-7620</wp:posOffset>
            </wp:positionV>
            <wp:extent cx="13589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86">
                      <a:extLst>
                        <a:ext uri="{28A0092B-C50C-407E-A947-70E740481C1C}"/>
                      </a:extLst>
                    </a:blip>
                    <a:srcRect/>
                    <a:stretch>
                      <a:fillRect/>
                    </a:stretch>
                  </pic:blipFill>
                  <pic:spPr bwMode="auto">
                    <a:xfrm>
                      <a:off x="0" y="0"/>
                      <a:ext cx="135890" cy="8255"/>
                    </a:xfrm>
                    <a:prstGeom prst="rect">
                      <a:avLst/>
                    </a:prstGeom>
                    <a:noFill/>
                  </pic:spPr>
                </pic:pic>
              </a:graphicData>
            </a:graphic>
          </wp:anchor>
        </w:drawing>
      </w:r>
    </w:p>
    <w:p>
      <w:pPr>
        <w:spacing w:after="0" w:line="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1"/>
          <w:szCs w:val="21"/>
          <w:color w:val="auto"/>
        </w:rPr>
        <w:t>Karen S. Haller</w:t>
      </w:r>
    </w:p>
    <w:p>
      <w:pPr>
        <w:spacing w:after="0" w:line="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1"/>
          <w:szCs w:val="21"/>
          <w:color w:val="auto"/>
        </w:rPr>
        <w:t>President and Chief Executive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PARTICIPANT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-7620</wp:posOffset>
            </wp:positionV>
            <wp:extent cx="13589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87">
                      <a:extLst>
                        <a:ext uri="{28A0092B-C50C-407E-A947-70E740481C1C}"/>
                      </a:extLst>
                    </a:blip>
                    <a:srcRect/>
                    <a:stretch>
                      <a:fillRect/>
                    </a:stretch>
                  </pic:blipFill>
                  <pic:spPr bwMode="auto">
                    <a:xfrm>
                      <a:off x="0" y="0"/>
                      <a:ext cx="135890" cy="8255"/>
                    </a:xfrm>
                    <a:prstGeom prst="rect">
                      <a:avLst/>
                    </a:prstGeom>
                    <a:noFill/>
                  </pic:spPr>
                </pic:pic>
              </a:graphicData>
            </a:graphic>
          </wp:anchor>
        </w:drawing>
      </w:r>
    </w:p>
    <w:p>
      <w:pPr>
        <w:spacing w:after="0" w:line="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405" w:right="339" w:bottom="1440" w:gutter="0" w:footer="0" w:header="0"/>
        </w:sectPr>
      </w:pPr>
    </w:p>
    <w:bookmarkStart w:id="495" w:name="page496"/>
    <w:bookmarkEnd w:id="495"/>
    <w:p>
      <w:pPr>
        <w:ind w:left="5500" w:hanging="640"/>
        <w:spacing w:after="0"/>
        <w:tabs>
          <w:tab w:leader="none" w:pos="5500" w:val="left"/>
        </w:tabs>
        <w:numPr>
          <w:ilvl w:val="1"/>
          <w:numId w:val="3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Exhibit A</w:t>
      </w:r>
    </w:p>
    <w:p>
      <w:pPr>
        <w:spacing w:after="0" w:line="226" w:lineRule="exact"/>
        <w:rPr>
          <w:rFonts w:ascii="Times New Roman" w:cs="Times New Roman" w:eastAsia="Times New Roman" w:hAnsi="Times New Roman"/>
          <w:sz w:val="21"/>
          <w:szCs w:val="21"/>
          <w:color w:val="auto"/>
        </w:rPr>
      </w:pPr>
    </w:p>
    <w:p>
      <w:pPr>
        <w:ind w:right="40" w:firstLine="7"/>
        <w:spacing w:after="0" w:line="270" w:lineRule="auto"/>
        <w:tabs>
          <w:tab w:leader="none" w:pos="642" w:val="left"/>
        </w:tabs>
        <w:numPr>
          <w:ilvl w:val="0"/>
          <w:numId w:val="3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adjustment based on TSR as described below, 60% of the Target Performance Units (the “</w:t>
      </w:r>
      <w:r>
        <w:rPr>
          <w:rFonts w:ascii="Times New Roman" w:cs="Times New Roman" w:eastAsia="Times New Roman" w:hAnsi="Times New Roman"/>
          <w:sz w:val="21"/>
          <w:szCs w:val="21"/>
          <w:b w:val="1"/>
          <w:bCs w:val="1"/>
          <w:color w:val="auto"/>
        </w:rPr>
        <w:t>UNI Units</w:t>
      </w:r>
      <w:r>
        <w:rPr>
          <w:rFonts w:ascii="Times New Roman" w:cs="Times New Roman" w:eastAsia="Times New Roman" w:hAnsi="Times New Roman"/>
          <w:sz w:val="21"/>
          <w:szCs w:val="21"/>
          <w:color w:val="auto"/>
        </w:rPr>
        <w:t>”) shall vest based on achievement of performance goals relating to adjusted net income of Southwest Gas Corporation (“</w:t>
      </w:r>
      <w:r>
        <w:rPr>
          <w:rFonts w:ascii="Times New Roman" w:cs="Times New Roman" w:eastAsia="Times New Roman" w:hAnsi="Times New Roman"/>
          <w:sz w:val="21"/>
          <w:szCs w:val="21"/>
          <w:b w:val="1"/>
          <w:bCs w:val="1"/>
          <w:color w:val="auto"/>
        </w:rPr>
        <w:t>SWG</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Utility</w:t>
      </w:r>
      <w:r>
        <w:rPr>
          <w:rFonts w:ascii="Times New Roman" w:cs="Times New Roman" w:eastAsia="Times New Roman" w:hAnsi="Times New Roman"/>
          <w:sz w:val="21"/>
          <w:szCs w:val="21"/>
          <w:color w:val="auto"/>
        </w:rPr>
        <w:t>”) and 40% of the Target Performance Units (the “</w:t>
      </w:r>
      <w:r>
        <w:rPr>
          <w:rFonts w:ascii="Times New Roman" w:cs="Times New Roman" w:eastAsia="Times New Roman" w:hAnsi="Times New Roman"/>
          <w:sz w:val="21"/>
          <w:szCs w:val="21"/>
          <w:b w:val="1"/>
          <w:bCs w:val="1"/>
          <w:color w:val="auto"/>
        </w:rPr>
        <w:t>ROE Units</w:t>
      </w:r>
      <w:r>
        <w:rPr>
          <w:rFonts w:ascii="Times New Roman" w:cs="Times New Roman" w:eastAsia="Times New Roman" w:hAnsi="Times New Roman"/>
          <w:sz w:val="21"/>
          <w:szCs w:val="21"/>
          <w:color w:val="auto"/>
        </w:rPr>
        <w:t>”) shall vest based on achievement of performance goals relating to Utility return on equity (“</w:t>
      </w:r>
      <w:r>
        <w:rPr>
          <w:rFonts w:ascii="Times New Roman" w:cs="Times New Roman" w:eastAsia="Times New Roman" w:hAnsi="Times New Roman"/>
          <w:sz w:val="21"/>
          <w:szCs w:val="21"/>
          <w:b w:val="1"/>
          <w:bCs w:val="1"/>
          <w:color w:val="auto"/>
        </w:rPr>
        <w:t>ROE</w:t>
      </w:r>
      <w:r>
        <w:rPr>
          <w:rFonts w:ascii="Times New Roman" w:cs="Times New Roman" w:eastAsia="Times New Roman" w:hAnsi="Times New Roman"/>
          <w:sz w:val="21"/>
          <w:szCs w:val="21"/>
          <w:color w:val="auto"/>
        </w:rPr>
        <w:t>”).</w:t>
      </w:r>
    </w:p>
    <w:p>
      <w:pPr>
        <w:spacing w:after="0" w:line="161" w:lineRule="exact"/>
        <w:rPr>
          <w:rFonts w:ascii="Times New Roman" w:cs="Times New Roman" w:eastAsia="Times New Roman" w:hAnsi="Times New Roman"/>
          <w:sz w:val="21"/>
          <w:szCs w:val="21"/>
          <w:color w:val="auto"/>
        </w:rPr>
      </w:pPr>
    </w:p>
    <w:p>
      <w:pPr>
        <w:ind w:left="640" w:hanging="633"/>
        <w:spacing w:after="0"/>
        <w:tabs>
          <w:tab w:leader="none" w:pos="640" w:val="left"/>
        </w:tabs>
        <w:numPr>
          <w:ilvl w:val="0"/>
          <w:numId w:val="3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UNI Units</w:t>
      </w:r>
      <w:r>
        <w:rPr>
          <w:rFonts w:ascii="Times New Roman" w:cs="Times New Roman" w:eastAsia="Times New Roman" w:hAnsi="Times New Roman"/>
          <w:sz w:val="21"/>
          <w:szCs w:val="21"/>
          <w:color w:val="auto"/>
        </w:rPr>
        <w:t>.</w:t>
      </w:r>
    </w:p>
    <w:p>
      <w:pPr>
        <w:spacing w:after="0" w:line="226" w:lineRule="exact"/>
        <w:rPr>
          <w:rFonts w:ascii="Times New Roman" w:cs="Times New Roman" w:eastAsia="Times New Roman" w:hAnsi="Times New Roman"/>
          <w:sz w:val="21"/>
          <w:szCs w:val="21"/>
          <w:color w:val="auto"/>
        </w:rPr>
      </w:pPr>
    </w:p>
    <w:p>
      <w:pPr>
        <w:ind w:right="80" w:firstLine="7"/>
        <w:spacing w:after="0" w:line="265" w:lineRule="auto"/>
        <w:tabs>
          <w:tab w:leader="none" w:pos="642" w:val="left"/>
        </w:tabs>
        <w:numPr>
          <w:ilvl w:val="0"/>
          <w:numId w:val="3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Vesting of UNI Units is contingent upon cumulative adjusted net income achieved by SWG for the three-year Performance Cycle beginning with the fiscal year in which the Performance Units are granted. Cumulative three-year adjusted net income is calculated by adding together the adjusted net income for each year of the Performance Cycle. Cumulative three-year adjusted net income shall be calculated using generally accepted accounting principles, adjusted to exclude the impacts of company owned life insurance as well other adjustments as determined by the Committee.</w:t>
      </w:r>
    </w:p>
    <w:p>
      <w:pPr>
        <w:spacing w:after="0" w:line="165" w:lineRule="exact"/>
        <w:rPr>
          <w:sz w:val="20"/>
          <w:szCs w:val="20"/>
          <w:color w:val="auto"/>
        </w:rPr>
      </w:pPr>
    </w:p>
    <w:p>
      <w:pPr>
        <w:ind w:right="460"/>
        <w:spacing w:after="0" w:line="271" w:lineRule="auto"/>
        <w:rPr>
          <w:sz w:val="20"/>
          <w:szCs w:val="20"/>
          <w:color w:val="auto"/>
        </w:rPr>
      </w:pPr>
      <w:r>
        <w:rPr>
          <w:rFonts w:ascii="Times New Roman" w:cs="Times New Roman" w:eastAsia="Times New Roman" w:hAnsi="Times New Roman"/>
          <w:sz w:val="21"/>
          <w:szCs w:val="21"/>
          <w:color w:val="auto"/>
        </w:rPr>
        <w:t>Subject to adjustment based on TSR as described below, UNI Units will vest as illustrated in the performance schedule below. Should the performance levels achieved be between the stated criteria below, the percentage of UNI Units vesting will be determined by straight-line interpolation.</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339"/>
        </w:trPr>
        <w:tc>
          <w:tcPr>
            <w:tcW w:w="8520" w:type="dxa"/>
            <w:vAlign w:val="bottom"/>
            <w:tcBorders>
              <w:top w:val="single" w:sz="8" w:color="auto"/>
              <w:left w:val="single" w:sz="8" w:color="auto"/>
              <w:bottom w:val="single" w:sz="8" w:color="BFBFBF"/>
              <w:right w:val="single" w:sz="8" w:color="BFBFBF"/>
            </w:tcBorders>
            <w:gridSpan w:val="6"/>
            <w:shd w:val="clear" w:color="auto" w:fill="BFBFBF"/>
          </w:tcPr>
          <w:p>
            <w:pPr>
              <w:ind w:left="40"/>
              <w:spacing w:after="0"/>
              <w:rPr>
                <w:sz w:val="20"/>
                <w:szCs w:val="20"/>
                <w:color w:val="auto"/>
              </w:rPr>
            </w:pPr>
            <w:r>
              <w:rPr>
                <w:rFonts w:ascii="Times New Roman" w:cs="Times New Roman" w:eastAsia="Times New Roman" w:hAnsi="Times New Roman"/>
                <w:sz w:val="21"/>
                <w:szCs w:val="21"/>
                <w:b w:val="1"/>
                <w:bCs w:val="1"/>
                <w:color w:val="auto"/>
              </w:rPr>
              <w:t>UNI Unit Performance Schedule Fiscal Years 2025-2027</w:t>
            </w:r>
          </w:p>
        </w:tc>
        <w:tc>
          <w:tcPr>
            <w:tcW w:w="560" w:type="dxa"/>
            <w:vAlign w:val="bottom"/>
            <w:tcBorders>
              <w:top w:val="single" w:sz="8" w:color="auto"/>
              <w:bottom w:val="single" w:sz="8" w:color="BFBFBF"/>
            </w:tcBorders>
            <w:shd w:val="clear" w:color="auto" w:fill="BFBFBF"/>
          </w:tcPr>
          <w:p>
            <w:pPr>
              <w:spacing w:after="0"/>
              <w:rPr>
                <w:sz w:val="24"/>
                <w:szCs w:val="24"/>
                <w:color w:val="auto"/>
              </w:rPr>
            </w:pPr>
          </w:p>
        </w:tc>
        <w:tc>
          <w:tcPr>
            <w:tcW w:w="1580" w:type="dxa"/>
            <w:vAlign w:val="bottom"/>
            <w:tcBorders>
              <w:top w:val="single" w:sz="8" w:color="auto"/>
              <w:bottom w:val="single" w:sz="8" w:color="BFBFBF"/>
            </w:tcBorders>
            <w:shd w:val="clear" w:color="auto" w:fill="BFBFBF"/>
          </w:tcPr>
          <w:p>
            <w:pPr>
              <w:spacing w:after="0"/>
              <w:rPr>
                <w:sz w:val="24"/>
                <w:szCs w:val="24"/>
                <w:color w:val="auto"/>
              </w:rPr>
            </w:pPr>
          </w:p>
        </w:tc>
        <w:tc>
          <w:tcPr>
            <w:tcW w:w="600" w:type="dxa"/>
            <w:vAlign w:val="bottom"/>
            <w:tcBorders>
              <w:top w:val="single" w:sz="8" w:color="auto"/>
              <w:bottom w:val="single" w:sz="8" w:color="BFBFBF"/>
              <w:right w:val="single" w:sz="8" w:color="auto"/>
            </w:tcBorders>
            <w:shd w:val="clear" w:color="auto" w:fill="BFBFBF"/>
          </w:tcPr>
          <w:p>
            <w:pPr>
              <w:spacing w:after="0"/>
              <w:rPr>
                <w:sz w:val="24"/>
                <w:szCs w:val="24"/>
                <w:color w:val="auto"/>
              </w:rPr>
            </w:pPr>
          </w:p>
        </w:tc>
      </w:tr>
      <w:tr>
        <w:trPr>
          <w:trHeight w:val="234"/>
        </w:trPr>
        <w:tc>
          <w:tcPr>
            <w:tcW w:w="2760" w:type="dxa"/>
            <w:vAlign w:val="bottom"/>
            <w:tcBorders>
              <w:top w:val="single" w:sz="8" w:color="auto"/>
              <w:left w:val="single" w:sz="8" w:color="auto"/>
              <w:right w:val="single" w:sz="8" w:color="auto"/>
            </w:tcBorders>
            <w:gridSpan w:val="3"/>
          </w:tcPr>
          <w:p>
            <w:pPr>
              <w:ind w:left="500"/>
              <w:spacing w:after="0" w:line="234" w:lineRule="exact"/>
              <w:rPr>
                <w:sz w:val="20"/>
                <w:szCs w:val="20"/>
                <w:color w:val="auto"/>
              </w:rPr>
            </w:pPr>
            <w:r>
              <w:rPr>
                <w:rFonts w:ascii="Times New Roman" w:cs="Times New Roman" w:eastAsia="Times New Roman" w:hAnsi="Times New Roman"/>
                <w:sz w:val="21"/>
                <w:szCs w:val="21"/>
                <w:b w:val="1"/>
                <w:bCs w:val="1"/>
                <w:color w:val="auto"/>
              </w:rPr>
              <w:t>Performance Level</w:t>
            </w:r>
          </w:p>
        </w:tc>
        <w:tc>
          <w:tcPr>
            <w:tcW w:w="1000" w:type="dxa"/>
            <w:vAlign w:val="bottom"/>
            <w:tcBorders>
              <w:top w:val="single" w:sz="8" w:color="auto"/>
            </w:tcBorders>
          </w:tcPr>
          <w:p>
            <w:pPr>
              <w:spacing w:after="0"/>
              <w:rPr>
                <w:sz w:val="20"/>
                <w:szCs w:val="20"/>
                <w:color w:val="auto"/>
              </w:rPr>
            </w:pPr>
          </w:p>
        </w:tc>
        <w:tc>
          <w:tcPr>
            <w:tcW w:w="4760" w:type="dxa"/>
            <w:vAlign w:val="bottom"/>
            <w:tcBorders>
              <w:top w:val="single" w:sz="8" w:color="auto"/>
              <w:right w:val="single" w:sz="8" w:color="auto"/>
            </w:tcBorders>
            <w:gridSpan w:val="2"/>
          </w:tcPr>
          <w:p>
            <w:pPr>
              <w:jc w:val="center"/>
              <w:ind w:right="1040"/>
              <w:spacing w:after="0" w:line="234" w:lineRule="exact"/>
              <w:rPr>
                <w:sz w:val="20"/>
                <w:szCs w:val="20"/>
                <w:color w:val="auto"/>
              </w:rPr>
            </w:pPr>
            <w:r>
              <w:rPr>
                <w:rFonts w:ascii="Times New Roman" w:cs="Times New Roman" w:eastAsia="Times New Roman" w:hAnsi="Times New Roman"/>
                <w:sz w:val="21"/>
                <w:szCs w:val="21"/>
                <w:b w:val="1"/>
                <w:bCs w:val="1"/>
                <w:color w:val="auto"/>
              </w:rPr>
              <w:t>Cumulative 3-Year Adjusted Net Income</w:t>
            </w:r>
          </w:p>
        </w:tc>
        <w:tc>
          <w:tcPr>
            <w:tcW w:w="2740" w:type="dxa"/>
            <w:vAlign w:val="bottom"/>
            <w:tcBorders>
              <w:top w:val="single" w:sz="8" w:color="auto"/>
              <w:right w:val="single" w:sz="8" w:color="auto"/>
            </w:tcBorders>
            <w:gridSpan w:val="3"/>
          </w:tcPr>
          <w:p>
            <w:pPr>
              <w:ind w:left="560"/>
              <w:spacing w:after="0" w:line="234" w:lineRule="exact"/>
              <w:rPr>
                <w:sz w:val="20"/>
                <w:szCs w:val="20"/>
                <w:color w:val="auto"/>
              </w:rPr>
            </w:pPr>
            <w:r>
              <w:rPr>
                <w:rFonts w:ascii="Times New Roman" w:cs="Times New Roman" w:eastAsia="Times New Roman" w:hAnsi="Times New Roman"/>
                <w:sz w:val="21"/>
                <w:szCs w:val="21"/>
                <w:b w:val="1"/>
                <w:bCs w:val="1"/>
                <w:color w:val="auto"/>
              </w:rPr>
              <w:t>Vested UNI Units</w:t>
            </w:r>
          </w:p>
        </w:tc>
      </w:tr>
      <w:tr>
        <w:trPr>
          <w:trHeight w:val="60"/>
        </w:trPr>
        <w:tc>
          <w:tcPr>
            <w:tcW w:w="500" w:type="dxa"/>
            <w:vAlign w:val="bottom"/>
            <w:tcBorders>
              <w:left w:val="single" w:sz="8" w:color="auto"/>
              <w:bottom w:val="single" w:sz="8" w:color="auto"/>
            </w:tcBorders>
          </w:tcPr>
          <w:p>
            <w:pPr>
              <w:spacing w:after="0"/>
              <w:rPr>
                <w:sz w:val="5"/>
                <w:szCs w:val="5"/>
                <w:color w:val="auto"/>
              </w:rPr>
            </w:pPr>
          </w:p>
        </w:tc>
        <w:tc>
          <w:tcPr>
            <w:tcW w:w="1740" w:type="dxa"/>
            <w:vAlign w:val="bottom"/>
            <w:tcBorders>
              <w:top w:val="single" w:sz="8" w:color="auto"/>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3720" w:type="dxa"/>
            <w:vAlign w:val="bottom"/>
            <w:tcBorders>
              <w:top w:val="single" w:sz="8" w:color="auto"/>
              <w:bottom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580" w:type="dxa"/>
            <w:vAlign w:val="bottom"/>
            <w:tcBorders>
              <w:top w:val="single" w:sz="8" w:color="auto"/>
              <w:bottom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r>
      <w:tr>
        <w:trPr>
          <w:trHeight w:val="285"/>
        </w:trPr>
        <w:tc>
          <w:tcPr>
            <w:tcW w:w="276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1"/>
                <w:szCs w:val="21"/>
                <w:color w:val="auto"/>
              </w:rPr>
              <w:t>Below Threshold</w:t>
            </w:r>
          </w:p>
        </w:tc>
        <w:tc>
          <w:tcPr>
            <w:tcW w:w="1000" w:type="dxa"/>
            <w:vAlign w:val="bottom"/>
          </w:tcPr>
          <w:p>
            <w:pPr>
              <w:spacing w:after="0"/>
              <w:rPr>
                <w:sz w:val="24"/>
                <w:szCs w:val="24"/>
                <w:color w:val="auto"/>
              </w:rPr>
            </w:pPr>
          </w:p>
        </w:tc>
        <w:tc>
          <w:tcPr>
            <w:tcW w:w="4760" w:type="dxa"/>
            <w:vAlign w:val="bottom"/>
            <w:tcBorders>
              <w:right w:val="single" w:sz="8" w:color="auto"/>
            </w:tcBorders>
            <w:gridSpan w:val="2"/>
          </w:tcPr>
          <w:p>
            <w:pPr>
              <w:jc w:val="center"/>
              <w:ind w:right="1040"/>
              <w:spacing w:after="0"/>
              <w:rPr>
                <w:sz w:val="20"/>
                <w:szCs w:val="20"/>
                <w:color w:val="auto"/>
              </w:rPr>
            </w:pPr>
            <w:r>
              <w:rPr>
                <w:rFonts w:ascii="Times New Roman" w:cs="Times New Roman" w:eastAsia="Times New Roman" w:hAnsi="Times New Roman"/>
                <w:sz w:val="21"/>
                <w:szCs w:val="21"/>
                <w:color w:val="auto"/>
              </w:rPr>
              <w:t>Less than $[●]</w:t>
            </w:r>
          </w:p>
        </w:tc>
        <w:tc>
          <w:tcPr>
            <w:tcW w:w="2140" w:type="dxa"/>
            <w:vAlign w:val="bottom"/>
            <w:gridSpan w:val="2"/>
          </w:tcPr>
          <w:p>
            <w:pPr>
              <w:jc w:val="center"/>
              <w:ind w:left="473"/>
              <w:spacing w:after="0"/>
              <w:rPr>
                <w:sz w:val="20"/>
                <w:szCs w:val="20"/>
                <w:color w:val="auto"/>
              </w:rPr>
            </w:pPr>
            <w:r>
              <w:rPr>
                <w:rFonts w:ascii="Times New Roman" w:cs="Times New Roman" w:eastAsia="Times New Roman" w:hAnsi="Times New Roman"/>
                <w:sz w:val="21"/>
                <w:szCs w:val="21"/>
                <w:color w:val="auto"/>
              </w:rPr>
              <w:t>[0%]</w:t>
            </w:r>
          </w:p>
        </w:tc>
        <w:tc>
          <w:tcPr>
            <w:tcW w:w="600" w:type="dxa"/>
            <w:vAlign w:val="bottom"/>
            <w:tcBorders>
              <w:right w:val="single" w:sz="8" w:color="auto"/>
            </w:tcBorders>
          </w:tcPr>
          <w:p>
            <w:pPr>
              <w:spacing w:after="0"/>
              <w:rPr>
                <w:sz w:val="24"/>
                <w:szCs w:val="24"/>
                <w:color w:val="auto"/>
              </w:rPr>
            </w:pPr>
          </w:p>
        </w:tc>
      </w:tr>
      <w:tr>
        <w:trPr>
          <w:trHeight w:val="230"/>
        </w:trPr>
        <w:tc>
          <w:tcPr>
            <w:tcW w:w="500" w:type="dxa"/>
            <w:vAlign w:val="bottom"/>
            <w:tcBorders>
              <w:left w:val="single" w:sz="8" w:color="auto"/>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r>
      <w:tr>
        <w:trPr>
          <w:trHeight w:val="285"/>
        </w:trPr>
        <w:tc>
          <w:tcPr>
            <w:tcW w:w="276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1"/>
                <w:szCs w:val="21"/>
                <w:color w:val="auto"/>
              </w:rPr>
              <w:t>Threshold</w:t>
            </w:r>
          </w:p>
        </w:tc>
        <w:tc>
          <w:tcPr>
            <w:tcW w:w="1000" w:type="dxa"/>
            <w:vAlign w:val="bottom"/>
          </w:tcPr>
          <w:p>
            <w:pPr>
              <w:spacing w:after="0"/>
              <w:rPr>
                <w:sz w:val="24"/>
                <w:szCs w:val="24"/>
                <w:color w:val="auto"/>
              </w:rPr>
            </w:pPr>
          </w:p>
        </w:tc>
        <w:tc>
          <w:tcPr>
            <w:tcW w:w="4760" w:type="dxa"/>
            <w:vAlign w:val="bottom"/>
            <w:tcBorders>
              <w:right w:val="single" w:sz="8" w:color="auto"/>
            </w:tcBorders>
            <w:gridSpan w:val="2"/>
          </w:tcPr>
          <w:p>
            <w:pPr>
              <w:jc w:val="center"/>
              <w:ind w:right="1020"/>
              <w:spacing w:after="0"/>
              <w:rPr>
                <w:sz w:val="20"/>
                <w:szCs w:val="20"/>
                <w:color w:val="auto"/>
              </w:rPr>
            </w:pPr>
            <w:r>
              <w:rPr>
                <w:rFonts w:ascii="Times New Roman" w:cs="Times New Roman" w:eastAsia="Times New Roman" w:hAnsi="Times New Roman"/>
                <w:sz w:val="21"/>
                <w:szCs w:val="21"/>
                <w:color w:val="auto"/>
              </w:rPr>
              <w:t>$[●]</w:t>
            </w:r>
          </w:p>
        </w:tc>
        <w:tc>
          <w:tcPr>
            <w:tcW w:w="2140" w:type="dxa"/>
            <w:vAlign w:val="bottom"/>
            <w:gridSpan w:val="2"/>
          </w:tcPr>
          <w:p>
            <w:pPr>
              <w:jc w:val="center"/>
              <w:ind w:left="453"/>
              <w:spacing w:after="0"/>
              <w:rPr>
                <w:sz w:val="20"/>
                <w:szCs w:val="20"/>
                <w:color w:val="auto"/>
              </w:rPr>
            </w:pPr>
            <w:r>
              <w:rPr>
                <w:rFonts w:ascii="Times New Roman" w:cs="Times New Roman" w:eastAsia="Times New Roman" w:hAnsi="Times New Roman"/>
                <w:sz w:val="21"/>
                <w:szCs w:val="21"/>
                <w:color w:val="auto"/>
              </w:rPr>
              <w:t>[50%]</w:t>
            </w:r>
          </w:p>
        </w:tc>
        <w:tc>
          <w:tcPr>
            <w:tcW w:w="600" w:type="dxa"/>
            <w:vAlign w:val="bottom"/>
            <w:tcBorders>
              <w:right w:val="single" w:sz="8" w:color="auto"/>
            </w:tcBorders>
          </w:tcPr>
          <w:p>
            <w:pPr>
              <w:spacing w:after="0"/>
              <w:rPr>
                <w:sz w:val="24"/>
                <w:szCs w:val="24"/>
                <w:color w:val="auto"/>
              </w:rPr>
            </w:pPr>
          </w:p>
        </w:tc>
      </w:tr>
      <w:tr>
        <w:trPr>
          <w:trHeight w:val="230"/>
        </w:trPr>
        <w:tc>
          <w:tcPr>
            <w:tcW w:w="500" w:type="dxa"/>
            <w:vAlign w:val="bottom"/>
            <w:tcBorders>
              <w:left w:val="single" w:sz="8" w:color="auto"/>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r>
      <w:tr>
        <w:trPr>
          <w:trHeight w:val="285"/>
        </w:trPr>
        <w:tc>
          <w:tcPr>
            <w:tcW w:w="276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1"/>
                <w:szCs w:val="21"/>
                <w:color w:val="auto"/>
              </w:rPr>
              <w:t>Target</w:t>
            </w:r>
          </w:p>
        </w:tc>
        <w:tc>
          <w:tcPr>
            <w:tcW w:w="1000" w:type="dxa"/>
            <w:vAlign w:val="bottom"/>
          </w:tcPr>
          <w:p>
            <w:pPr>
              <w:spacing w:after="0"/>
              <w:rPr>
                <w:sz w:val="24"/>
                <w:szCs w:val="24"/>
                <w:color w:val="auto"/>
              </w:rPr>
            </w:pPr>
          </w:p>
        </w:tc>
        <w:tc>
          <w:tcPr>
            <w:tcW w:w="4760" w:type="dxa"/>
            <w:vAlign w:val="bottom"/>
            <w:tcBorders>
              <w:right w:val="single" w:sz="8" w:color="auto"/>
            </w:tcBorders>
            <w:gridSpan w:val="2"/>
          </w:tcPr>
          <w:p>
            <w:pPr>
              <w:jc w:val="center"/>
              <w:ind w:right="1020"/>
              <w:spacing w:after="0"/>
              <w:rPr>
                <w:sz w:val="20"/>
                <w:szCs w:val="20"/>
                <w:color w:val="auto"/>
              </w:rPr>
            </w:pPr>
            <w:r>
              <w:rPr>
                <w:rFonts w:ascii="Times New Roman" w:cs="Times New Roman" w:eastAsia="Times New Roman" w:hAnsi="Times New Roman"/>
                <w:sz w:val="21"/>
                <w:szCs w:val="21"/>
                <w:color w:val="auto"/>
              </w:rPr>
              <w:t>$[●]</w:t>
            </w:r>
          </w:p>
        </w:tc>
        <w:tc>
          <w:tcPr>
            <w:tcW w:w="2140" w:type="dxa"/>
            <w:vAlign w:val="bottom"/>
            <w:gridSpan w:val="2"/>
          </w:tcPr>
          <w:p>
            <w:pPr>
              <w:jc w:val="center"/>
              <w:ind w:left="473"/>
              <w:spacing w:after="0"/>
              <w:rPr>
                <w:sz w:val="20"/>
                <w:szCs w:val="20"/>
                <w:color w:val="auto"/>
              </w:rPr>
            </w:pPr>
            <w:r>
              <w:rPr>
                <w:rFonts w:ascii="Times New Roman" w:cs="Times New Roman" w:eastAsia="Times New Roman" w:hAnsi="Times New Roman"/>
                <w:sz w:val="21"/>
                <w:szCs w:val="21"/>
                <w:color w:val="auto"/>
              </w:rPr>
              <w:t>[100%]</w:t>
            </w:r>
          </w:p>
        </w:tc>
        <w:tc>
          <w:tcPr>
            <w:tcW w:w="600" w:type="dxa"/>
            <w:vAlign w:val="bottom"/>
            <w:tcBorders>
              <w:right w:val="single" w:sz="8" w:color="auto"/>
            </w:tcBorders>
          </w:tcPr>
          <w:p>
            <w:pPr>
              <w:spacing w:after="0"/>
              <w:rPr>
                <w:sz w:val="24"/>
                <w:szCs w:val="24"/>
                <w:color w:val="auto"/>
              </w:rPr>
            </w:pPr>
          </w:p>
        </w:tc>
      </w:tr>
      <w:tr>
        <w:trPr>
          <w:trHeight w:val="230"/>
        </w:trPr>
        <w:tc>
          <w:tcPr>
            <w:tcW w:w="500" w:type="dxa"/>
            <w:vAlign w:val="bottom"/>
            <w:tcBorders>
              <w:left w:val="single" w:sz="8" w:color="auto"/>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r>
      <w:tr>
        <w:trPr>
          <w:trHeight w:val="285"/>
        </w:trPr>
        <w:tc>
          <w:tcPr>
            <w:tcW w:w="276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1"/>
                <w:szCs w:val="21"/>
                <w:color w:val="auto"/>
              </w:rPr>
              <w:t>Maximum</w:t>
            </w:r>
          </w:p>
        </w:tc>
        <w:tc>
          <w:tcPr>
            <w:tcW w:w="1000" w:type="dxa"/>
            <w:vAlign w:val="bottom"/>
          </w:tcPr>
          <w:p>
            <w:pPr>
              <w:spacing w:after="0"/>
              <w:rPr>
                <w:sz w:val="24"/>
                <w:szCs w:val="24"/>
                <w:color w:val="auto"/>
              </w:rPr>
            </w:pPr>
          </w:p>
        </w:tc>
        <w:tc>
          <w:tcPr>
            <w:tcW w:w="4760" w:type="dxa"/>
            <w:vAlign w:val="bottom"/>
            <w:tcBorders>
              <w:right w:val="single" w:sz="8" w:color="auto"/>
            </w:tcBorders>
            <w:gridSpan w:val="2"/>
          </w:tcPr>
          <w:p>
            <w:pPr>
              <w:jc w:val="center"/>
              <w:ind w:right="1020"/>
              <w:spacing w:after="0"/>
              <w:rPr>
                <w:sz w:val="20"/>
                <w:szCs w:val="20"/>
                <w:color w:val="auto"/>
              </w:rPr>
            </w:pPr>
            <w:r>
              <w:rPr>
                <w:rFonts w:ascii="Times New Roman" w:cs="Times New Roman" w:eastAsia="Times New Roman" w:hAnsi="Times New Roman"/>
                <w:sz w:val="21"/>
                <w:szCs w:val="21"/>
                <w:color w:val="auto"/>
              </w:rPr>
              <w:t>$[●]</w:t>
            </w:r>
          </w:p>
        </w:tc>
        <w:tc>
          <w:tcPr>
            <w:tcW w:w="2140" w:type="dxa"/>
            <w:vAlign w:val="bottom"/>
            <w:gridSpan w:val="2"/>
          </w:tcPr>
          <w:p>
            <w:pPr>
              <w:jc w:val="center"/>
              <w:ind w:left="473"/>
              <w:spacing w:after="0"/>
              <w:rPr>
                <w:sz w:val="20"/>
                <w:szCs w:val="20"/>
                <w:color w:val="auto"/>
              </w:rPr>
            </w:pPr>
            <w:r>
              <w:rPr>
                <w:rFonts w:ascii="Times New Roman" w:cs="Times New Roman" w:eastAsia="Times New Roman" w:hAnsi="Times New Roman"/>
                <w:sz w:val="21"/>
                <w:szCs w:val="21"/>
                <w:color w:val="auto"/>
              </w:rPr>
              <w:t>[200%]</w:t>
            </w:r>
          </w:p>
        </w:tc>
        <w:tc>
          <w:tcPr>
            <w:tcW w:w="600" w:type="dxa"/>
            <w:vAlign w:val="bottom"/>
            <w:tcBorders>
              <w:right w:val="single" w:sz="8" w:color="auto"/>
            </w:tcBorders>
          </w:tcPr>
          <w:p>
            <w:pPr>
              <w:spacing w:after="0"/>
              <w:rPr>
                <w:sz w:val="24"/>
                <w:szCs w:val="24"/>
                <w:color w:val="auto"/>
              </w:rPr>
            </w:pPr>
          </w:p>
        </w:tc>
      </w:tr>
      <w:tr>
        <w:trPr>
          <w:trHeight w:val="230"/>
        </w:trPr>
        <w:tc>
          <w:tcPr>
            <w:tcW w:w="500" w:type="dxa"/>
            <w:vAlign w:val="bottom"/>
            <w:tcBorders>
              <w:left w:val="single" w:sz="8" w:color="auto"/>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r>
      <w:tr>
        <w:trPr>
          <w:trHeight w:val="338"/>
        </w:trPr>
        <w:tc>
          <w:tcPr>
            <w:tcW w:w="500" w:type="dxa"/>
            <w:vAlign w:val="bottom"/>
          </w:tcPr>
          <w:p>
            <w:pPr>
              <w:spacing w:after="0"/>
              <w:rPr>
                <w:sz w:val="20"/>
                <w:szCs w:val="20"/>
                <w:color w:val="auto"/>
              </w:rPr>
            </w:pPr>
            <w:r>
              <w:rPr>
                <w:rFonts w:ascii="Times New Roman" w:cs="Times New Roman" w:eastAsia="Times New Roman" w:hAnsi="Times New Roman"/>
                <w:sz w:val="21"/>
                <w:szCs w:val="21"/>
                <w:color w:val="auto"/>
              </w:rPr>
              <w:t>17.</w:t>
            </w:r>
          </w:p>
        </w:tc>
        <w:tc>
          <w:tcPr>
            <w:tcW w:w="1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189" w:lineRule="exact"/>
        <w:rPr>
          <w:sz w:val="20"/>
          <w:szCs w:val="20"/>
          <w:color w:val="auto"/>
        </w:rPr>
      </w:pPr>
    </w:p>
    <w:p>
      <w:pPr>
        <w:ind w:left="640" w:hanging="633"/>
        <w:spacing w:after="0"/>
        <w:tabs>
          <w:tab w:leader="none" w:pos="640" w:val="left"/>
        </w:tabs>
        <w:numPr>
          <w:ilvl w:val="0"/>
          <w:numId w:val="3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ROE Units</w:t>
      </w:r>
      <w:r>
        <w:rPr>
          <w:rFonts w:ascii="Times New Roman" w:cs="Times New Roman" w:eastAsia="Times New Roman" w:hAnsi="Times New Roman"/>
          <w:sz w:val="21"/>
          <w:szCs w:val="21"/>
          <w:color w:val="auto"/>
        </w:rPr>
        <w:t>.</w:t>
      </w:r>
    </w:p>
    <w:p>
      <w:pPr>
        <w:spacing w:after="0" w:line="239" w:lineRule="exact"/>
        <w:rPr>
          <w:rFonts w:ascii="Times New Roman" w:cs="Times New Roman" w:eastAsia="Times New Roman" w:hAnsi="Times New Roman"/>
          <w:sz w:val="21"/>
          <w:szCs w:val="21"/>
          <w:color w:val="auto"/>
        </w:rPr>
      </w:pPr>
    </w:p>
    <w:p>
      <w:pPr>
        <w:ind w:right="100" w:firstLine="7"/>
        <w:spacing w:after="0" w:line="261" w:lineRule="auto"/>
        <w:tabs>
          <w:tab w:leader="none" w:pos="642" w:val="left"/>
        </w:tabs>
        <w:numPr>
          <w:ilvl w:val="0"/>
          <w:numId w:val="3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Vesting of ROE Units is contingent upon three-year average ROE for each year of the Performance Cycle. The ROE for each of the three years in the Performance Cycle is calculated by dividing each year’s adjusted net income of SWG by the average Utility equity balance. The average Utility equity balance is calculated by averaging the equity balance of the applicable previous five quarters. Three-year average ROE is calculated by averaging the calculated ROE for each year of the Performance Cycle. ROE shall be calculated based on adjusted Utility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60"/>
          </w:cols>
          <w:pgMar w:left="320" w:top="1405" w:right="319" w:bottom="1440" w:gutter="0" w:footer="0" w:header="0"/>
        </w:sectPr>
      </w:pPr>
    </w:p>
    <w:bookmarkStart w:id="496" w:name="page497"/>
    <w:bookmarkEnd w:id="496"/>
    <w:p>
      <w:pPr>
        <w:ind w:right="800"/>
        <w:spacing w:after="0" w:line="289" w:lineRule="auto"/>
        <w:rPr>
          <w:sz w:val="20"/>
          <w:szCs w:val="20"/>
          <w:color w:val="auto"/>
        </w:rPr>
      </w:pPr>
      <w:r>
        <w:rPr>
          <w:rFonts w:ascii="Times New Roman" w:cs="Times New Roman" w:eastAsia="Times New Roman" w:hAnsi="Times New Roman"/>
          <w:sz w:val="21"/>
          <w:szCs w:val="21"/>
          <w:color w:val="auto"/>
        </w:rPr>
        <w:t>income calculated under generally accepted accounting principles, adjusted to exclude the impacts of company owned life insurance as well as other adjustments as determined by the Committee.</w:t>
      </w:r>
    </w:p>
    <w:p>
      <w:pPr>
        <w:spacing w:after="0" w:line="141"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21"/>
          <w:szCs w:val="21"/>
          <w:color w:val="auto"/>
        </w:rPr>
        <w:t>Subject to adjustment based on TSR as described below, ROE Units will be earned as illustrated in the performance schedule below. Should the performance levels achieved be between the stated criteria below, the baseline percentage of ROE Units vesting will be determined by straight-line interpolation.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123190</wp:posOffset>
            </wp:positionV>
            <wp:extent cx="7141845" cy="128206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88">
                      <a:extLst>
                        <a:ext uri="{28A0092B-C50C-407E-A947-70E740481C1C}"/>
                      </a:extLst>
                    </a:blip>
                    <a:srcRect/>
                    <a:stretch>
                      <a:fillRect/>
                    </a:stretch>
                  </pic:blipFill>
                  <pic:spPr bwMode="auto">
                    <a:xfrm>
                      <a:off x="0" y="0"/>
                      <a:ext cx="7141845" cy="1282065"/>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ROE Unit Performance Schedule Fiscal Years 2025-2027</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040" w:type="dxa"/>
            <w:vAlign w:val="bottom"/>
            <w:tcBorders>
              <w:top w:val="single" w:sz="8" w:color="auto"/>
              <w:right w:val="single" w:sz="8" w:color="auto"/>
            </w:tcBorders>
            <w:gridSpan w:val="3"/>
          </w:tcPr>
          <w:p>
            <w:pPr>
              <w:ind w:left="640"/>
              <w:spacing w:after="0"/>
              <w:rPr>
                <w:sz w:val="20"/>
                <w:szCs w:val="20"/>
                <w:color w:val="auto"/>
              </w:rPr>
            </w:pPr>
            <w:r>
              <w:rPr>
                <w:rFonts w:ascii="Times New Roman" w:cs="Times New Roman" w:eastAsia="Times New Roman" w:hAnsi="Times New Roman"/>
                <w:sz w:val="21"/>
                <w:szCs w:val="21"/>
                <w:b w:val="1"/>
                <w:bCs w:val="1"/>
                <w:color w:val="auto"/>
              </w:rPr>
              <w:t>Performance Level</w:t>
            </w:r>
          </w:p>
        </w:tc>
        <w:tc>
          <w:tcPr>
            <w:tcW w:w="3240" w:type="dxa"/>
            <w:vAlign w:val="bottom"/>
            <w:tcBorders>
              <w:top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21"/>
                <w:szCs w:val="21"/>
                <w:b w:val="1"/>
                <w:bCs w:val="1"/>
                <w:color w:val="auto"/>
                <w:w w:val="99"/>
              </w:rPr>
              <w:t>3-Year Average ROE</w:t>
            </w:r>
          </w:p>
        </w:tc>
        <w:tc>
          <w:tcPr>
            <w:tcW w:w="4980" w:type="dxa"/>
            <w:vAlign w:val="bottom"/>
            <w:tcBorders>
              <w:top w:val="single" w:sz="8" w:color="auto"/>
            </w:tcBorders>
            <w:gridSpan w:val="3"/>
          </w:tcPr>
          <w:p>
            <w:pPr>
              <w:ind w:left="1660"/>
              <w:spacing w:after="0"/>
              <w:rPr>
                <w:sz w:val="20"/>
                <w:szCs w:val="20"/>
                <w:color w:val="auto"/>
              </w:rPr>
            </w:pPr>
            <w:r>
              <w:rPr>
                <w:rFonts w:ascii="Times New Roman" w:cs="Times New Roman" w:eastAsia="Times New Roman" w:hAnsi="Times New Roman"/>
                <w:sz w:val="21"/>
                <w:szCs w:val="21"/>
                <w:b w:val="1"/>
                <w:bCs w:val="1"/>
                <w:color w:val="auto"/>
              </w:rPr>
              <w:t>Vested ROE Units</w:t>
            </w:r>
          </w:p>
        </w:tc>
      </w:tr>
      <w:tr>
        <w:trPr>
          <w:trHeight w:val="60"/>
        </w:trPr>
        <w:tc>
          <w:tcPr>
            <w:tcW w:w="640" w:type="dxa"/>
            <w:vAlign w:val="bottom"/>
            <w:tcBorders>
              <w:bottom w:val="single" w:sz="8" w:color="auto"/>
            </w:tcBorders>
          </w:tcPr>
          <w:p>
            <w:pPr>
              <w:spacing w:after="0"/>
              <w:rPr>
                <w:sz w:val="5"/>
                <w:szCs w:val="5"/>
                <w:color w:val="auto"/>
              </w:rPr>
            </w:pPr>
          </w:p>
        </w:tc>
        <w:tc>
          <w:tcPr>
            <w:tcW w:w="1740" w:type="dxa"/>
            <w:vAlign w:val="bottom"/>
            <w:tcBorders>
              <w:top w:val="single" w:sz="8" w:color="auto"/>
              <w:bottom w:val="single" w:sz="8" w:color="auto"/>
            </w:tcBorders>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920" w:type="dxa"/>
            <w:vAlign w:val="bottom"/>
            <w:tcBorders>
              <w:top w:val="single" w:sz="8" w:color="auto"/>
              <w:bottom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1640" w:type="dxa"/>
            <w:vAlign w:val="bottom"/>
            <w:tcBorders>
              <w:top w:val="single" w:sz="8" w:color="auto"/>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r>
      <w:tr>
        <w:trPr>
          <w:trHeight w:val="285"/>
        </w:trPr>
        <w:tc>
          <w:tcPr>
            <w:tcW w:w="30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21"/>
                <w:szCs w:val="21"/>
                <w:color w:val="auto"/>
              </w:rPr>
              <w:t>Below Threshold</w:t>
            </w:r>
          </w:p>
        </w:tc>
        <w:tc>
          <w:tcPr>
            <w:tcW w:w="640" w:type="dxa"/>
            <w:vAlign w:val="bottom"/>
          </w:tcPr>
          <w:p>
            <w:pPr>
              <w:spacing w:after="0"/>
              <w:rPr>
                <w:sz w:val="24"/>
                <w:szCs w:val="24"/>
                <w:color w:val="auto"/>
              </w:rPr>
            </w:pPr>
          </w:p>
        </w:tc>
        <w:tc>
          <w:tcPr>
            <w:tcW w:w="2600" w:type="dxa"/>
            <w:vAlign w:val="bottom"/>
            <w:tcBorders>
              <w:right w:val="single" w:sz="8" w:color="auto"/>
            </w:tcBorders>
            <w:gridSpan w:val="2"/>
          </w:tcPr>
          <w:p>
            <w:pPr>
              <w:jc w:val="center"/>
              <w:ind w:right="680"/>
              <w:spacing w:after="0"/>
              <w:rPr>
                <w:sz w:val="20"/>
                <w:szCs w:val="20"/>
                <w:color w:val="auto"/>
              </w:rPr>
            </w:pPr>
            <w:r>
              <w:rPr>
                <w:rFonts w:ascii="Times New Roman" w:cs="Times New Roman" w:eastAsia="Times New Roman" w:hAnsi="Times New Roman"/>
                <w:sz w:val="21"/>
                <w:szCs w:val="21"/>
                <w:color w:val="auto"/>
              </w:rPr>
              <w:t>Less than [●]%</w:t>
            </w:r>
          </w:p>
        </w:tc>
        <w:tc>
          <w:tcPr>
            <w:tcW w:w="1660" w:type="dxa"/>
            <w:vAlign w:val="bottom"/>
          </w:tcPr>
          <w:p>
            <w:pPr>
              <w:ind w:left="1180"/>
              <w:spacing w:after="0"/>
              <w:rPr>
                <w:sz w:val="20"/>
                <w:szCs w:val="20"/>
                <w:color w:val="auto"/>
              </w:rPr>
            </w:pPr>
            <w:r>
              <w:rPr>
                <w:rFonts w:ascii="Times New Roman" w:cs="Times New Roman" w:eastAsia="Times New Roman" w:hAnsi="Times New Roman"/>
                <w:sz w:val="21"/>
                <w:szCs w:val="21"/>
                <w:color w:val="auto"/>
              </w:rPr>
              <w:t>[0%]</w:t>
            </w:r>
          </w:p>
        </w:tc>
        <w:tc>
          <w:tcPr>
            <w:tcW w:w="16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0"/>
        </w:trPr>
        <w:tc>
          <w:tcPr>
            <w:tcW w:w="6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85"/>
        </w:trPr>
        <w:tc>
          <w:tcPr>
            <w:tcW w:w="30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21"/>
                <w:szCs w:val="21"/>
                <w:color w:val="auto"/>
              </w:rPr>
              <w:t>Threshold</w:t>
            </w:r>
          </w:p>
        </w:tc>
        <w:tc>
          <w:tcPr>
            <w:tcW w:w="640" w:type="dxa"/>
            <w:vAlign w:val="bottom"/>
          </w:tcPr>
          <w:p>
            <w:pPr>
              <w:spacing w:after="0"/>
              <w:rPr>
                <w:sz w:val="24"/>
                <w:szCs w:val="24"/>
                <w:color w:val="auto"/>
              </w:rPr>
            </w:pPr>
          </w:p>
        </w:tc>
        <w:tc>
          <w:tcPr>
            <w:tcW w:w="2600" w:type="dxa"/>
            <w:vAlign w:val="bottom"/>
            <w:tcBorders>
              <w:right w:val="single" w:sz="8" w:color="auto"/>
            </w:tcBorders>
            <w:gridSpan w:val="2"/>
          </w:tcPr>
          <w:p>
            <w:pPr>
              <w:jc w:val="center"/>
              <w:ind w:right="660"/>
              <w:spacing w:after="0"/>
              <w:rPr>
                <w:sz w:val="20"/>
                <w:szCs w:val="20"/>
                <w:color w:val="auto"/>
              </w:rPr>
            </w:pPr>
            <w:r>
              <w:rPr>
                <w:rFonts w:ascii="Times New Roman" w:cs="Times New Roman" w:eastAsia="Times New Roman" w:hAnsi="Times New Roman"/>
                <w:sz w:val="21"/>
                <w:szCs w:val="21"/>
                <w:color w:val="auto"/>
              </w:rPr>
              <w:t>[●]%</w:t>
            </w:r>
          </w:p>
        </w:tc>
        <w:tc>
          <w:tcPr>
            <w:tcW w:w="3300" w:type="dxa"/>
            <w:vAlign w:val="bottom"/>
            <w:gridSpan w:val="2"/>
          </w:tcPr>
          <w:p>
            <w:pPr>
              <w:ind w:left="1180"/>
              <w:spacing w:after="0"/>
              <w:rPr>
                <w:sz w:val="20"/>
                <w:szCs w:val="20"/>
                <w:color w:val="auto"/>
              </w:rPr>
            </w:pPr>
            <w:r>
              <w:rPr>
                <w:rFonts w:ascii="Times New Roman" w:cs="Times New Roman" w:eastAsia="Times New Roman" w:hAnsi="Times New Roman"/>
                <w:sz w:val="21"/>
                <w:szCs w:val="21"/>
                <w:color w:val="auto"/>
              </w:rPr>
              <w:t>[50%]</w:t>
            </w:r>
          </w:p>
        </w:tc>
        <w:tc>
          <w:tcPr>
            <w:tcW w:w="1680" w:type="dxa"/>
            <w:vAlign w:val="bottom"/>
          </w:tcPr>
          <w:p>
            <w:pPr>
              <w:spacing w:after="0"/>
              <w:rPr>
                <w:sz w:val="24"/>
                <w:szCs w:val="24"/>
                <w:color w:val="auto"/>
              </w:rPr>
            </w:pPr>
          </w:p>
        </w:tc>
      </w:tr>
      <w:tr>
        <w:trPr>
          <w:trHeight w:val="30"/>
        </w:trPr>
        <w:tc>
          <w:tcPr>
            <w:tcW w:w="6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85"/>
        </w:trPr>
        <w:tc>
          <w:tcPr>
            <w:tcW w:w="30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21"/>
                <w:szCs w:val="21"/>
                <w:color w:val="auto"/>
              </w:rPr>
              <w:t>Target</w:t>
            </w:r>
          </w:p>
        </w:tc>
        <w:tc>
          <w:tcPr>
            <w:tcW w:w="640" w:type="dxa"/>
            <w:vAlign w:val="bottom"/>
          </w:tcPr>
          <w:p>
            <w:pPr>
              <w:spacing w:after="0"/>
              <w:rPr>
                <w:sz w:val="24"/>
                <w:szCs w:val="24"/>
                <w:color w:val="auto"/>
              </w:rPr>
            </w:pPr>
          </w:p>
        </w:tc>
        <w:tc>
          <w:tcPr>
            <w:tcW w:w="2600" w:type="dxa"/>
            <w:vAlign w:val="bottom"/>
            <w:tcBorders>
              <w:right w:val="single" w:sz="8" w:color="auto"/>
            </w:tcBorders>
            <w:gridSpan w:val="2"/>
          </w:tcPr>
          <w:p>
            <w:pPr>
              <w:jc w:val="center"/>
              <w:ind w:right="660"/>
              <w:spacing w:after="0"/>
              <w:rPr>
                <w:sz w:val="20"/>
                <w:szCs w:val="20"/>
                <w:color w:val="auto"/>
              </w:rPr>
            </w:pPr>
            <w:r>
              <w:rPr>
                <w:rFonts w:ascii="Times New Roman" w:cs="Times New Roman" w:eastAsia="Times New Roman" w:hAnsi="Times New Roman"/>
                <w:sz w:val="21"/>
                <w:szCs w:val="21"/>
                <w:color w:val="auto"/>
              </w:rPr>
              <w:t>[●]%</w:t>
            </w:r>
          </w:p>
        </w:tc>
        <w:tc>
          <w:tcPr>
            <w:tcW w:w="3300" w:type="dxa"/>
            <w:vAlign w:val="bottom"/>
            <w:gridSpan w:val="2"/>
          </w:tcPr>
          <w:p>
            <w:pPr>
              <w:ind w:left="1180"/>
              <w:spacing w:after="0"/>
              <w:rPr>
                <w:sz w:val="20"/>
                <w:szCs w:val="20"/>
                <w:color w:val="auto"/>
              </w:rPr>
            </w:pPr>
            <w:r>
              <w:rPr>
                <w:rFonts w:ascii="Times New Roman" w:cs="Times New Roman" w:eastAsia="Times New Roman" w:hAnsi="Times New Roman"/>
                <w:sz w:val="21"/>
                <w:szCs w:val="21"/>
                <w:color w:val="auto"/>
              </w:rPr>
              <w:t>[100%]</w:t>
            </w:r>
          </w:p>
        </w:tc>
        <w:tc>
          <w:tcPr>
            <w:tcW w:w="1680" w:type="dxa"/>
            <w:vAlign w:val="bottom"/>
          </w:tcPr>
          <w:p>
            <w:pPr>
              <w:spacing w:after="0"/>
              <w:rPr>
                <w:sz w:val="24"/>
                <w:szCs w:val="24"/>
                <w:color w:val="auto"/>
              </w:rPr>
            </w:pPr>
          </w:p>
        </w:tc>
      </w:tr>
      <w:tr>
        <w:trPr>
          <w:trHeight w:val="30"/>
        </w:trPr>
        <w:tc>
          <w:tcPr>
            <w:tcW w:w="6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85"/>
        </w:trPr>
        <w:tc>
          <w:tcPr>
            <w:tcW w:w="30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21"/>
                <w:szCs w:val="21"/>
                <w:color w:val="auto"/>
              </w:rPr>
              <w:t>Maximum</w:t>
            </w:r>
          </w:p>
        </w:tc>
        <w:tc>
          <w:tcPr>
            <w:tcW w:w="640" w:type="dxa"/>
            <w:vAlign w:val="bottom"/>
          </w:tcPr>
          <w:p>
            <w:pPr>
              <w:spacing w:after="0"/>
              <w:rPr>
                <w:sz w:val="24"/>
                <w:szCs w:val="24"/>
                <w:color w:val="auto"/>
              </w:rPr>
            </w:pPr>
          </w:p>
        </w:tc>
        <w:tc>
          <w:tcPr>
            <w:tcW w:w="2600" w:type="dxa"/>
            <w:vAlign w:val="bottom"/>
            <w:tcBorders>
              <w:right w:val="single" w:sz="8" w:color="auto"/>
            </w:tcBorders>
            <w:gridSpan w:val="2"/>
          </w:tcPr>
          <w:p>
            <w:pPr>
              <w:jc w:val="center"/>
              <w:ind w:right="660"/>
              <w:spacing w:after="0"/>
              <w:rPr>
                <w:sz w:val="20"/>
                <w:szCs w:val="20"/>
                <w:color w:val="auto"/>
              </w:rPr>
            </w:pPr>
            <w:r>
              <w:rPr>
                <w:rFonts w:ascii="Times New Roman" w:cs="Times New Roman" w:eastAsia="Times New Roman" w:hAnsi="Times New Roman"/>
                <w:sz w:val="21"/>
                <w:szCs w:val="21"/>
                <w:color w:val="auto"/>
              </w:rPr>
              <w:t>[●]%</w:t>
            </w:r>
          </w:p>
        </w:tc>
        <w:tc>
          <w:tcPr>
            <w:tcW w:w="3300" w:type="dxa"/>
            <w:vAlign w:val="bottom"/>
            <w:gridSpan w:val="2"/>
          </w:tcPr>
          <w:p>
            <w:pPr>
              <w:ind w:left="1180"/>
              <w:spacing w:after="0"/>
              <w:rPr>
                <w:sz w:val="20"/>
                <w:szCs w:val="20"/>
                <w:color w:val="auto"/>
              </w:rPr>
            </w:pPr>
            <w:r>
              <w:rPr>
                <w:rFonts w:ascii="Times New Roman" w:cs="Times New Roman" w:eastAsia="Times New Roman" w:hAnsi="Times New Roman"/>
                <w:sz w:val="21"/>
                <w:szCs w:val="21"/>
                <w:color w:val="auto"/>
              </w:rPr>
              <w:t>[200%]</w:t>
            </w:r>
          </w:p>
        </w:tc>
        <w:tc>
          <w:tcPr>
            <w:tcW w:w="1680" w:type="dxa"/>
            <w:vAlign w:val="bottom"/>
          </w:tcPr>
          <w:p>
            <w:pPr>
              <w:spacing w:after="0"/>
              <w:rPr>
                <w:sz w:val="24"/>
                <w:szCs w:val="24"/>
                <w:color w:val="auto"/>
              </w:rPr>
            </w:pPr>
          </w:p>
        </w:tc>
      </w:tr>
      <w:tr>
        <w:trPr>
          <w:trHeight w:val="30"/>
        </w:trPr>
        <w:tc>
          <w:tcPr>
            <w:tcW w:w="6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TSR Modifier</w:t>
      </w:r>
    </w:p>
    <w:p>
      <w:pPr>
        <w:spacing w:after="0" w:line="253"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21"/>
          <w:szCs w:val="21"/>
          <w:color w:val="auto"/>
        </w:rPr>
        <w:t>The vesting of both UNI Units and ROE Units is subject to further adjustment based upon the achievement of the following TSR performance goals. For example, if the vesting percentage of ROE Units determined based on ROE for the Performance Cycle is 150% and TSR for the Performance Cycle is in the top 75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Percentile, the percentage of ROE Units vesting would be adjusted upward by 25% such that 187.5% of the target number of ROE Units would 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92075</wp:posOffset>
            </wp:positionV>
            <wp:extent cx="3617595" cy="171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89">
                      <a:extLst>
                        <a:ext uri="{28A0092B-C50C-407E-A947-70E740481C1C}"/>
                      </a:extLst>
                    </a:blip>
                    <a:srcRect/>
                    <a:stretch>
                      <a:fillRect/>
                    </a:stretch>
                  </pic:blipFill>
                  <pic:spPr bwMode="auto">
                    <a:xfrm>
                      <a:off x="0" y="0"/>
                      <a:ext cx="3617595" cy="17145"/>
                    </a:xfrm>
                    <a:prstGeom prst="rect">
                      <a:avLst/>
                    </a:prstGeom>
                    <a:noFill/>
                  </pic:spPr>
                </pic:pic>
              </a:graphicData>
            </a:graphic>
          </wp:anchor>
        </w:drawing>
      </w:r>
    </w:p>
    <w:p>
      <w:pPr>
        <w:spacing w:after="0" w:line="160" w:lineRule="exact"/>
        <w:rPr>
          <w:sz w:val="20"/>
          <w:szCs w:val="20"/>
          <w:color w:val="auto"/>
        </w:rPr>
      </w:pPr>
    </w:p>
    <w:tbl>
      <w:tblPr>
        <w:tblLayout w:type="fixed"/>
        <w:tblInd w:w="1700" w:type="dxa"/>
        <w:tblCellMar>
          <w:top w:w="0" w:type="dxa"/>
          <w:left w:w="0" w:type="dxa"/>
          <w:bottom w:w="0" w:type="dxa"/>
          <w:right w:w="0" w:type="dxa"/>
        </w:tblCellMar>
      </w:tblPr>
      <w:tr>
        <w:trPr>
          <w:trHeight w:val="267"/>
        </w:trPr>
        <w:tc>
          <w:tcPr>
            <w:tcW w:w="292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TSR Performance Relative to</w:t>
            </w:r>
          </w:p>
        </w:tc>
        <w:tc>
          <w:tcPr>
            <w:tcW w:w="2760" w:type="dxa"/>
            <w:vAlign w:val="bottom"/>
          </w:tcPr>
          <w:p>
            <w:pPr>
              <w:spacing w:after="0"/>
              <w:rPr>
                <w:sz w:val="23"/>
                <w:szCs w:val="23"/>
                <w:color w:val="auto"/>
              </w:rPr>
            </w:pPr>
          </w:p>
        </w:tc>
      </w:tr>
      <w:tr>
        <w:trPr>
          <w:trHeight w:val="283"/>
        </w:trPr>
        <w:tc>
          <w:tcPr>
            <w:tcW w:w="292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Peer Index</w:t>
            </w:r>
          </w:p>
        </w:tc>
        <w:tc>
          <w:tcPr>
            <w:tcW w:w="2760" w:type="dxa"/>
            <w:vAlign w:val="bottom"/>
          </w:tcPr>
          <w:p>
            <w:pPr>
              <w:ind w:left="140"/>
              <w:spacing w:after="0"/>
              <w:rPr>
                <w:sz w:val="20"/>
                <w:szCs w:val="20"/>
                <w:color w:val="auto"/>
              </w:rPr>
            </w:pPr>
            <w:r>
              <w:rPr>
                <w:rFonts w:ascii="Times New Roman" w:cs="Times New Roman" w:eastAsia="Times New Roman" w:hAnsi="Times New Roman"/>
                <w:sz w:val="21"/>
                <w:szCs w:val="21"/>
                <w:b w:val="1"/>
                <w:bCs w:val="1"/>
                <w:color w:val="auto"/>
              </w:rPr>
              <w:t>Payout (% Adjustment)</w:t>
            </w:r>
          </w:p>
        </w:tc>
      </w:tr>
      <w:tr>
        <w:trPr>
          <w:trHeight w:val="177"/>
        </w:trPr>
        <w:tc>
          <w:tcPr>
            <w:tcW w:w="292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r>
      <w:tr>
        <w:trPr>
          <w:trHeight w:val="382"/>
        </w:trPr>
        <w:tc>
          <w:tcPr>
            <w:tcW w:w="2920" w:type="dxa"/>
            <w:vAlign w:val="bottom"/>
          </w:tcPr>
          <w:p>
            <w:pPr>
              <w:spacing w:after="0"/>
              <w:rPr>
                <w:sz w:val="20"/>
                <w:szCs w:val="20"/>
                <w:color w:val="auto"/>
              </w:rPr>
            </w:pPr>
            <w:r>
              <w:rPr>
                <w:rFonts w:ascii="Times New Roman" w:cs="Times New Roman" w:eastAsia="Times New Roman" w:hAnsi="Times New Roman"/>
                <w:sz w:val="21"/>
                <w:szCs w:val="21"/>
                <w:color w:val="auto"/>
              </w:rPr>
              <w:t>75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Percentile or Above</w:t>
            </w:r>
          </w:p>
        </w:tc>
        <w:tc>
          <w:tcPr>
            <w:tcW w:w="276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25% upward</w:t>
            </w:r>
          </w:p>
        </w:tc>
      </w:tr>
      <w:tr>
        <w:trPr>
          <w:trHeight w:val="360"/>
        </w:trPr>
        <w:tc>
          <w:tcPr>
            <w:tcW w:w="2920" w:type="dxa"/>
            <w:vAlign w:val="bottom"/>
          </w:tcPr>
          <w:p>
            <w:pPr>
              <w:spacing w:after="0"/>
              <w:rPr>
                <w:sz w:val="20"/>
                <w:szCs w:val="20"/>
                <w:color w:val="auto"/>
              </w:rPr>
            </w:pPr>
            <w:r>
              <w:rPr>
                <w:rFonts w:ascii="Times New Roman" w:cs="Times New Roman" w:eastAsia="Times New Roman" w:hAnsi="Times New Roman"/>
                <w:sz w:val="21"/>
                <w:szCs w:val="21"/>
                <w:color w:val="auto"/>
              </w:rPr>
              <w:t>Below 75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Percentile and above</w:t>
            </w:r>
          </w:p>
        </w:tc>
        <w:tc>
          <w:tcPr>
            <w:tcW w:w="276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0% (i.e., no adjustment)</w:t>
            </w:r>
          </w:p>
        </w:tc>
      </w:tr>
      <w:tr>
        <w:trPr>
          <w:trHeight w:val="279"/>
        </w:trPr>
        <w:tc>
          <w:tcPr>
            <w:tcW w:w="2920" w:type="dxa"/>
            <w:vAlign w:val="bottom"/>
          </w:tcPr>
          <w:p>
            <w:pPr>
              <w:spacing w:after="0"/>
              <w:rPr>
                <w:sz w:val="20"/>
                <w:szCs w:val="20"/>
                <w:color w:val="auto"/>
              </w:rPr>
            </w:pPr>
            <w:r>
              <w:rPr>
                <w:rFonts w:ascii="Times New Roman" w:cs="Times New Roman" w:eastAsia="Times New Roman" w:hAnsi="Times New Roman"/>
                <w:sz w:val="21"/>
                <w:szCs w:val="21"/>
                <w:color w:val="auto"/>
              </w:rPr>
              <w:t>25% Percentile</w:t>
            </w:r>
          </w:p>
        </w:tc>
        <w:tc>
          <w:tcPr>
            <w:tcW w:w="2760" w:type="dxa"/>
            <w:vAlign w:val="bottom"/>
          </w:tcPr>
          <w:p>
            <w:pPr>
              <w:spacing w:after="0"/>
              <w:rPr>
                <w:sz w:val="24"/>
                <w:szCs w:val="24"/>
                <w:color w:val="auto"/>
              </w:rPr>
            </w:pPr>
          </w:p>
        </w:tc>
      </w:tr>
      <w:tr>
        <w:trPr>
          <w:trHeight w:val="565"/>
        </w:trPr>
        <w:tc>
          <w:tcPr>
            <w:tcW w:w="2920" w:type="dxa"/>
            <w:vAlign w:val="bottom"/>
          </w:tcPr>
          <w:p>
            <w:pPr>
              <w:spacing w:after="0"/>
              <w:rPr>
                <w:sz w:val="20"/>
                <w:szCs w:val="20"/>
                <w:color w:val="auto"/>
              </w:rPr>
            </w:pPr>
            <w:r>
              <w:rPr>
                <w:rFonts w:ascii="Times New Roman" w:cs="Times New Roman" w:eastAsia="Times New Roman" w:hAnsi="Times New Roman"/>
                <w:sz w:val="21"/>
                <w:szCs w:val="21"/>
                <w:color w:val="auto"/>
              </w:rPr>
              <w:t>25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Percentile or Below</w:t>
            </w:r>
          </w:p>
        </w:tc>
        <w:tc>
          <w:tcPr>
            <w:tcW w:w="276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25% downward</w:t>
            </w:r>
          </w:p>
        </w:tc>
      </w:tr>
    </w:tbl>
    <w:p>
      <w:pPr>
        <w:spacing w:after="0" w:line="200" w:lineRule="exact"/>
        <w:rPr>
          <w:sz w:val="20"/>
          <w:szCs w:val="20"/>
          <w:color w:val="auto"/>
        </w:rPr>
      </w:pPr>
    </w:p>
    <w:p>
      <w:pPr>
        <w:spacing w:after="0" w:line="227" w:lineRule="exact"/>
        <w:rPr>
          <w:sz w:val="20"/>
          <w:szCs w:val="20"/>
          <w:color w:val="auto"/>
        </w:rPr>
      </w:pPr>
    </w:p>
    <w:p>
      <w:pPr>
        <w:ind w:right="340"/>
        <w:spacing w:after="0" w:line="302" w:lineRule="auto"/>
        <w:rPr>
          <w:sz w:val="20"/>
          <w:szCs w:val="20"/>
          <w:color w:val="auto"/>
        </w:rPr>
      </w:pPr>
      <w:r>
        <w:rPr>
          <w:rFonts w:ascii="Times New Roman" w:cs="Times New Roman" w:eastAsia="Times New Roman" w:hAnsi="Times New Roman"/>
          <w:sz w:val="21"/>
          <w:szCs w:val="21"/>
          <w:color w:val="auto"/>
        </w:rPr>
        <w:t>If ROE or UNI performance is above threshold, in the event of a downward adjustment based on TSR, the lowest percentage of ROE Units or UNI Units (as applicable) that vest will be 50%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60"/>
          </w:cols>
          <w:pgMar w:left="320" w:top="1409" w:right="319" w:bottom="1440" w:gutter="0" w:footer="0" w:header="0"/>
        </w:sectPr>
      </w:pPr>
    </w:p>
    <w:bookmarkStart w:id="497" w:name="page498"/>
    <w:bookmarkEnd w:id="497"/>
    <w:p>
      <w:pPr>
        <w:spacing w:after="0"/>
        <w:rPr>
          <w:sz w:val="20"/>
          <w:szCs w:val="20"/>
          <w:color w:val="auto"/>
        </w:rPr>
      </w:pPr>
      <w:r>
        <w:rPr>
          <w:rFonts w:ascii="Times New Roman" w:cs="Times New Roman" w:eastAsia="Times New Roman" w:hAnsi="Times New Roman"/>
          <w:sz w:val="21"/>
          <w:szCs w:val="21"/>
          <w:color w:val="auto"/>
        </w:rPr>
        <w:t>the target number of ROE Units or UNI Units. If TSR is negative, the following below-maximum caps will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135890</wp:posOffset>
            </wp:positionV>
            <wp:extent cx="3617595" cy="171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90">
                      <a:extLst>
                        <a:ext uri="{28A0092B-C50C-407E-A947-70E740481C1C}"/>
                      </a:extLst>
                    </a:blip>
                    <a:srcRect/>
                    <a:stretch>
                      <a:fillRect/>
                    </a:stretch>
                  </pic:blipFill>
                  <pic:spPr bwMode="auto">
                    <a:xfrm>
                      <a:off x="0" y="0"/>
                      <a:ext cx="3617595" cy="17145"/>
                    </a:xfrm>
                    <a:prstGeom prst="rect">
                      <a:avLst/>
                    </a:prstGeom>
                    <a:noFill/>
                  </pic:spPr>
                </pic:pic>
              </a:graphicData>
            </a:graphic>
          </wp:anchor>
        </w:drawing>
      </w:r>
    </w:p>
    <w:p>
      <w:pPr>
        <w:spacing w:after="0" w:line="229" w:lineRule="exact"/>
        <w:rPr>
          <w:sz w:val="20"/>
          <w:szCs w:val="20"/>
          <w:color w:val="auto"/>
        </w:rPr>
      </w:pPr>
    </w:p>
    <w:tbl>
      <w:tblPr>
        <w:tblLayout w:type="fixed"/>
        <w:tblInd w:w="1700" w:type="dxa"/>
        <w:tblCellMar>
          <w:top w:w="0" w:type="dxa"/>
          <w:left w:w="0" w:type="dxa"/>
          <w:bottom w:w="0" w:type="dxa"/>
          <w:right w:w="0" w:type="dxa"/>
        </w:tblCellMar>
      </w:tblPr>
      <w:tr>
        <w:trPr>
          <w:trHeight w:val="267"/>
        </w:trPr>
        <w:tc>
          <w:tcPr>
            <w:tcW w:w="292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TSR Performance Relative to</w:t>
            </w:r>
          </w:p>
        </w:tc>
        <w:tc>
          <w:tcPr>
            <w:tcW w:w="2760" w:type="dxa"/>
            <w:vAlign w:val="bottom"/>
          </w:tcPr>
          <w:p>
            <w:pPr>
              <w:ind w:left="140"/>
              <w:spacing w:after="0"/>
              <w:rPr>
                <w:sz w:val="20"/>
                <w:szCs w:val="20"/>
                <w:color w:val="auto"/>
              </w:rPr>
            </w:pPr>
            <w:r>
              <w:rPr>
                <w:rFonts w:ascii="Times New Roman" w:cs="Times New Roman" w:eastAsia="Times New Roman" w:hAnsi="Times New Roman"/>
                <w:sz w:val="21"/>
                <w:szCs w:val="21"/>
                <w:b w:val="1"/>
                <w:bCs w:val="1"/>
                <w:color w:val="auto"/>
              </w:rPr>
              <w:t>Below-Maximum Cap when</w:t>
            </w:r>
          </w:p>
        </w:tc>
      </w:tr>
      <w:tr>
        <w:trPr>
          <w:trHeight w:val="283"/>
        </w:trPr>
        <w:tc>
          <w:tcPr>
            <w:tcW w:w="292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Peer Index</w:t>
            </w:r>
          </w:p>
        </w:tc>
        <w:tc>
          <w:tcPr>
            <w:tcW w:w="2760" w:type="dxa"/>
            <w:vAlign w:val="bottom"/>
          </w:tcPr>
          <w:p>
            <w:pPr>
              <w:ind w:left="140"/>
              <w:spacing w:after="0"/>
              <w:rPr>
                <w:sz w:val="20"/>
                <w:szCs w:val="20"/>
                <w:color w:val="auto"/>
              </w:rPr>
            </w:pPr>
            <w:r>
              <w:rPr>
                <w:rFonts w:ascii="Times New Roman" w:cs="Times New Roman" w:eastAsia="Times New Roman" w:hAnsi="Times New Roman"/>
                <w:sz w:val="21"/>
                <w:szCs w:val="21"/>
                <w:b w:val="1"/>
                <w:bCs w:val="1"/>
                <w:color w:val="auto"/>
              </w:rPr>
              <w:t>TSR is negative</w:t>
            </w:r>
          </w:p>
        </w:tc>
      </w:tr>
      <w:tr>
        <w:trPr>
          <w:trHeight w:val="177"/>
        </w:trPr>
        <w:tc>
          <w:tcPr>
            <w:tcW w:w="292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r>
      <w:tr>
        <w:trPr>
          <w:trHeight w:val="368"/>
        </w:trPr>
        <w:tc>
          <w:tcPr>
            <w:tcW w:w="2920" w:type="dxa"/>
            <w:vAlign w:val="bottom"/>
          </w:tcPr>
          <w:p>
            <w:pPr>
              <w:spacing w:after="0"/>
              <w:rPr>
                <w:sz w:val="20"/>
                <w:szCs w:val="20"/>
                <w:color w:val="auto"/>
              </w:rPr>
            </w:pPr>
            <w:r>
              <w:rPr>
                <w:rFonts w:ascii="Times New Roman" w:cs="Times New Roman" w:eastAsia="Times New Roman" w:hAnsi="Times New Roman"/>
                <w:sz w:val="21"/>
                <w:szCs w:val="21"/>
                <w:color w:val="auto"/>
              </w:rPr>
              <w:t>75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Percentile or Above</w:t>
            </w:r>
          </w:p>
        </w:tc>
        <w:tc>
          <w:tcPr>
            <w:tcW w:w="276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185% of target</w:t>
            </w:r>
          </w:p>
        </w:tc>
      </w:tr>
      <w:tr>
        <w:trPr>
          <w:trHeight w:val="368"/>
        </w:trPr>
        <w:tc>
          <w:tcPr>
            <w:tcW w:w="2920" w:type="dxa"/>
            <w:vAlign w:val="bottom"/>
          </w:tcPr>
          <w:p>
            <w:pPr>
              <w:spacing w:after="0"/>
              <w:rPr>
                <w:sz w:val="20"/>
                <w:szCs w:val="20"/>
                <w:color w:val="auto"/>
              </w:rPr>
            </w:pPr>
            <w:r>
              <w:rPr>
                <w:rFonts w:ascii="Times New Roman" w:cs="Times New Roman" w:eastAsia="Times New Roman" w:hAnsi="Times New Roman"/>
                <w:sz w:val="21"/>
                <w:szCs w:val="21"/>
                <w:color w:val="auto"/>
              </w:rPr>
              <w:t>Below 75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Percentile and above</w:t>
            </w:r>
          </w:p>
        </w:tc>
        <w:tc>
          <w:tcPr>
            <w:tcW w:w="276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115% of target</w:t>
            </w:r>
          </w:p>
        </w:tc>
      </w:tr>
      <w:tr>
        <w:trPr>
          <w:trHeight w:val="368"/>
        </w:trPr>
        <w:tc>
          <w:tcPr>
            <w:tcW w:w="2920" w:type="dxa"/>
            <w:vAlign w:val="bottom"/>
          </w:tcPr>
          <w:p>
            <w:pPr>
              <w:spacing w:after="0"/>
              <w:rPr>
                <w:sz w:val="20"/>
                <w:szCs w:val="20"/>
                <w:color w:val="auto"/>
              </w:rPr>
            </w:pPr>
            <w:r>
              <w:rPr>
                <w:rFonts w:ascii="Times New Roman" w:cs="Times New Roman" w:eastAsia="Times New Roman" w:hAnsi="Times New Roman"/>
                <w:sz w:val="21"/>
                <w:szCs w:val="21"/>
                <w:color w:val="auto"/>
              </w:rPr>
              <w:t>50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Percentile</w:t>
            </w:r>
          </w:p>
        </w:tc>
        <w:tc>
          <w:tcPr>
            <w:tcW w:w="2760" w:type="dxa"/>
            <w:vAlign w:val="bottom"/>
          </w:tcPr>
          <w:p>
            <w:pPr>
              <w:spacing w:after="0"/>
              <w:rPr>
                <w:sz w:val="24"/>
                <w:szCs w:val="24"/>
                <w:color w:val="auto"/>
              </w:rPr>
            </w:pPr>
          </w:p>
        </w:tc>
      </w:tr>
      <w:tr>
        <w:trPr>
          <w:trHeight w:val="468"/>
        </w:trPr>
        <w:tc>
          <w:tcPr>
            <w:tcW w:w="2920" w:type="dxa"/>
            <w:vAlign w:val="bottom"/>
          </w:tcPr>
          <w:p>
            <w:pPr>
              <w:spacing w:after="0"/>
              <w:rPr>
                <w:sz w:val="20"/>
                <w:szCs w:val="20"/>
                <w:color w:val="auto"/>
              </w:rPr>
            </w:pPr>
            <w:r>
              <w:rPr>
                <w:rFonts w:ascii="Times New Roman" w:cs="Times New Roman" w:eastAsia="Times New Roman" w:hAnsi="Times New Roman"/>
                <w:sz w:val="21"/>
                <w:szCs w:val="21"/>
                <w:color w:val="auto"/>
              </w:rPr>
              <w:t>50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Percentile or Below</w:t>
            </w:r>
          </w:p>
        </w:tc>
        <w:tc>
          <w:tcPr>
            <w:tcW w:w="276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100% of target</w:t>
            </w:r>
          </w:p>
        </w:tc>
      </w:tr>
    </w:tbl>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TSR shall be calculated as follows: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TSR = (Change in Stock Price + Dividends paid) / Beginning Stock Price</w:t>
      </w:r>
    </w:p>
    <w:p>
      <w:pPr>
        <w:spacing w:after="0" w:line="160"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21"/>
          <w:szCs w:val="21"/>
          <w:color w:val="auto"/>
        </w:rPr>
        <w:t>“Beginning Stock Price” shall mean the closing price on the applicable stock exchange of one share of Common Stock on the last trading day immediately prior to the first day of the Performance Cycle. “Ending Stock Price” shall mean the closing price on the applicable stock exchange of one share of Common Stock for the last trading day of the Performance Cycle. “Change in Stock Price” shall mean the difference between the Beginning Stock Price and the Ending Stock Price; and Dividends Paid shall mean the total of all dividends paid on one share of stock during the Performance Cycle.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Following the TSR calculation, the Company’s Percentile Rank shall be determined as follows:</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1"/>
          <w:szCs w:val="21"/>
          <w:color w:val="auto"/>
        </w:rPr>
        <w:t>Percentile Rank shall be determined by listing from highest TSR to lowest TSR of each company in the Peer Index (excluding the Company). The top company would have a one hundred percentile (100%) rank and the bottom company would have a zero percentile (0.0%) rank. Each company in between would be one hundred divided by n minus one (100/(n-1)) above the company below it, where “n” is the total number of companies in the Peer Index. The Company percentile rank would then be interpolated based on the Company TSR. The companies in the Peer Index shall remain constant throughout the entire Performance Cycle.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Peer Index</w:t>
      </w:r>
    </w:p>
    <w:p>
      <w:pPr>
        <w:spacing w:after="0" w:line="227" w:lineRule="exact"/>
        <w:rPr>
          <w:sz w:val="20"/>
          <w:szCs w:val="20"/>
          <w:color w:val="auto"/>
        </w:rPr>
      </w:pPr>
    </w:p>
    <w:p>
      <w:pPr>
        <w:ind w:left="140" w:hanging="133"/>
        <w:spacing w:after="0"/>
        <w:tabs>
          <w:tab w:leader="none" w:pos="140" w:val="left"/>
        </w:tabs>
        <w:numPr>
          <w:ilvl w:val="0"/>
          <w:numId w:val="3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Alliant Energy Corporation</w:t>
      </w:r>
    </w:p>
    <w:p>
      <w:pPr>
        <w:spacing w:after="0" w:line="226" w:lineRule="exact"/>
        <w:rPr>
          <w:rFonts w:ascii="Times New Roman" w:cs="Times New Roman" w:eastAsia="Times New Roman" w:hAnsi="Times New Roman"/>
          <w:sz w:val="21"/>
          <w:szCs w:val="21"/>
          <w:color w:val="auto"/>
        </w:rPr>
      </w:pPr>
    </w:p>
    <w:p>
      <w:pPr>
        <w:ind w:left="140" w:hanging="133"/>
        <w:spacing w:after="0"/>
        <w:tabs>
          <w:tab w:leader="none" w:pos="140" w:val="left"/>
        </w:tabs>
        <w:numPr>
          <w:ilvl w:val="0"/>
          <w:numId w:val="3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Ameren Corporation</w:t>
      </w:r>
    </w:p>
    <w:p>
      <w:pPr>
        <w:spacing w:after="0" w:line="226" w:lineRule="exact"/>
        <w:rPr>
          <w:rFonts w:ascii="Times New Roman" w:cs="Times New Roman" w:eastAsia="Times New Roman" w:hAnsi="Times New Roman"/>
          <w:sz w:val="21"/>
          <w:szCs w:val="21"/>
          <w:color w:val="auto"/>
        </w:rPr>
      </w:pPr>
    </w:p>
    <w:p>
      <w:pPr>
        <w:ind w:left="140" w:hanging="133"/>
        <w:spacing w:after="0"/>
        <w:tabs>
          <w:tab w:leader="none" w:pos="140" w:val="left"/>
        </w:tabs>
        <w:numPr>
          <w:ilvl w:val="0"/>
          <w:numId w:val="3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Atmos Energy Corporation</w:t>
      </w:r>
    </w:p>
    <w:p>
      <w:pPr>
        <w:spacing w:after="0" w:line="226" w:lineRule="exact"/>
        <w:rPr>
          <w:rFonts w:ascii="Times New Roman" w:cs="Times New Roman" w:eastAsia="Times New Roman" w:hAnsi="Times New Roman"/>
          <w:sz w:val="21"/>
          <w:szCs w:val="21"/>
          <w:color w:val="auto"/>
        </w:rPr>
      </w:pPr>
    </w:p>
    <w:p>
      <w:pPr>
        <w:ind w:left="140" w:hanging="133"/>
        <w:spacing w:after="0"/>
        <w:tabs>
          <w:tab w:leader="none" w:pos="140" w:val="left"/>
        </w:tabs>
        <w:numPr>
          <w:ilvl w:val="0"/>
          <w:numId w:val="3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Avista Corporation</w:t>
      </w:r>
    </w:p>
    <w:p>
      <w:pPr>
        <w:spacing w:after="0" w:line="226" w:lineRule="exact"/>
        <w:rPr>
          <w:rFonts w:ascii="Times New Roman" w:cs="Times New Roman" w:eastAsia="Times New Roman" w:hAnsi="Times New Roman"/>
          <w:sz w:val="21"/>
          <w:szCs w:val="21"/>
          <w:color w:val="auto"/>
        </w:rPr>
      </w:pPr>
    </w:p>
    <w:p>
      <w:pPr>
        <w:ind w:left="140" w:hanging="133"/>
        <w:spacing w:after="0"/>
        <w:tabs>
          <w:tab w:leader="none" w:pos="140" w:val="left"/>
        </w:tabs>
        <w:numPr>
          <w:ilvl w:val="0"/>
          <w:numId w:val="3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Black Hills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120"/>
          </w:cols>
          <w:pgMar w:left="320" w:top="1409" w:right="459" w:bottom="1440" w:gutter="0" w:footer="0" w:header="0"/>
        </w:sectPr>
      </w:pPr>
    </w:p>
    <w:bookmarkStart w:id="498" w:name="page499"/>
    <w:bookmarkEnd w:id="498"/>
    <w:p>
      <w:pPr>
        <w:ind w:left="140" w:hanging="133"/>
        <w:spacing w:after="0"/>
        <w:tabs>
          <w:tab w:leader="none" w:pos="140" w:val="left"/>
        </w:tabs>
        <w:numPr>
          <w:ilvl w:val="0"/>
          <w:numId w:val="3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CMS Energy Corporation</w:t>
      </w:r>
    </w:p>
    <w:p>
      <w:pPr>
        <w:spacing w:after="0" w:line="226" w:lineRule="exact"/>
        <w:rPr>
          <w:rFonts w:ascii="Times New Roman" w:cs="Times New Roman" w:eastAsia="Times New Roman" w:hAnsi="Times New Roman"/>
          <w:sz w:val="21"/>
          <w:szCs w:val="21"/>
          <w:color w:val="auto"/>
        </w:rPr>
      </w:pPr>
    </w:p>
    <w:p>
      <w:pPr>
        <w:ind w:left="140" w:hanging="133"/>
        <w:spacing w:after="0"/>
        <w:tabs>
          <w:tab w:leader="none" w:pos="140" w:val="left"/>
        </w:tabs>
        <w:numPr>
          <w:ilvl w:val="0"/>
          <w:numId w:val="3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Evergy, Inc.</w:t>
      </w:r>
    </w:p>
    <w:p>
      <w:pPr>
        <w:spacing w:after="0" w:line="226" w:lineRule="exact"/>
        <w:rPr>
          <w:rFonts w:ascii="Times New Roman" w:cs="Times New Roman" w:eastAsia="Times New Roman" w:hAnsi="Times New Roman"/>
          <w:sz w:val="21"/>
          <w:szCs w:val="21"/>
          <w:color w:val="auto"/>
        </w:rPr>
      </w:pPr>
    </w:p>
    <w:p>
      <w:pPr>
        <w:ind w:left="140" w:hanging="133"/>
        <w:spacing w:after="0"/>
        <w:tabs>
          <w:tab w:leader="none" w:pos="140" w:val="left"/>
        </w:tabs>
        <w:numPr>
          <w:ilvl w:val="0"/>
          <w:numId w:val="3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Hawaiian Electric Industries, Inc.</w:t>
      </w:r>
    </w:p>
    <w:p>
      <w:pPr>
        <w:spacing w:after="0" w:line="239" w:lineRule="exact"/>
        <w:rPr>
          <w:rFonts w:ascii="Times New Roman" w:cs="Times New Roman" w:eastAsia="Times New Roman" w:hAnsi="Times New Roman"/>
          <w:sz w:val="21"/>
          <w:szCs w:val="21"/>
          <w:color w:val="auto"/>
        </w:rPr>
      </w:pPr>
    </w:p>
    <w:p>
      <w:pPr>
        <w:ind w:left="140" w:hanging="133"/>
        <w:spacing w:after="0"/>
        <w:tabs>
          <w:tab w:leader="none" w:pos="140" w:val="left"/>
        </w:tabs>
        <w:numPr>
          <w:ilvl w:val="0"/>
          <w:numId w:val="3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IDACORP, Inc.</w:t>
      </w:r>
    </w:p>
    <w:p>
      <w:pPr>
        <w:spacing w:after="0" w:line="226" w:lineRule="exact"/>
        <w:rPr>
          <w:rFonts w:ascii="Times New Roman" w:cs="Times New Roman" w:eastAsia="Times New Roman" w:hAnsi="Times New Roman"/>
          <w:sz w:val="21"/>
          <w:szCs w:val="21"/>
          <w:color w:val="auto"/>
        </w:rPr>
      </w:pPr>
    </w:p>
    <w:p>
      <w:pPr>
        <w:ind w:left="140" w:hanging="133"/>
        <w:spacing w:after="0"/>
        <w:tabs>
          <w:tab w:leader="none" w:pos="140" w:val="left"/>
        </w:tabs>
        <w:numPr>
          <w:ilvl w:val="0"/>
          <w:numId w:val="3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MDU Resources Group, Inc.</w:t>
      </w:r>
    </w:p>
    <w:p>
      <w:pPr>
        <w:spacing w:after="0" w:line="226" w:lineRule="exact"/>
        <w:rPr>
          <w:rFonts w:ascii="Times New Roman" w:cs="Times New Roman" w:eastAsia="Times New Roman" w:hAnsi="Times New Roman"/>
          <w:sz w:val="21"/>
          <w:szCs w:val="21"/>
          <w:color w:val="auto"/>
        </w:rPr>
      </w:pPr>
    </w:p>
    <w:p>
      <w:pPr>
        <w:ind w:left="140" w:hanging="133"/>
        <w:spacing w:after="0"/>
        <w:tabs>
          <w:tab w:leader="none" w:pos="140" w:val="left"/>
        </w:tabs>
        <w:numPr>
          <w:ilvl w:val="0"/>
          <w:numId w:val="3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New Jersey Resources Corporation</w:t>
      </w:r>
    </w:p>
    <w:p>
      <w:pPr>
        <w:spacing w:after="0" w:line="226" w:lineRule="exact"/>
        <w:rPr>
          <w:rFonts w:ascii="Times New Roman" w:cs="Times New Roman" w:eastAsia="Times New Roman" w:hAnsi="Times New Roman"/>
          <w:sz w:val="21"/>
          <w:szCs w:val="21"/>
          <w:color w:val="auto"/>
        </w:rPr>
      </w:pPr>
    </w:p>
    <w:p>
      <w:pPr>
        <w:ind w:left="140" w:hanging="133"/>
        <w:spacing w:after="0"/>
        <w:tabs>
          <w:tab w:leader="none" w:pos="140" w:val="left"/>
        </w:tabs>
        <w:numPr>
          <w:ilvl w:val="0"/>
          <w:numId w:val="3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Nisource Inc.</w:t>
      </w:r>
    </w:p>
    <w:p>
      <w:pPr>
        <w:spacing w:after="0" w:line="226" w:lineRule="exact"/>
        <w:rPr>
          <w:rFonts w:ascii="Times New Roman" w:cs="Times New Roman" w:eastAsia="Times New Roman" w:hAnsi="Times New Roman"/>
          <w:sz w:val="21"/>
          <w:szCs w:val="21"/>
          <w:color w:val="auto"/>
        </w:rPr>
      </w:pPr>
    </w:p>
    <w:p>
      <w:pPr>
        <w:ind w:left="140" w:hanging="133"/>
        <w:spacing w:after="0"/>
        <w:tabs>
          <w:tab w:leader="none" w:pos="140" w:val="left"/>
        </w:tabs>
        <w:numPr>
          <w:ilvl w:val="0"/>
          <w:numId w:val="3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Northwestern Energy Group, Inc.</w:t>
      </w:r>
    </w:p>
    <w:p>
      <w:pPr>
        <w:spacing w:after="0" w:line="239" w:lineRule="exact"/>
        <w:rPr>
          <w:rFonts w:ascii="Times New Roman" w:cs="Times New Roman" w:eastAsia="Times New Roman" w:hAnsi="Times New Roman"/>
          <w:sz w:val="21"/>
          <w:szCs w:val="21"/>
          <w:color w:val="auto"/>
        </w:rPr>
      </w:pPr>
    </w:p>
    <w:p>
      <w:pPr>
        <w:ind w:left="140" w:hanging="133"/>
        <w:spacing w:after="0"/>
        <w:tabs>
          <w:tab w:leader="none" w:pos="140" w:val="left"/>
        </w:tabs>
        <w:numPr>
          <w:ilvl w:val="0"/>
          <w:numId w:val="3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OGE Energy Corporation</w:t>
      </w:r>
    </w:p>
    <w:p>
      <w:pPr>
        <w:spacing w:after="0" w:line="226" w:lineRule="exact"/>
        <w:rPr>
          <w:rFonts w:ascii="Times New Roman" w:cs="Times New Roman" w:eastAsia="Times New Roman" w:hAnsi="Times New Roman"/>
          <w:sz w:val="21"/>
          <w:szCs w:val="21"/>
          <w:color w:val="auto"/>
        </w:rPr>
      </w:pPr>
    </w:p>
    <w:p>
      <w:pPr>
        <w:ind w:left="140" w:hanging="133"/>
        <w:spacing w:after="0"/>
        <w:tabs>
          <w:tab w:leader="none" w:pos="140" w:val="left"/>
        </w:tabs>
        <w:numPr>
          <w:ilvl w:val="0"/>
          <w:numId w:val="3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ONE Gas, Inc</w:t>
      </w:r>
    </w:p>
    <w:p>
      <w:pPr>
        <w:spacing w:after="0" w:line="226" w:lineRule="exact"/>
        <w:rPr>
          <w:rFonts w:ascii="Times New Roman" w:cs="Times New Roman" w:eastAsia="Times New Roman" w:hAnsi="Times New Roman"/>
          <w:sz w:val="21"/>
          <w:szCs w:val="21"/>
          <w:color w:val="auto"/>
        </w:rPr>
      </w:pPr>
    </w:p>
    <w:p>
      <w:pPr>
        <w:ind w:left="140" w:hanging="133"/>
        <w:spacing w:after="0"/>
        <w:tabs>
          <w:tab w:leader="none" w:pos="140" w:val="left"/>
        </w:tabs>
        <w:numPr>
          <w:ilvl w:val="0"/>
          <w:numId w:val="3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Pinnacle West Capital Corporation</w:t>
      </w:r>
    </w:p>
    <w:p>
      <w:pPr>
        <w:spacing w:after="0" w:line="226" w:lineRule="exact"/>
        <w:rPr>
          <w:rFonts w:ascii="Times New Roman" w:cs="Times New Roman" w:eastAsia="Times New Roman" w:hAnsi="Times New Roman"/>
          <w:sz w:val="21"/>
          <w:szCs w:val="21"/>
          <w:color w:val="auto"/>
        </w:rPr>
      </w:pPr>
    </w:p>
    <w:p>
      <w:pPr>
        <w:ind w:left="140" w:hanging="133"/>
        <w:spacing w:after="0"/>
        <w:tabs>
          <w:tab w:leader="none" w:pos="140" w:val="left"/>
        </w:tabs>
        <w:numPr>
          <w:ilvl w:val="0"/>
          <w:numId w:val="3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Portland General Electric Company</w:t>
      </w:r>
    </w:p>
    <w:p>
      <w:pPr>
        <w:spacing w:after="0" w:line="226" w:lineRule="exact"/>
        <w:rPr>
          <w:rFonts w:ascii="Times New Roman" w:cs="Times New Roman" w:eastAsia="Times New Roman" w:hAnsi="Times New Roman"/>
          <w:sz w:val="21"/>
          <w:szCs w:val="21"/>
          <w:color w:val="auto"/>
        </w:rPr>
      </w:pPr>
    </w:p>
    <w:p>
      <w:pPr>
        <w:ind w:left="140" w:hanging="133"/>
        <w:spacing w:after="0"/>
        <w:tabs>
          <w:tab w:leader="none" w:pos="140" w:val="left"/>
        </w:tabs>
        <w:numPr>
          <w:ilvl w:val="0"/>
          <w:numId w:val="3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TXNM Energy, Inc.</w:t>
      </w:r>
    </w:p>
    <w:p>
      <w:pPr>
        <w:spacing w:after="0" w:line="226" w:lineRule="exact"/>
        <w:rPr>
          <w:rFonts w:ascii="Times New Roman" w:cs="Times New Roman" w:eastAsia="Times New Roman" w:hAnsi="Times New Roman"/>
          <w:sz w:val="21"/>
          <w:szCs w:val="21"/>
          <w:color w:val="auto"/>
        </w:rPr>
      </w:pPr>
    </w:p>
    <w:p>
      <w:pPr>
        <w:ind w:left="140" w:hanging="133"/>
        <w:spacing w:after="0"/>
        <w:tabs>
          <w:tab w:leader="none" w:pos="140" w:val="left"/>
        </w:tabs>
        <w:numPr>
          <w:ilvl w:val="0"/>
          <w:numId w:val="3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Spire,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0139"/>
          </w:cols>
          <w:pgMar w:left="320" w:top="1409" w:right="1440" w:bottom="1440" w:gutter="0" w:footer="0" w:header="0"/>
        </w:sectPr>
      </w:pPr>
    </w:p>
    <w:bookmarkStart w:id="499" w:name="page500"/>
    <w:bookmarkEnd w:id="499"/>
    <w:p>
      <w:pPr>
        <w:jc w:val="center"/>
        <w:ind w:right="60"/>
        <w:spacing w:after="0"/>
        <w:rPr>
          <w:sz w:val="20"/>
          <w:szCs w:val="20"/>
          <w:color w:val="auto"/>
        </w:rPr>
      </w:pPr>
      <w:r>
        <w:rPr>
          <w:rFonts w:ascii="Times New Roman" w:cs="Times New Roman" w:eastAsia="Times New Roman" w:hAnsi="Times New Roman"/>
          <w:sz w:val="21"/>
          <w:szCs w:val="21"/>
          <w:b w:val="1"/>
          <w:bCs w:val="1"/>
          <w:color w:val="auto"/>
        </w:rPr>
        <w:t>AWARD AGREEMENT FOR TIME-LAPSE</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RESTRICTED STOCK UNITS</w:t>
      </w:r>
    </w:p>
    <w:p>
      <w:pPr>
        <w:spacing w:after="0" w:line="1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b w:val="1"/>
          <w:bCs w:val="1"/>
          <w:color w:val="auto"/>
        </w:rPr>
        <w:t>UNDER THE SOUTHWEST GAS HOLDINGS, INC.</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2024 OMNIBUS INCENTIVE PLAN</w:t>
      </w:r>
    </w:p>
    <w:p>
      <w:pPr>
        <w:spacing w:after="0" w:line="211" w:lineRule="exact"/>
        <w:rPr>
          <w:sz w:val="20"/>
          <w:szCs w:val="20"/>
          <w:color w:val="auto"/>
        </w:rPr>
      </w:pPr>
    </w:p>
    <w:p>
      <w:pPr>
        <w:ind w:right="80" w:firstLine="642"/>
        <w:spacing w:after="0" w:line="266" w:lineRule="auto"/>
        <w:rPr>
          <w:sz w:val="20"/>
          <w:szCs w:val="20"/>
          <w:color w:val="auto"/>
        </w:rPr>
      </w:pPr>
      <w:r>
        <w:rPr>
          <w:rFonts w:ascii="Times New Roman" w:cs="Times New Roman" w:eastAsia="Times New Roman" w:hAnsi="Times New Roman"/>
          <w:sz w:val="21"/>
          <w:szCs w:val="21"/>
          <w:color w:val="auto"/>
        </w:rPr>
        <w:t>This Award Agreement for Time-Lapse Restricted Stock Units (this “</w:t>
      </w:r>
      <w:r>
        <w:rPr>
          <w:rFonts w:ascii="Times New Roman" w:cs="Times New Roman" w:eastAsia="Times New Roman" w:hAnsi="Times New Roman"/>
          <w:sz w:val="21"/>
          <w:szCs w:val="21"/>
          <w:b w:val="1"/>
          <w:bCs w:val="1"/>
          <w:color w:val="auto"/>
        </w:rPr>
        <w:t>Award Agreement</w:t>
      </w:r>
      <w:r>
        <w:rPr>
          <w:rFonts w:ascii="Times New Roman" w:cs="Times New Roman" w:eastAsia="Times New Roman" w:hAnsi="Times New Roman"/>
          <w:sz w:val="21"/>
          <w:szCs w:val="21"/>
          <w:color w:val="auto"/>
        </w:rPr>
        <w:t>”) is dated as of [●], 2025, by and between Southwest Gas Holdings, Inc., a Delaware corporation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and [●] (the “</w:t>
      </w:r>
      <w:r>
        <w:rPr>
          <w:rFonts w:ascii="Times New Roman" w:cs="Times New Roman" w:eastAsia="Times New Roman" w:hAnsi="Times New Roman"/>
          <w:sz w:val="21"/>
          <w:szCs w:val="21"/>
          <w:b w:val="1"/>
          <w:bCs w:val="1"/>
          <w:color w:val="auto"/>
        </w:rPr>
        <w:t>Participant</w:t>
      </w:r>
      <w:r>
        <w:rPr>
          <w:rFonts w:ascii="Times New Roman" w:cs="Times New Roman" w:eastAsia="Times New Roman" w:hAnsi="Times New Roman"/>
          <w:sz w:val="21"/>
          <w:szCs w:val="21"/>
          <w:color w:val="auto"/>
        </w:rPr>
        <w:t>”), pursuant to the Southwest Gas Holdings, Inc. 2024 Omnibus Incentive Plan (the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Capitalized terms that are used, but not defined, in this Award Agreement shall have the meaning set forth in the Plan, and the Plan is incorporated by reference into this Award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Overview of Your Award</w:t>
      </w:r>
    </w:p>
    <w:p>
      <w:pPr>
        <w:spacing w:after="0" w:line="227" w:lineRule="exact"/>
        <w:rPr>
          <w:sz w:val="20"/>
          <w:szCs w:val="20"/>
          <w:color w:val="auto"/>
        </w:rPr>
      </w:pPr>
    </w:p>
    <w:p>
      <w:pPr>
        <w:ind w:right="220"/>
        <w:spacing w:after="0" w:line="293" w:lineRule="auto"/>
        <w:rPr>
          <w:sz w:val="20"/>
          <w:szCs w:val="20"/>
          <w:color w:val="auto"/>
        </w:rPr>
      </w:pPr>
      <w:r>
        <w:rPr>
          <w:rFonts w:ascii="Times New Roman" w:cs="Times New Roman" w:eastAsia="Times New Roman" w:hAnsi="Times New Roman"/>
          <w:sz w:val="21"/>
          <w:szCs w:val="21"/>
          <w:b w:val="1"/>
          <w:bCs w:val="1"/>
          <w:color w:val="auto"/>
        </w:rPr>
        <w:t xml:space="preserve">Number of Restricted Stock Units Granted: </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i w:val="1"/>
          <w:iCs w:val="1"/>
          <w:color w:val="auto"/>
        </w:rPr>
        <w:t>determined by award opportunity, December 31, 2024 base salary, and stock</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i w:val="1"/>
          <w:iCs w:val="1"/>
          <w:color w:val="auto"/>
        </w:rPr>
        <w:t>price on the last trading day of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Date of Grant: </w:t>
      </w:r>
      <w:r>
        <w:rPr>
          <w:rFonts w:ascii="Times New Roman" w:cs="Times New Roman" w:eastAsia="Times New Roman" w:hAnsi="Times New Roman"/>
          <w:sz w:val="21"/>
          <w:szCs w:val="21"/>
          <w:color w:val="auto"/>
        </w:rPr>
        <w:t>[●], 2025 (</w:t>
      </w:r>
      <w:r>
        <w:rPr>
          <w:rFonts w:ascii="Times New Roman" w:cs="Times New Roman" w:eastAsia="Times New Roman" w:hAnsi="Times New Roman"/>
          <w:sz w:val="21"/>
          <w:szCs w:val="21"/>
          <w:i w:val="1"/>
          <w:iCs w:val="1"/>
          <w:color w:val="auto"/>
        </w:rPr>
        <w:t>date of Board approval</w:t>
      </w:r>
      <w:r>
        <w:rPr>
          <w:rFonts w:ascii="Times New Roman" w:cs="Times New Roman" w:eastAsia="Times New Roman" w:hAnsi="Times New Roman"/>
          <w:sz w:val="21"/>
          <w:szCs w:val="21"/>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Vesting Schedule</w:t>
      </w:r>
      <w:r>
        <w:rPr>
          <w:rFonts w:ascii="Times New Roman" w:cs="Times New Roman" w:eastAsia="Times New Roman" w:hAnsi="Times New Roman"/>
          <w:sz w:val="21"/>
          <w:szCs w:val="21"/>
          <w:color w:val="auto"/>
        </w:rPr>
        <w:t>:</w:t>
      </w:r>
    </w:p>
    <w:p>
      <w:pPr>
        <w:spacing w:after="0" w:line="244"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21"/>
          <w:szCs w:val="21"/>
          <w:color w:val="auto"/>
        </w:rPr>
        <w:t>Subject to the Participant’s Continuous Service and other terms and conditions set forth in the Plan and this Award Agreement, the time-lapse restricted stock units will vest in accordance with the following schedule (the “</w:t>
      </w:r>
      <w:r>
        <w:rPr>
          <w:rFonts w:ascii="Times New Roman" w:cs="Times New Roman" w:eastAsia="Times New Roman" w:hAnsi="Times New Roman"/>
          <w:sz w:val="21"/>
          <w:szCs w:val="21"/>
          <w:b w:val="1"/>
          <w:bCs w:val="1"/>
          <w:color w:val="auto"/>
        </w:rPr>
        <w:t>Vesting Schedule</w:t>
      </w:r>
      <w:r>
        <w:rPr>
          <w:rFonts w:ascii="Times New Roman" w:cs="Times New Roman" w:eastAsia="Times New Roman" w:hAnsi="Times New Roman"/>
          <w:sz w:val="21"/>
          <w:szCs w:val="21"/>
          <w:color w:val="auto"/>
        </w:rPr>
        <w:t>”):</w:t>
      </w:r>
    </w:p>
    <w:p>
      <w:pPr>
        <w:spacing w:after="0" w:line="181" w:lineRule="exact"/>
        <w:rPr>
          <w:sz w:val="20"/>
          <w:szCs w:val="20"/>
          <w:color w:val="auto"/>
        </w:rPr>
      </w:pPr>
    </w:p>
    <w:tbl>
      <w:tblPr>
        <w:tblLayout w:type="fixed"/>
        <w:tblInd w:w="4920" w:type="dxa"/>
        <w:tblCellMar>
          <w:top w:w="0" w:type="dxa"/>
          <w:left w:w="0" w:type="dxa"/>
          <w:bottom w:w="0" w:type="dxa"/>
          <w:right w:w="0" w:type="dxa"/>
        </w:tblCellMar>
      </w:tblPr>
      <w:tr>
        <w:trPr>
          <w:trHeight w:val="241"/>
        </w:trPr>
        <w:tc>
          <w:tcPr>
            <w:tcW w:w="1380" w:type="dxa"/>
            <w:vAlign w:val="bottom"/>
            <w:gridSpan w:val="2"/>
          </w:tcPr>
          <w:p>
            <w:pPr>
              <w:jc w:val="center"/>
              <w:ind w:right="920"/>
              <w:spacing w:after="0"/>
              <w:rPr>
                <w:sz w:val="20"/>
                <w:szCs w:val="20"/>
                <w:color w:val="auto"/>
              </w:rPr>
            </w:pPr>
            <w:r>
              <w:rPr>
                <w:rFonts w:ascii="Times New Roman" w:cs="Times New Roman" w:eastAsia="Times New Roman" w:hAnsi="Times New Roman"/>
                <w:sz w:val="21"/>
                <w:szCs w:val="21"/>
                <w:color w:val="auto"/>
              </w:rPr>
              <w:t>Units</w:t>
            </w:r>
          </w:p>
        </w:tc>
        <w:tc>
          <w:tcPr>
            <w:tcW w:w="2280" w:type="dxa"/>
            <w:vAlign w:val="bottom"/>
            <w:gridSpan w:val="3"/>
          </w:tcPr>
          <w:p>
            <w:pPr>
              <w:jc w:val="center"/>
              <w:ind w:left="793"/>
              <w:spacing w:after="0"/>
              <w:rPr>
                <w:sz w:val="20"/>
                <w:szCs w:val="20"/>
                <w:color w:val="auto"/>
              </w:rPr>
            </w:pPr>
            <w:r>
              <w:rPr>
                <w:rFonts w:ascii="Times New Roman" w:cs="Times New Roman" w:eastAsia="Times New Roman" w:hAnsi="Times New Roman"/>
                <w:sz w:val="21"/>
                <w:szCs w:val="21"/>
                <w:color w:val="auto"/>
                <w:w w:val="99"/>
              </w:rPr>
              <w:t>Vesting Date</w:t>
            </w:r>
          </w:p>
        </w:tc>
      </w:tr>
      <w:tr>
        <w:trPr>
          <w:trHeight w:val="20"/>
        </w:trPr>
        <w:tc>
          <w:tcPr>
            <w:tcW w:w="4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52"/>
        </w:trPr>
        <w:tc>
          <w:tcPr>
            <w:tcW w:w="4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40%</w:t>
            </w:r>
          </w:p>
        </w:tc>
        <w:tc>
          <w:tcPr>
            <w:tcW w:w="920" w:type="dxa"/>
            <w:vAlign w:val="bottom"/>
          </w:tcPr>
          <w:p>
            <w:pPr>
              <w:spacing w:after="0"/>
              <w:rPr>
                <w:sz w:val="24"/>
                <w:szCs w:val="24"/>
                <w:color w:val="auto"/>
              </w:rPr>
            </w:pPr>
          </w:p>
        </w:tc>
        <w:tc>
          <w:tcPr>
            <w:tcW w:w="2280" w:type="dxa"/>
            <w:vAlign w:val="bottom"/>
            <w:gridSpan w:val="3"/>
          </w:tcPr>
          <w:p>
            <w:pPr>
              <w:jc w:val="center"/>
              <w:ind w:left="813"/>
              <w:spacing w:after="0"/>
              <w:rPr>
                <w:sz w:val="20"/>
                <w:szCs w:val="20"/>
                <w:color w:val="auto"/>
              </w:rPr>
            </w:pPr>
            <w:r>
              <w:rPr>
                <w:rFonts w:ascii="Times New Roman" w:cs="Times New Roman" w:eastAsia="Times New Roman" w:hAnsi="Times New Roman"/>
                <w:sz w:val="21"/>
                <w:szCs w:val="21"/>
                <w:color w:val="auto"/>
              </w:rPr>
              <w:t>January 4, 2026</w:t>
            </w:r>
          </w:p>
        </w:tc>
      </w:tr>
      <w:tr>
        <w:trPr>
          <w:trHeight w:val="321"/>
        </w:trPr>
        <w:tc>
          <w:tcPr>
            <w:tcW w:w="4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30%</w:t>
            </w:r>
          </w:p>
        </w:tc>
        <w:tc>
          <w:tcPr>
            <w:tcW w:w="920" w:type="dxa"/>
            <w:vAlign w:val="bottom"/>
          </w:tcPr>
          <w:p>
            <w:pPr>
              <w:spacing w:after="0"/>
              <w:rPr>
                <w:sz w:val="24"/>
                <w:szCs w:val="24"/>
                <w:color w:val="auto"/>
              </w:rPr>
            </w:pPr>
          </w:p>
        </w:tc>
        <w:tc>
          <w:tcPr>
            <w:tcW w:w="2280" w:type="dxa"/>
            <w:vAlign w:val="bottom"/>
            <w:gridSpan w:val="3"/>
          </w:tcPr>
          <w:p>
            <w:pPr>
              <w:jc w:val="center"/>
              <w:ind w:left="813"/>
              <w:spacing w:after="0"/>
              <w:rPr>
                <w:sz w:val="20"/>
                <w:szCs w:val="20"/>
                <w:color w:val="auto"/>
              </w:rPr>
            </w:pPr>
            <w:r>
              <w:rPr>
                <w:rFonts w:ascii="Times New Roman" w:cs="Times New Roman" w:eastAsia="Times New Roman" w:hAnsi="Times New Roman"/>
                <w:sz w:val="21"/>
                <w:szCs w:val="21"/>
                <w:color w:val="auto"/>
              </w:rPr>
              <w:t>January 4, 2027</w:t>
            </w:r>
          </w:p>
        </w:tc>
      </w:tr>
      <w:tr>
        <w:trPr>
          <w:trHeight w:val="321"/>
        </w:trPr>
        <w:tc>
          <w:tcPr>
            <w:tcW w:w="4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30%</w:t>
            </w:r>
          </w:p>
        </w:tc>
        <w:tc>
          <w:tcPr>
            <w:tcW w:w="920" w:type="dxa"/>
            <w:vAlign w:val="bottom"/>
          </w:tcPr>
          <w:p>
            <w:pPr>
              <w:spacing w:after="0"/>
              <w:rPr>
                <w:sz w:val="24"/>
                <w:szCs w:val="24"/>
                <w:color w:val="auto"/>
              </w:rPr>
            </w:pPr>
          </w:p>
        </w:tc>
        <w:tc>
          <w:tcPr>
            <w:tcW w:w="2280" w:type="dxa"/>
            <w:vAlign w:val="bottom"/>
            <w:gridSpan w:val="3"/>
          </w:tcPr>
          <w:p>
            <w:pPr>
              <w:jc w:val="center"/>
              <w:ind w:left="813"/>
              <w:spacing w:after="0"/>
              <w:rPr>
                <w:sz w:val="20"/>
                <w:szCs w:val="20"/>
                <w:color w:val="auto"/>
              </w:rPr>
            </w:pPr>
            <w:r>
              <w:rPr>
                <w:rFonts w:ascii="Times New Roman" w:cs="Times New Roman" w:eastAsia="Times New Roman" w:hAnsi="Times New Roman"/>
                <w:sz w:val="21"/>
                <w:szCs w:val="21"/>
                <w:color w:val="auto"/>
              </w:rPr>
              <w:t>January 4, 2028</w:t>
            </w:r>
          </w:p>
        </w:tc>
      </w:tr>
    </w:tbl>
    <w:p>
      <w:pPr>
        <w:spacing w:after="0" w:line="82" w:lineRule="exact"/>
        <w:rPr>
          <w:sz w:val="20"/>
          <w:szCs w:val="20"/>
          <w:color w:val="auto"/>
        </w:rPr>
      </w:pPr>
    </w:p>
    <w:p>
      <w:pPr>
        <w:ind w:firstLine="7"/>
        <w:spacing w:after="0" w:line="218" w:lineRule="auto"/>
        <w:tabs>
          <w:tab w:leader="none" w:pos="642" w:val="left"/>
        </w:tabs>
        <w:numPr>
          <w:ilvl w:val="0"/>
          <w:numId w:val="3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 of Units</w:t>
      </w:r>
      <w:r>
        <w:rPr>
          <w:rFonts w:ascii="Times New Roman" w:cs="Times New Roman" w:eastAsia="Times New Roman" w:hAnsi="Times New Roman"/>
          <w:sz w:val="21"/>
          <w:szCs w:val="21"/>
          <w:color w:val="auto"/>
        </w:rPr>
        <w:t>. The Company hereby grants the Participant an Award of Restricted Stock Units covering the number of Shares set forth above (the “</w:t>
      </w:r>
      <w:r>
        <w:rPr>
          <w:rFonts w:ascii="Times New Roman" w:cs="Times New Roman" w:eastAsia="Times New Roman" w:hAnsi="Times New Roman"/>
          <w:sz w:val="21"/>
          <w:szCs w:val="21"/>
          <w:b w:val="1"/>
          <w:bCs w:val="1"/>
          <w:color w:val="auto"/>
        </w:rPr>
        <w:t>Units</w:t>
      </w:r>
      <w:r>
        <w:rPr>
          <w:rFonts w:ascii="Times New Roman" w:cs="Times New Roman" w:eastAsia="Times New Roman" w:hAnsi="Times New Roman"/>
          <w:sz w:val="21"/>
          <w:szCs w:val="21"/>
          <w:color w:val="auto"/>
        </w:rPr>
        <w:t>”) under the Plan, subject to the terms and conditions of the Plan and this Award Agreement. The Units are granted in consideration of the services to be rendered by the Participant to the Company. Each Unit represents the right to receive one Share if the Units vest. The Units shall be credited to a separate account maintained for the Participant on the books and records of the Company. All amounts credited to the Participant’s account shall continue for all purposes to be part of the general assets of the Company. Unless and until such time as Shares are issued in settlement of the vested Units, the Participant shall not have any of the rights of a stockholder of the Company with respect to any of the Shares, including any voting rights or rights with respect to dividends paid on the Shares. The Units or the rights relating thereto may not be sold, transferred, pledged, attached, assigned, or otherwise alienated or encumbered by the Participant in any manner, whether voluntarily, by operation of law, or otherwise. Any attempt to assign, alienate, pledge, attach, sell or otherwise transfer or encumber the Units or the rights relating thereto shall be wholly ineffective.</w:t>
      </w:r>
    </w:p>
    <w:p>
      <w:pPr>
        <w:sectPr>
          <w:pgSz w:w="11900" w:h="16838" w:orient="portrait"/>
          <w:cols w:equalWidth="0" w:num="1">
            <w:col w:w="11240"/>
          </w:cols>
          <w:pgMar w:left="320" w:top="1405" w:right="339" w:bottom="1440" w:gutter="0" w:footer="0" w:header="0"/>
        </w:sectPr>
      </w:pPr>
    </w:p>
    <w:bookmarkStart w:id="500" w:name="page501"/>
    <w:bookmarkEnd w:id="500"/>
    <w:p>
      <w:pPr>
        <w:ind w:left="-7" w:right="80" w:firstLine="7"/>
        <w:spacing w:after="0" w:line="234" w:lineRule="auto"/>
        <w:tabs>
          <w:tab w:leader="none" w:pos="635" w:val="left"/>
        </w:tabs>
        <w:numPr>
          <w:ilvl w:val="0"/>
          <w:numId w:val="3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 of Units</w:t>
      </w:r>
      <w:r>
        <w:rPr>
          <w:rFonts w:ascii="Times New Roman" w:cs="Times New Roman" w:eastAsia="Times New Roman" w:hAnsi="Times New Roman"/>
          <w:sz w:val="21"/>
          <w:szCs w:val="21"/>
          <w:color w:val="auto"/>
        </w:rPr>
        <w:t>. Except as otherwise provided herein or in the Plan, subject to the Participant’s Continuous Service through the applicable date of vesting under the Vesting Schedule (each, a “</w:t>
      </w:r>
      <w:r>
        <w:rPr>
          <w:rFonts w:ascii="Times New Roman" w:cs="Times New Roman" w:eastAsia="Times New Roman" w:hAnsi="Times New Roman"/>
          <w:sz w:val="21"/>
          <w:szCs w:val="21"/>
          <w:b w:val="1"/>
          <w:bCs w:val="1"/>
          <w:color w:val="auto"/>
        </w:rPr>
        <w:t>Vesting Date</w:t>
      </w:r>
      <w:r>
        <w:rPr>
          <w:rFonts w:ascii="Times New Roman" w:cs="Times New Roman" w:eastAsia="Times New Roman" w:hAnsi="Times New Roman"/>
          <w:sz w:val="21"/>
          <w:szCs w:val="21"/>
          <w:color w:val="auto"/>
        </w:rPr>
        <w:t>”), the Units will vest in accordance with the Vesting Schedule above.</w:t>
      </w:r>
    </w:p>
    <w:p>
      <w:pPr>
        <w:spacing w:after="0" w:line="149" w:lineRule="exact"/>
        <w:rPr>
          <w:rFonts w:ascii="Times New Roman" w:cs="Times New Roman" w:eastAsia="Times New Roman" w:hAnsi="Times New Roman"/>
          <w:sz w:val="21"/>
          <w:szCs w:val="21"/>
          <w:color w:val="auto"/>
        </w:rPr>
      </w:pPr>
    </w:p>
    <w:p>
      <w:pPr>
        <w:ind w:left="-7" w:right="200" w:firstLine="7"/>
        <w:spacing w:after="0" w:line="228" w:lineRule="auto"/>
        <w:tabs>
          <w:tab w:leader="none" w:pos="635" w:val="left"/>
        </w:tabs>
        <w:numPr>
          <w:ilvl w:val="0"/>
          <w:numId w:val="3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Forfeiture</w:t>
      </w:r>
      <w:r>
        <w:rPr>
          <w:rFonts w:ascii="Times New Roman" w:cs="Times New Roman" w:eastAsia="Times New Roman" w:hAnsi="Times New Roman"/>
          <w:sz w:val="21"/>
          <w:szCs w:val="21"/>
          <w:color w:val="auto"/>
        </w:rPr>
        <w:t xml:space="preserve">. Except as provided otherwise in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below, unvested Units shall be forfeited upon a termination of the Participant’s Continuous Service. The Participant agrees to execute such documentation that may be reasonably requested by the Company in connection with such forfeiture. All rights of the Participant with respect to any forfeited Units shall cease and terminate upon forfeiture of such Units, without any further obligation on the part of the Company.</w:t>
      </w:r>
    </w:p>
    <w:p>
      <w:pPr>
        <w:spacing w:after="0" w:line="152" w:lineRule="exact"/>
        <w:rPr>
          <w:rFonts w:ascii="Times New Roman" w:cs="Times New Roman" w:eastAsia="Times New Roman" w:hAnsi="Times New Roman"/>
          <w:sz w:val="21"/>
          <w:szCs w:val="21"/>
          <w:color w:val="auto"/>
        </w:rPr>
      </w:pPr>
    </w:p>
    <w:p>
      <w:pPr>
        <w:ind w:left="-7" w:right="200" w:firstLine="7"/>
        <w:spacing w:after="0" w:line="219" w:lineRule="auto"/>
        <w:tabs>
          <w:tab w:leader="none" w:pos="635" w:val="left"/>
        </w:tabs>
        <w:numPr>
          <w:ilvl w:val="0"/>
          <w:numId w:val="3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Continuous Service</w:t>
      </w:r>
      <w:r>
        <w:rPr>
          <w:rFonts w:ascii="Times New Roman" w:cs="Times New Roman" w:eastAsia="Times New Roman" w:hAnsi="Times New Roman"/>
          <w:sz w:val="21"/>
          <w:szCs w:val="21"/>
          <w:color w:val="auto"/>
        </w:rPr>
        <w:t>. Notwithstanding the Vesting Schedule, upon a termination of the Participant’s Continuous Service (a) by the Company or its successors without Cause or by the Participant for Good Reason, in each case, within the 24 months following a Change in Control, (b) due to the Participant’s Retirement or death, or (c) by the Company due to the Participant’s Disability or due to a general reduction in force or specific elimination of the Participant’s job (except if contemporaneously with such elimination the Participant’s suffers a termination for Cause), all Units (plus applicable Dividend Equivalent Rights) shall vest as of the date of such termination. Notwithstanding anything to the contrary in this Award Agreement, if the Participant is party to an employment or change in control agreement with the Company on the Date of Grant, the terms of such employment or change in control agreement shall apply to the Units to the extent the Participant has greater rights under such agreement than under this Award Agreement.</w:t>
      </w:r>
    </w:p>
    <w:p>
      <w:pPr>
        <w:spacing w:after="0" w:line="156" w:lineRule="exact"/>
        <w:rPr>
          <w:rFonts w:ascii="Times New Roman" w:cs="Times New Roman" w:eastAsia="Times New Roman" w:hAnsi="Times New Roman"/>
          <w:sz w:val="21"/>
          <w:szCs w:val="21"/>
          <w:color w:val="auto"/>
        </w:rPr>
      </w:pPr>
    </w:p>
    <w:p>
      <w:pPr>
        <w:ind w:left="633" w:hanging="633"/>
        <w:spacing w:after="0"/>
        <w:tabs>
          <w:tab w:leader="none" w:pos="633" w:val="left"/>
        </w:tabs>
        <w:numPr>
          <w:ilvl w:val="0"/>
          <w:numId w:val="3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color w:val="auto"/>
        </w:rPr>
      </w:pPr>
    </w:p>
    <w:p>
      <w:pPr>
        <w:ind w:left="1273" w:hanging="631"/>
        <w:spacing w:after="0"/>
        <w:tabs>
          <w:tab w:leader="none" w:pos="1273" w:val="left"/>
        </w:tabs>
        <w:numPr>
          <w:ilvl w:val="1"/>
          <w:numId w:val="3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For purposes of this Award Agreement, “</w:t>
      </w:r>
      <w:r>
        <w:rPr>
          <w:rFonts w:ascii="Times New Roman" w:cs="Times New Roman" w:eastAsia="Times New Roman" w:hAnsi="Times New Roman"/>
          <w:sz w:val="21"/>
          <w:szCs w:val="21"/>
          <w:b w:val="1"/>
          <w:bCs w:val="1"/>
          <w:color w:val="auto"/>
        </w:rPr>
        <w:t>Good Reason</w:t>
      </w:r>
      <w:r>
        <w:rPr>
          <w:rFonts w:ascii="Times New Roman" w:cs="Times New Roman" w:eastAsia="Times New Roman" w:hAnsi="Times New Roman"/>
          <w:sz w:val="21"/>
          <w:szCs w:val="21"/>
          <w:color w:val="auto"/>
        </w:rPr>
        <w:t>” means, following a Change in Control:</w:t>
      </w:r>
    </w:p>
    <w:p>
      <w:pPr>
        <w:spacing w:after="0" w:line="190" w:lineRule="exact"/>
        <w:rPr>
          <w:rFonts w:ascii="Times New Roman" w:cs="Times New Roman" w:eastAsia="Times New Roman" w:hAnsi="Times New Roman"/>
          <w:sz w:val="21"/>
          <w:szCs w:val="21"/>
          <w:color w:val="auto"/>
        </w:rPr>
      </w:pPr>
    </w:p>
    <w:p>
      <w:pPr>
        <w:jc w:val="both"/>
        <w:ind w:left="633" w:right="120" w:firstLine="651"/>
        <w:spacing w:after="0" w:line="234" w:lineRule="auto"/>
        <w:tabs>
          <w:tab w:leader="none" w:pos="1905" w:val="left"/>
        </w:tabs>
        <w:numPr>
          <w:ilvl w:val="2"/>
          <w:numId w:val="3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the Participant’s express written consent, the assignment to the Participant of any duties materially inconsistent with the Participant’s positions, duties, authority, responsibilities or status with the Company or its successors immediately prior to such Change in Control;</w:t>
      </w:r>
    </w:p>
    <w:p>
      <w:pPr>
        <w:spacing w:after="0" w:line="149" w:lineRule="exact"/>
        <w:rPr>
          <w:rFonts w:ascii="Times New Roman" w:cs="Times New Roman" w:eastAsia="Times New Roman" w:hAnsi="Times New Roman"/>
          <w:sz w:val="21"/>
          <w:szCs w:val="21"/>
          <w:color w:val="auto"/>
        </w:rPr>
      </w:pPr>
    </w:p>
    <w:p>
      <w:pPr>
        <w:ind w:left="633" w:firstLine="651"/>
        <w:spacing w:after="0" w:line="249" w:lineRule="auto"/>
        <w:tabs>
          <w:tab w:leader="none" w:pos="1911" w:val="left"/>
        </w:tabs>
        <w:numPr>
          <w:ilvl w:val="2"/>
          <w:numId w:val="3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demotion or a material change in the Participant’s titles or offices as in effect immediately prior to such Change in Control;</w:t>
      </w:r>
    </w:p>
    <w:p>
      <w:pPr>
        <w:spacing w:after="0" w:line="140" w:lineRule="exact"/>
        <w:rPr>
          <w:rFonts w:ascii="Times New Roman" w:cs="Times New Roman" w:eastAsia="Times New Roman" w:hAnsi="Times New Roman"/>
          <w:sz w:val="21"/>
          <w:szCs w:val="21"/>
          <w:color w:val="auto"/>
        </w:rPr>
      </w:pPr>
    </w:p>
    <w:p>
      <w:pPr>
        <w:jc w:val="both"/>
        <w:ind w:left="633" w:right="20" w:firstLine="651"/>
        <w:spacing w:after="0" w:line="234" w:lineRule="auto"/>
        <w:tabs>
          <w:tab w:leader="none" w:pos="1917" w:val="left"/>
        </w:tabs>
        <w:numPr>
          <w:ilvl w:val="2"/>
          <w:numId w:val="3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removal of the Participant from or any failure to re-elect the Participant to any of such positions; except in connection with the termination of the Participant’s Continuous Service for Cause, Disability or Retirement or as a result of Participant’s death or by the Participant other than for Good Reason;</w:t>
      </w:r>
    </w:p>
    <w:p>
      <w:pPr>
        <w:spacing w:after="0" w:line="149" w:lineRule="exact"/>
        <w:rPr>
          <w:rFonts w:ascii="Times New Roman" w:cs="Times New Roman" w:eastAsia="Times New Roman" w:hAnsi="Times New Roman"/>
          <w:sz w:val="21"/>
          <w:szCs w:val="21"/>
          <w:color w:val="auto"/>
        </w:rPr>
      </w:pPr>
    </w:p>
    <w:p>
      <w:pPr>
        <w:ind w:left="633" w:firstLine="651"/>
        <w:spacing w:after="0" w:line="225" w:lineRule="auto"/>
        <w:tabs>
          <w:tab w:leader="none" w:pos="1905" w:val="left"/>
        </w:tabs>
        <w:numPr>
          <w:ilvl w:val="2"/>
          <w:numId w:val="3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the Participant’s express written consent, a material reduction by the Company or its successors in the Participant’s base salary as in effect on the date of such Change in Control or, if greater, such greater base salary as may be in effect from time to time subsequent to such Change in Control, provided, in each case, that a reduction by the Company or its successors in the Participant’s base salary of 10% or more shall be sufficient but not necessary to constitute a material reduction by the Company or its successors in the Participant’s base salary;</w:t>
      </w:r>
    </w:p>
    <w:p>
      <w:pPr>
        <w:spacing w:after="0" w:line="151" w:lineRule="exact"/>
        <w:rPr>
          <w:rFonts w:ascii="Times New Roman" w:cs="Times New Roman" w:eastAsia="Times New Roman" w:hAnsi="Times New Roman"/>
          <w:sz w:val="21"/>
          <w:szCs w:val="21"/>
          <w:color w:val="auto"/>
        </w:rPr>
      </w:pPr>
    </w:p>
    <w:p>
      <w:pPr>
        <w:ind w:left="633" w:right="20" w:firstLine="651"/>
        <w:spacing w:after="0" w:line="234" w:lineRule="auto"/>
        <w:tabs>
          <w:tab w:leader="none" w:pos="1912" w:val="left"/>
        </w:tabs>
        <w:numPr>
          <w:ilvl w:val="2"/>
          <w:numId w:val="3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failure by the Company or its successors to continue at levels materially not less than those in existence immediately prior to such Change in Control the Participant’s participation in any thrift, incentive or compensation plan,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13"/>
          </w:cols>
          <w:pgMar w:left="327" w:top="1382" w:right="359" w:bottom="1440" w:gutter="0" w:footer="0" w:header="0"/>
        </w:sectPr>
      </w:pPr>
    </w:p>
    <w:bookmarkStart w:id="501" w:name="page502"/>
    <w:bookmarkEnd w:id="501"/>
    <w:p>
      <w:pPr>
        <w:ind w:left="640" w:right="660"/>
        <w:spacing w:after="0" w:line="234" w:lineRule="auto"/>
        <w:rPr>
          <w:sz w:val="20"/>
          <w:szCs w:val="20"/>
          <w:color w:val="auto"/>
        </w:rPr>
      </w:pPr>
      <w:r>
        <w:rPr>
          <w:rFonts w:ascii="Times New Roman" w:cs="Times New Roman" w:eastAsia="Times New Roman" w:hAnsi="Times New Roman"/>
          <w:sz w:val="21"/>
          <w:szCs w:val="21"/>
          <w:color w:val="auto"/>
        </w:rPr>
        <w:t>pension plan, in which the Participant participated immediately prior to such Change in Control, provided that the Company or its successors may provide for participation in substantially similar plans that provide benefits at levels materially not less than those in existence immediately prior to such Change in Control;</w:t>
      </w:r>
    </w:p>
    <w:p>
      <w:pPr>
        <w:spacing w:after="0" w:line="150" w:lineRule="exact"/>
        <w:rPr>
          <w:sz w:val="20"/>
          <w:szCs w:val="20"/>
          <w:color w:val="auto"/>
        </w:rPr>
      </w:pPr>
    </w:p>
    <w:p>
      <w:pPr>
        <w:ind w:left="640" w:right="60" w:firstLine="651"/>
        <w:spacing w:after="0" w:line="234" w:lineRule="auto"/>
        <w:tabs>
          <w:tab w:leader="none" w:pos="1912" w:val="left"/>
        </w:tabs>
        <w:numPr>
          <w:ilvl w:val="0"/>
          <w:numId w:val="3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failure by the Company or its successors to provide for the Participant’s participation in any welfare, life insurance, health and accident or disability plan on the same basis as those provided to executives of the Company or its successors who are similarly situated to the Participant;</w:t>
      </w:r>
    </w:p>
    <w:p>
      <w:pPr>
        <w:spacing w:after="0" w:line="149" w:lineRule="exact"/>
        <w:rPr>
          <w:rFonts w:ascii="Times New Roman" w:cs="Times New Roman" w:eastAsia="Times New Roman" w:hAnsi="Times New Roman"/>
          <w:sz w:val="21"/>
          <w:szCs w:val="21"/>
          <w:color w:val="auto"/>
        </w:rPr>
      </w:pPr>
    </w:p>
    <w:p>
      <w:pPr>
        <w:ind w:left="640" w:right="100" w:firstLine="651"/>
        <w:spacing w:after="0" w:line="221" w:lineRule="auto"/>
        <w:tabs>
          <w:tab w:leader="none" w:pos="1918" w:val="left"/>
        </w:tabs>
        <w:numPr>
          <w:ilvl w:val="0"/>
          <w:numId w:val="3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taking of any action by the Company or its successors which would materially adversely affect the Participant’s participation in or materially reduce the Participant’s benefits under any single such plan or all such plans, when taken together, or deprive the Participant of any material fringe benefit enjoyed by the Participant at the time of such Change in Control (except for the acceleration of the vesting of the Units, as contemplated by this Award Agreement), provided that the taking of any action by the Company or its successors that reduces the economic value attributable to such participation, benefits or fringe benefit by 10% or more shall be sufficient but not necessary to constitute a materially adverse effect, material reduction or deprivation, as applicable;</w:t>
      </w:r>
    </w:p>
    <w:p>
      <w:pPr>
        <w:spacing w:after="0" w:line="155" w:lineRule="exact"/>
        <w:rPr>
          <w:rFonts w:ascii="Times New Roman" w:cs="Times New Roman" w:eastAsia="Times New Roman" w:hAnsi="Times New Roman"/>
          <w:sz w:val="21"/>
          <w:szCs w:val="21"/>
          <w:color w:val="auto"/>
        </w:rPr>
      </w:pPr>
    </w:p>
    <w:p>
      <w:pPr>
        <w:ind w:left="640" w:firstLine="651"/>
        <w:spacing w:after="0" w:line="234" w:lineRule="auto"/>
        <w:tabs>
          <w:tab w:leader="none" w:pos="1924" w:val="left"/>
        </w:tabs>
        <w:numPr>
          <w:ilvl w:val="0"/>
          <w:numId w:val="3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assignment to the Participant without the Participant’s consent to a new work location which would require an increase in the round-trip commute to work from the Participant’s residence immediately prior to such Change in Control of more than 40 miles per day; or</w:t>
      </w:r>
    </w:p>
    <w:p>
      <w:pPr>
        <w:spacing w:after="0" w:line="149" w:lineRule="exact"/>
        <w:rPr>
          <w:rFonts w:ascii="Times New Roman" w:cs="Times New Roman" w:eastAsia="Times New Roman" w:hAnsi="Times New Roman"/>
          <w:sz w:val="21"/>
          <w:szCs w:val="21"/>
          <w:color w:val="auto"/>
        </w:rPr>
      </w:pPr>
    </w:p>
    <w:p>
      <w:pPr>
        <w:ind w:left="1920" w:hanging="629"/>
        <w:spacing w:after="0"/>
        <w:tabs>
          <w:tab w:leader="none" w:pos="1920" w:val="left"/>
        </w:tabs>
        <w:numPr>
          <w:ilvl w:val="0"/>
          <w:numId w:val="3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material breach of any material provision of this Award Agreement.</w:t>
      </w:r>
    </w:p>
    <w:p>
      <w:pPr>
        <w:spacing w:after="0" w:line="213" w:lineRule="exact"/>
        <w:rPr>
          <w:sz w:val="20"/>
          <w:szCs w:val="20"/>
          <w:color w:val="auto"/>
        </w:rPr>
      </w:pPr>
    </w:p>
    <w:p>
      <w:pPr>
        <w:ind w:right="140" w:firstLine="642"/>
        <w:spacing w:after="0" w:line="258" w:lineRule="auto"/>
        <w:rPr>
          <w:sz w:val="20"/>
          <w:szCs w:val="20"/>
          <w:color w:val="auto"/>
        </w:rPr>
      </w:pPr>
      <w:r>
        <w:rPr>
          <w:rFonts w:ascii="Times New Roman" w:cs="Times New Roman" w:eastAsia="Times New Roman" w:hAnsi="Times New Roman"/>
          <w:sz w:val="21"/>
          <w:szCs w:val="21"/>
          <w:color w:val="auto"/>
        </w:rPr>
        <w:t>Notwithstanding the foregoing, the Participant shall not be entitled to terminate the Participant’s Continuous Service with the Company or its successors for Good Reason unless the following process is followed with respect to such termination. Within 90 days following the initial occurrence of an event that purportedly constitutes Good Reason, the Participant shall give the Company or its successors written notice of the occurrence of such event, setting forth the exact nature of such event and the conduct required to cure such event. The Company or its successors shall have 30 days from the receipt of such notice within which to cure such event (such period, the “</w:t>
      </w:r>
      <w:r>
        <w:rPr>
          <w:rFonts w:ascii="Times New Roman" w:cs="Times New Roman" w:eastAsia="Times New Roman" w:hAnsi="Times New Roman"/>
          <w:sz w:val="21"/>
          <w:szCs w:val="21"/>
          <w:b w:val="1"/>
          <w:bCs w:val="1"/>
          <w:color w:val="auto"/>
        </w:rPr>
        <w:t>Cure Period</w:t>
      </w:r>
      <w:r>
        <w:rPr>
          <w:rFonts w:ascii="Times New Roman" w:cs="Times New Roman" w:eastAsia="Times New Roman" w:hAnsi="Times New Roman"/>
          <w:sz w:val="21"/>
          <w:szCs w:val="21"/>
          <w:color w:val="auto"/>
        </w:rPr>
        <w:t>”). If, during the Cure Period, such event is cured, then the Participant shall not be permitted to terminate the Participant’s Continuous Service with the Company or its successors for Good Reason as a result of such event. If, at the end of the Cure Period, such event is not cured, the Participant shall be entitled to terminate the Participant’s Continuous Service with the Company or its successors for Good Reason as a result of such event during the 60 day period following the end of the Cure Period. If the Participant does not terminate the Participant’s Continuous Service with the Company or its successors for Good Reason during such 60 day period, the Participant shall not be permitted to terminate the Participant’s Continuous Service with the Company or its successors for Good Reason as a result of such event.</w:t>
      </w:r>
    </w:p>
    <w:p>
      <w:pPr>
        <w:spacing w:after="0" w:line="144" w:lineRule="exact"/>
        <w:rPr>
          <w:sz w:val="20"/>
          <w:szCs w:val="20"/>
          <w:color w:val="auto"/>
        </w:rPr>
      </w:pPr>
    </w:p>
    <w:p>
      <w:pPr>
        <w:ind w:right="800" w:firstLine="649"/>
        <w:spacing w:after="0" w:line="235" w:lineRule="auto"/>
        <w:tabs>
          <w:tab w:leader="none" w:pos="1279" w:val="left"/>
        </w:tabs>
        <w:numPr>
          <w:ilvl w:val="0"/>
          <w:numId w:val="3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Retirement</w:t>
      </w:r>
      <w:r>
        <w:rPr>
          <w:rFonts w:ascii="Times New Roman" w:cs="Times New Roman" w:eastAsia="Times New Roman" w:hAnsi="Times New Roman"/>
          <w:sz w:val="21"/>
          <w:szCs w:val="21"/>
          <w:color w:val="auto"/>
        </w:rPr>
        <w:t>. For purpose of this Award Agreement, “</w:t>
      </w:r>
      <w:r>
        <w:rPr>
          <w:rFonts w:ascii="Times New Roman" w:cs="Times New Roman" w:eastAsia="Times New Roman" w:hAnsi="Times New Roman"/>
          <w:sz w:val="21"/>
          <w:szCs w:val="21"/>
          <w:b w:val="1"/>
          <w:bCs w:val="1"/>
          <w:color w:val="auto"/>
        </w:rPr>
        <w:t>Retirement</w:t>
      </w:r>
      <w:r>
        <w:rPr>
          <w:rFonts w:ascii="Times New Roman" w:cs="Times New Roman" w:eastAsia="Times New Roman" w:hAnsi="Times New Roman"/>
          <w:sz w:val="21"/>
          <w:szCs w:val="21"/>
          <w:color w:val="auto"/>
        </w:rPr>
        <w:t>” means, unless otherwise defined in the Participant’s written employment arrangements with the Company or any Related Entity in effect on the Date of Grant (as amended from time to time thereafter),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82" w:right="339" w:bottom="1440" w:gutter="0" w:footer="0" w:header="0"/>
        </w:sectPr>
      </w:pPr>
    </w:p>
    <w:bookmarkStart w:id="502" w:name="page503"/>
    <w:bookmarkEnd w:id="502"/>
    <w:p>
      <w:pPr>
        <w:ind w:right="120"/>
        <w:spacing w:after="0" w:line="249" w:lineRule="auto"/>
        <w:rPr>
          <w:sz w:val="20"/>
          <w:szCs w:val="20"/>
          <w:color w:val="auto"/>
        </w:rPr>
      </w:pPr>
      <w:r>
        <w:rPr>
          <w:rFonts w:ascii="Times New Roman" w:cs="Times New Roman" w:eastAsia="Times New Roman" w:hAnsi="Times New Roman"/>
          <w:sz w:val="21"/>
          <w:szCs w:val="21"/>
          <w:color w:val="auto"/>
        </w:rPr>
        <w:t>unless otherwise determined by the Committee, termination of the Participant’s Continuous Service after both (i) at least 10 years of employment and (ii) attaining at least 55 years of age.</w:t>
      </w:r>
    </w:p>
    <w:p>
      <w:pPr>
        <w:spacing w:after="0" w:line="141" w:lineRule="exact"/>
        <w:rPr>
          <w:sz w:val="20"/>
          <w:szCs w:val="20"/>
          <w:color w:val="auto"/>
        </w:rPr>
      </w:pPr>
    </w:p>
    <w:p>
      <w:pPr>
        <w:ind w:firstLine="7"/>
        <w:spacing w:after="0" w:line="221" w:lineRule="auto"/>
        <w:tabs>
          <w:tab w:leader="none" w:pos="642" w:val="left"/>
        </w:tabs>
        <w:numPr>
          <w:ilvl w:val="0"/>
          <w:numId w:val="3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Dividend Equivalent Rights</w:t>
      </w:r>
      <w:r>
        <w:rPr>
          <w:rFonts w:ascii="Times New Roman" w:cs="Times New Roman" w:eastAsia="Times New Roman" w:hAnsi="Times New Roman"/>
          <w:sz w:val="21"/>
          <w:szCs w:val="21"/>
          <w:color w:val="auto"/>
        </w:rPr>
        <w:t xml:space="preserve">. From the Date of Grant and until the Units are settled pursuant to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the Participant’s account will be credited with Dividend Equivalent Rights (without interest and earnings) at the same time, in the same form, and in equivalent amounts as dividends that are payable from time to time on Shares. Any such Dividend Equivalent Rights shall be valued as of the date on which they are credited to the Participant and, unless determined otherwise by the Company, reallocated to additional Units. Such additional Units may also earn Dividend Equivalent Rights and shall vest in accordance with the Vesting Schedule as if such Units had been issued on the Date of Grant. Dividend Equivalent Rights shall be subject to the same vesting and forfeiture restrictions as the Units to which they are attributable.</w:t>
      </w:r>
    </w:p>
    <w:p>
      <w:pPr>
        <w:spacing w:after="0" w:line="155" w:lineRule="exact"/>
        <w:rPr>
          <w:rFonts w:ascii="Times New Roman" w:cs="Times New Roman" w:eastAsia="Times New Roman" w:hAnsi="Times New Roman"/>
          <w:sz w:val="21"/>
          <w:szCs w:val="21"/>
          <w:color w:val="auto"/>
        </w:rPr>
      </w:pPr>
    </w:p>
    <w:p>
      <w:pPr>
        <w:ind w:firstLine="7"/>
        <w:spacing w:after="0" w:line="219" w:lineRule="auto"/>
        <w:tabs>
          <w:tab w:leader="none" w:pos="642" w:val="left"/>
        </w:tabs>
        <w:numPr>
          <w:ilvl w:val="0"/>
          <w:numId w:val="3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Settlement of Units</w:t>
      </w:r>
      <w:r>
        <w:rPr>
          <w:rFonts w:ascii="Times New Roman" w:cs="Times New Roman" w:eastAsia="Times New Roman" w:hAnsi="Times New Roman"/>
          <w:sz w:val="21"/>
          <w:szCs w:val="21"/>
          <w:color w:val="auto"/>
        </w:rPr>
        <w:t xml:space="preserve">. If the Units vest, as soon as administratively possible, as determined solely by the Company, following the applicable Vesting Date (which, for clarity, would be the earlier of the date of termination described in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or the applicable Vesting Date), but in no event later than 60 days following such Vesting Date, the Participant shall receive a number of Shares equal to the number of Units that vest on the applicable Vesting Date (including any vested Units attributable to Dividend Equivalent Rights), and a cash payment in respect of any Dividend Equivalent Rights paid in cash, in each case, subject to the withholding requirements set forth in the Plan and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below. Any inconsistency between this Award Agreement and the Plan shall be resolved in favor of the Plan. Upon a distribution of Shares as provided herein, the Company shall cause the Shares then being distributed to be registered in the Participant’s name. From and after the date of receipt of such distribution, the Participant or the Participant’s legal representatives, beneficiaries or heirs, as the case may be, shall have full rights of transfer or resale with respect to such Shares subject to applicable Company policies and state and federal regulations.</w:t>
      </w:r>
    </w:p>
    <w:p>
      <w:pPr>
        <w:spacing w:after="0" w:line="150" w:lineRule="exact"/>
        <w:rPr>
          <w:rFonts w:ascii="Times New Roman" w:cs="Times New Roman" w:eastAsia="Times New Roman" w:hAnsi="Times New Roman"/>
          <w:sz w:val="21"/>
          <w:szCs w:val="21"/>
          <w:color w:val="auto"/>
        </w:rPr>
      </w:pPr>
    </w:p>
    <w:p>
      <w:pPr>
        <w:jc w:val="both"/>
        <w:ind w:right="800" w:firstLine="7"/>
        <w:spacing w:after="0" w:line="234" w:lineRule="auto"/>
        <w:tabs>
          <w:tab w:leader="none" w:pos="642" w:val="left"/>
        </w:tabs>
        <w:numPr>
          <w:ilvl w:val="0"/>
          <w:numId w:val="3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Administration</w:t>
      </w:r>
      <w:r>
        <w:rPr>
          <w:rFonts w:ascii="Times New Roman" w:cs="Times New Roman" w:eastAsia="Times New Roman" w:hAnsi="Times New Roman"/>
          <w:sz w:val="21"/>
          <w:szCs w:val="21"/>
          <w:color w:val="auto"/>
        </w:rPr>
        <w:t>. This Award Agreement and the rights of the Participant hereunder are subject to all the terms and conditions of the Plan and, to the extent applicable, the terms of any employment or change in control agreement with the Company in effect on the Date of Grant.</w:t>
      </w:r>
    </w:p>
    <w:p>
      <w:pPr>
        <w:spacing w:after="0" w:line="149" w:lineRule="exact"/>
        <w:rPr>
          <w:rFonts w:ascii="Times New Roman" w:cs="Times New Roman" w:eastAsia="Times New Roman" w:hAnsi="Times New Roman"/>
          <w:sz w:val="21"/>
          <w:szCs w:val="21"/>
          <w:color w:val="auto"/>
        </w:rPr>
      </w:pPr>
    </w:p>
    <w:p>
      <w:pPr>
        <w:ind w:right="60" w:firstLine="7"/>
        <w:spacing w:after="0" w:line="215" w:lineRule="auto"/>
        <w:tabs>
          <w:tab w:leader="none" w:pos="642" w:val="left"/>
        </w:tabs>
        <w:numPr>
          <w:ilvl w:val="0"/>
          <w:numId w:val="3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Liability and Withholding</w:t>
      </w:r>
      <w:r>
        <w:rPr>
          <w:rFonts w:ascii="Times New Roman" w:cs="Times New Roman" w:eastAsia="Times New Roman" w:hAnsi="Times New Roman"/>
          <w:sz w:val="21"/>
          <w:szCs w:val="21"/>
          <w:color w:val="auto"/>
        </w:rPr>
        <w:t>. The Participant shall be required to pay to the Company, and the Company shall have the right to deduct from any compensation paid to the Participant pursuant to the Plan, the amount of any required withholding taxes in respect of the Units and any Dividend Equivalent Rights, and to take all such other action as the Committee deems necessary to satisfy all obligations for the payment of such withholding taxes. Unless otherwise approved by the Committee, the Participant shall satisfy any federal, state or local tax withholding obligation by authorizing the Company to withhold Shares from the Shares otherwise issuable or deliverable to the Participant as a result of the vesting of the Units; provided, however, that no Shares shall be withheld with a value exceeding the maximum rate of withholding in the applicable jurisdiction. Notwithstanding any action the Company takes with respect to any or all income tax, social insurance, payroll tax, or other tax-related withholding (“</w:t>
      </w:r>
      <w:r>
        <w:rPr>
          <w:rFonts w:ascii="Times New Roman" w:cs="Times New Roman" w:eastAsia="Times New Roman" w:hAnsi="Times New Roman"/>
          <w:sz w:val="21"/>
          <w:szCs w:val="21"/>
          <w:b w:val="1"/>
          <w:bCs w:val="1"/>
          <w:color w:val="auto"/>
        </w:rPr>
        <w:t>Tax-Related Items</w:t>
      </w:r>
      <w:r>
        <w:rPr>
          <w:rFonts w:ascii="Times New Roman" w:cs="Times New Roman" w:eastAsia="Times New Roman" w:hAnsi="Times New Roman"/>
          <w:sz w:val="21"/>
          <w:szCs w:val="21"/>
          <w:color w:val="auto"/>
        </w:rPr>
        <w:t>”), the ultimate liability for all Tax-Related Items is and remains the Participant’s responsibility and the Company</w:t>
      </w:r>
    </w:p>
    <w:p>
      <w:pPr>
        <w:spacing w:after="0" w:line="2" w:lineRule="exact"/>
        <w:rPr>
          <w:rFonts w:ascii="Times New Roman" w:cs="Times New Roman" w:eastAsia="Times New Roman" w:hAnsi="Times New Roman"/>
          <w:sz w:val="21"/>
          <w:szCs w:val="21"/>
          <w:color w:val="auto"/>
        </w:rPr>
      </w:pPr>
    </w:p>
    <w:p>
      <w:pPr>
        <w:spacing w:after="0" w:line="22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makes no representation or undertakings regarding the treatment of any Tax-Related Items in connection with the grant, vesting or settlement of the Units or the subsequent sale of any Shares; and (b) does not commit to structure the Units to reduce or eliminate the Participant’s liability for Tax-Related Items.</w:t>
      </w:r>
    </w:p>
    <w:p>
      <w:pPr>
        <w:spacing w:after="0" w:line="149" w:lineRule="exact"/>
        <w:rPr>
          <w:rFonts w:ascii="Times New Roman" w:cs="Times New Roman" w:eastAsia="Times New Roman" w:hAnsi="Times New Roman"/>
          <w:sz w:val="21"/>
          <w:szCs w:val="21"/>
          <w:color w:val="auto"/>
        </w:rPr>
      </w:pPr>
    </w:p>
    <w:p>
      <w:pPr>
        <w:ind w:right="240" w:firstLine="7"/>
        <w:spacing w:after="0" w:line="228" w:lineRule="auto"/>
        <w:tabs>
          <w:tab w:leader="none" w:pos="642" w:val="left"/>
        </w:tabs>
        <w:numPr>
          <w:ilvl w:val="0"/>
          <w:numId w:val="3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This Award Agreement is intended to comply with Section 409A or an exemption thereunder and shall be construed and interpreted in a manner that is consistent with the requirements for avoiding additional taxes or penalties under Section 409A. Notwithstanding the foregoing, the Company makes no representations that the payments and benefits provided under this Award Agreement comply with Section 409A and in no event shall the Company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20"/>
          </w:cols>
          <w:pgMar w:left="320" w:top="1383" w:right="359" w:bottom="1440" w:gutter="0" w:footer="0" w:header="0"/>
        </w:sectPr>
      </w:pPr>
    </w:p>
    <w:bookmarkStart w:id="503" w:name="page504"/>
    <w:bookmarkEnd w:id="503"/>
    <w:p>
      <w:pPr>
        <w:ind w:right="40"/>
        <w:spacing w:after="0" w:line="223" w:lineRule="auto"/>
        <w:rPr>
          <w:sz w:val="20"/>
          <w:szCs w:val="20"/>
          <w:color w:val="auto"/>
        </w:rPr>
      </w:pPr>
      <w:r>
        <w:rPr>
          <w:rFonts w:ascii="Times New Roman" w:cs="Times New Roman" w:eastAsia="Times New Roman" w:hAnsi="Times New Roman"/>
          <w:sz w:val="21"/>
          <w:szCs w:val="21"/>
          <w:color w:val="auto"/>
        </w:rPr>
        <w:t>liable for all or any portion of any taxes, penalties, interest or other expenses that may be incurred by the Participant on account of non-compliance with Section 409A. Notwithstanding anything to the contrary herein, if the Participant is a “specified employee” as defined in Section 409A, in the case of a distribution of Shares due to any termination, other than due to death, to the extent required to avoid incurring taxes under Section 409A, the distribution of Shares (and any Dividend Equivalent Rights) in respect of the vested Units shall not occur until the date which is six months following the Termination Date (or, if earlier, upon the death of the Participant).</w:t>
      </w:r>
    </w:p>
    <w:p>
      <w:pPr>
        <w:spacing w:after="0" w:line="152" w:lineRule="exact"/>
        <w:rPr>
          <w:sz w:val="20"/>
          <w:szCs w:val="20"/>
          <w:color w:val="auto"/>
        </w:rPr>
      </w:pPr>
    </w:p>
    <w:p>
      <w:pPr>
        <w:ind w:left="640" w:hanging="633"/>
        <w:spacing w:after="0"/>
        <w:tabs>
          <w:tab w:leader="none" w:pos="640" w:val="left"/>
        </w:tabs>
        <w:numPr>
          <w:ilvl w:val="0"/>
          <w:numId w:val="4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Miscellaneous</w:t>
      </w:r>
      <w:r>
        <w:rPr>
          <w:rFonts w:ascii="Times New Roman" w:cs="Times New Roman" w:eastAsia="Times New Roman" w:hAnsi="Times New Roman"/>
          <w:sz w:val="21"/>
          <w:szCs w:val="21"/>
          <w:color w:val="auto"/>
        </w:rPr>
        <w:t>.</w:t>
      </w:r>
    </w:p>
    <w:p>
      <w:pPr>
        <w:spacing w:after="0" w:line="186" w:lineRule="exact"/>
        <w:rPr>
          <w:rFonts w:ascii="Times New Roman" w:cs="Times New Roman" w:eastAsia="Times New Roman" w:hAnsi="Times New Roman"/>
          <w:sz w:val="21"/>
          <w:szCs w:val="21"/>
          <w:color w:val="auto"/>
        </w:rPr>
      </w:pPr>
    </w:p>
    <w:p>
      <w:pPr>
        <w:ind w:right="260" w:firstLine="649"/>
        <w:spacing w:after="0" w:line="234" w:lineRule="auto"/>
        <w:tabs>
          <w:tab w:leader="none" w:pos="1281" w:val="left"/>
        </w:tabs>
        <w:numPr>
          <w:ilvl w:val="1"/>
          <w:numId w:val="4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Nothing in this Award Agreement or the Plan shall interfere with or limit in any way the right of the Company to terminate the Participant’s Continuous Service, nor confer upon the Participant any right to continued employment with the Company or continued service as a Board member.</w:t>
      </w:r>
    </w:p>
    <w:p>
      <w:pPr>
        <w:spacing w:after="0" w:line="149" w:lineRule="exact"/>
        <w:rPr>
          <w:rFonts w:ascii="Times New Roman" w:cs="Times New Roman" w:eastAsia="Times New Roman" w:hAnsi="Times New Roman"/>
          <w:sz w:val="21"/>
          <w:szCs w:val="21"/>
          <w:color w:val="auto"/>
        </w:rPr>
      </w:pPr>
    </w:p>
    <w:p>
      <w:pPr>
        <w:ind w:right="320" w:firstLine="649"/>
        <w:spacing w:after="0" w:line="234" w:lineRule="auto"/>
        <w:tabs>
          <w:tab w:leader="none" w:pos="1279" w:val="left"/>
        </w:tabs>
        <w:numPr>
          <w:ilvl w:val="1"/>
          <w:numId w:val="4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the approval of the Board in its sole discretion, the Committee may terminate, amend, or modify the Plan;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no such termination, amendment, or modification of the Plan may in any way adversely affect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Participant’s rights under this Award Agreement without the Participant’s written consent.</w:t>
      </w:r>
    </w:p>
    <w:p>
      <w:pPr>
        <w:spacing w:after="0" w:line="149" w:lineRule="exact"/>
        <w:rPr>
          <w:rFonts w:ascii="Times New Roman" w:cs="Times New Roman" w:eastAsia="Times New Roman" w:hAnsi="Times New Roman"/>
          <w:sz w:val="21"/>
          <w:szCs w:val="21"/>
          <w:color w:val="auto"/>
        </w:rPr>
      </w:pPr>
    </w:p>
    <w:p>
      <w:pPr>
        <w:ind w:right="580" w:firstLine="649"/>
        <w:spacing w:after="0" w:line="249" w:lineRule="auto"/>
        <w:tabs>
          <w:tab w:leader="none" w:pos="1281" w:val="left"/>
        </w:tabs>
        <w:numPr>
          <w:ilvl w:val="1"/>
          <w:numId w:val="4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 shall not have voting rights with respect to the Units until the Units are settled and have been distributed as Shares.</w:t>
      </w:r>
    </w:p>
    <w:p>
      <w:pPr>
        <w:spacing w:after="0" w:line="140" w:lineRule="exact"/>
        <w:rPr>
          <w:rFonts w:ascii="Times New Roman" w:cs="Times New Roman" w:eastAsia="Times New Roman" w:hAnsi="Times New Roman"/>
          <w:sz w:val="21"/>
          <w:szCs w:val="21"/>
          <w:color w:val="auto"/>
        </w:rPr>
      </w:pPr>
    </w:p>
    <w:p>
      <w:pPr>
        <w:ind w:firstLine="649"/>
        <w:spacing w:after="0" w:line="249" w:lineRule="auto"/>
        <w:tabs>
          <w:tab w:leader="none" w:pos="1279" w:val="left"/>
        </w:tabs>
        <w:numPr>
          <w:ilvl w:val="1"/>
          <w:numId w:val="4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Award Agreement shall be subject to all Applicable Laws, rules, and regulations, and to such approvals by any governmental agencies or national securities exchanges as may be required.</w:t>
      </w:r>
    </w:p>
    <w:p>
      <w:pPr>
        <w:spacing w:after="0" w:line="140" w:lineRule="exact"/>
        <w:rPr>
          <w:rFonts w:ascii="Times New Roman" w:cs="Times New Roman" w:eastAsia="Times New Roman" w:hAnsi="Times New Roman"/>
          <w:sz w:val="21"/>
          <w:szCs w:val="21"/>
          <w:color w:val="auto"/>
        </w:rPr>
      </w:pPr>
    </w:p>
    <w:p>
      <w:pPr>
        <w:ind w:right="20" w:firstLine="649"/>
        <w:spacing w:after="0" w:line="234" w:lineRule="auto"/>
        <w:tabs>
          <w:tab w:leader="none" w:pos="1281" w:val="left"/>
        </w:tabs>
        <w:numPr>
          <w:ilvl w:val="1"/>
          <w:numId w:val="4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Award Agreement shall be governed by the corporate laws of the State of Nevada, without giving effect to any conflict of law provisions that might otherwise refer construction or interpretation of this Award Agreement or the Plan to the substantive law of another jurisdiction.</w:t>
      </w:r>
    </w:p>
    <w:p>
      <w:pPr>
        <w:spacing w:after="0" w:line="149" w:lineRule="exact"/>
        <w:rPr>
          <w:rFonts w:ascii="Times New Roman" w:cs="Times New Roman" w:eastAsia="Times New Roman" w:hAnsi="Times New Roman"/>
          <w:sz w:val="21"/>
          <w:szCs w:val="21"/>
          <w:color w:val="auto"/>
        </w:rPr>
      </w:pPr>
    </w:p>
    <w:p>
      <w:pPr>
        <w:ind w:right="540" w:firstLine="649"/>
        <w:spacing w:after="0" w:line="234" w:lineRule="auto"/>
        <w:tabs>
          <w:tab w:leader="none" w:pos="1284" w:val="left"/>
        </w:tabs>
        <w:numPr>
          <w:ilvl w:val="1"/>
          <w:numId w:val="4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dispute regarding the interpretation of this Award Agreement shall be submitted by the Participant or the Company to the Committee for review. The resolution of such dispute by the Committee shall be final and binding on the Participant and the Company.</w:t>
      </w:r>
    </w:p>
    <w:p>
      <w:pPr>
        <w:spacing w:after="0" w:line="149" w:lineRule="exact"/>
        <w:rPr>
          <w:rFonts w:ascii="Times New Roman" w:cs="Times New Roman" w:eastAsia="Times New Roman" w:hAnsi="Times New Roman"/>
          <w:sz w:val="21"/>
          <w:szCs w:val="21"/>
          <w:color w:val="auto"/>
        </w:rPr>
      </w:pPr>
    </w:p>
    <w:p>
      <w:pPr>
        <w:ind w:firstLine="649"/>
        <w:spacing w:after="0" w:line="249" w:lineRule="auto"/>
        <w:tabs>
          <w:tab w:leader="none" w:pos="1279" w:val="left"/>
        </w:tabs>
        <w:numPr>
          <w:ilvl w:val="1"/>
          <w:numId w:val="4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value of the Participant’s Units is not part of the Participant’s normal or expected compensation for purposes of calculating any severance, retirement, welfare, insurance or similar employee benefit.</w:t>
      </w:r>
    </w:p>
    <w:p>
      <w:pPr>
        <w:spacing w:after="0" w:line="140" w:lineRule="exact"/>
        <w:rPr>
          <w:rFonts w:ascii="Times New Roman" w:cs="Times New Roman" w:eastAsia="Times New Roman" w:hAnsi="Times New Roman"/>
          <w:sz w:val="21"/>
          <w:szCs w:val="21"/>
          <w:color w:val="auto"/>
        </w:rPr>
      </w:pPr>
    </w:p>
    <w:p>
      <w:pPr>
        <w:ind w:right="280" w:firstLine="649"/>
        <w:spacing w:after="0" w:line="249" w:lineRule="auto"/>
        <w:tabs>
          <w:tab w:leader="none" w:pos="1279" w:val="left"/>
        </w:tabs>
        <w:numPr>
          <w:ilvl w:val="1"/>
          <w:numId w:val="4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understands that the Units and the Shares settled therefrom, as well as any Units that were previously awarded, are subject to the Company’s clawback policy as effective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00"/>
          </w:cols>
          <w:pgMar w:left="320" w:top="1382" w:right="379" w:bottom="1440" w:gutter="0" w:footer="0" w:header="0"/>
        </w:sectPr>
      </w:pPr>
    </w:p>
    <w:bookmarkStart w:id="504" w:name="page505"/>
    <w:bookmarkEnd w:id="504"/>
    <w:p>
      <w:pPr>
        <w:jc w:val="both"/>
        <w:ind w:firstLine="642"/>
        <w:spacing w:after="0" w:line="261" w:lineRule="auto"/>
        <w:rPr>
          <w:sz w:val="20"/>
          <w:szCs w:val="20"/>
          <w:color w:val="auto"/>
        </w:rPr>
      </w:pPr>
      <w:r>
        <w:rPr>
          <w:rFonts w:ascii="Times New Roman" w:cs="Times New Roman" w:eastAsia="Times New Roman" w:hAnsi="Times New Roman"/>
          <w:sz w:val="21"/>
          <w:szCs w:val="21"/>
          <w:b w:val="1"/>
          <w:bCs w:val="1"/>
          <w:color w:val="auto"/>
        </w:rPr>
        <w:t>The Participant acknowledges that this Award Agreement and the Plan set forth the entire understanding between the Participant and the Company regarding the acquisition of the Units granted pursuant to this Award Agreement. The Participant has reviewed and fully understands all provisions of this Award Agreement and the Plan in their entirety. The Participant acknowledges that Units awarded hereunder may not be sold, transferred, pledged, assigned, or otherwise alienated until the Units are vested and the Units are settled in the form of Shares. The Participant acknowledges that there may be adverse tax consequences upon the vesting or settlement of the Units or disposition of the underlying shares and that the Participant has been advised to consult a tax advisor prior to such vesting, settlement or disposition.</w:t>
      </w:r>
    </w:p>
    <w:p>
      <w:pPr>
        <w:spacing w:after="0" w:line="386"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1"/>
          <w:szCs w:val="21"/>
          <w:color w:val="auto"/>
        </w:rPr>
        <w:t>SOUTHWEST GAS HOLDINGS, INC.</w:t>
      </w:r>
    </w:p>
    <w:p>
      <w:pPr>
        <w:spacing w:after="0" w:line="240"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2680335</wp:posOffset>
            </wp:positionH>
            <wp:positionV relativeFrom="paragraph">
              <wp:posOffset>-7620</wp:posOffset>
            </wp:positionV>
            <wp:extent cx="13589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91">
                      <a:extLst>
                        <a:ext uri="{28A0092B-C50C-407E-A947-70E740481C1C}"/>
                      </a:extLst>
                    </a:blip>
                    <a:srcRect/>
                    <a:stretch>
                      <a:fillRect/>
                    </a:stretch>
                  </pic:blipFill>
                  <pic:spPr bwMode="auto">
                    <a:xfrm>
                      <a:off x="0" y="0"/>
                      <a:ext cx="135890" cy="8255"/>
                    </a:xfrm>
                    <a:prstGeom prst="rect">
                      <a:avLst/>
                    </a:prstGeom>
                    <a:noFill/>
                  </pic:spPr>
                </pic:pic>
              </a:graphicData>
            </a:graphic>
          </wp:anchor>
        </w:drawing>
      </w:r>
    </w:p>
    <w:p>
      <w:pPr>
        <w:spacing w:after="0" w:line="1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1"/>
          <w:szCs w:val="21"/>
          <w:color w:val="auto"/>
        </w:rPr>
        <w:t>Karen S. Haller</w:t>
      </w:r>
    </w:p>
    <w:p>
      <w:pPr>
        <w:spacing w:after="0" w:line="1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1"/>
          <w:szCs w:val="21"/>
          <w:color w:val="auto"/>
        </w:rPr>
        <w:t>President and Chief Executive Officer</w:t>
      </w:r>
    </w:p>
    <w:p>
      <w:pPr>
        <w:spacing w:after="0" w:line="200" w:lineRule="exact"/>
        <w:rPr>
          <w:sz w:val="20"/>
          <w:szCs w:val="20"/>
          <w:color w:val="auto"/>
        </w:rPr>
      </w:pPr>
    </w:p>
    <w:p>
      <w:pPr>
        <w:spacing w:after="0" w:line="21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1"/>
          <w:szCs w:val="21"/>
          <w:color w:val="auto"/>
        </w:rPr>
        <w:t>PARTICIPANT</w:t>
      </w:r>
    </w:p>
    <w:p>
      <w:pPr>
        <w:spacing w:after="0" w:line="22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2680335</wp:posOffset>
            </wp:positionH>
            <wp:positionV relativeFrom="paragraph">
              <wp:posOffset>-7620</wp:posOffset>
            </wp:positionV>
            <wp:extent cx="13589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92">
                      <a:extLst>
                        <a:ext uri="{28A0092B-C50C-407E-A947-70E740481C1C}"/>
                      </a:extLst>
                    </a:blip>
                    <a:srcRect/>
                    <a:stretch>
                      <a:fillRect/>
                    </a:stretch>
                  </pic:blipFill>
                  <pic:spPr bwMode="auto">
                    <a:xfrm>
                      <a:off x="0" y="0"/>
                      <a:ext cx="135890" cy="8255"/>
                    </a:xfrm>
                    <a:prstGeom prst="rect">
                      <a:avLst/>
                    </a:prstGeom>
                    <a:noFill/>
                  </pic:spPr>
                </pic:pic>
              </a:graphicData>
            </a:graphic>
          </wp:anchor>
        </w:drawing>
      </w:r>
    </w:p>
    <w:p>
      <w:pPr>
        <w:spacing w:after="0" w:line="1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405" w:right="339" w:bottom="1440" w:gutter="0" w:footer="0" w:header="0"/>
        </w:sectPr>
      </w:pPr>
    </w:p>
    <w:bookmarkStart w:id="505" w:name="page506"/>
    <w:bookmarkEnd w:id="505"/>
    <w:p>
      <w:pPr>
        <w:jc w:val="center"/>
        <w:spacing w:after="0"/>
        <w:rPr>
          <w:sz w:val="20"/>
          <w:szCs w:val="20"/>
          <w:color w:val="auto"/>
        </w:rPr>
      </w:pPr>
      <w:r>
        <w:rPr>
          <w:rFonts w:ascii="Arial" w:cs="Arial" w:eastAsia="Arial" w:hAnsi="Arial"/>
          <w:sz w:val="21"/>
          <w:szCs w:val="21"/>
          <w:b w:val="1"/>
          <w:bCs w:val="1"/>
          <w:color w:val="auto"/>
        </w:rPr>
        <w:t>SOUTHWEST GAS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INSIDER TRADING POLICY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(Approved by the Board of Directors on 05/03/2023)</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1"/>
          <w:szCs w:val="21"/>
          <w:b w:val="1"/>
          <w:bCs w:val="1"/>
          <w:color w:val="231F20"/>
        </w:rPr>
        <w:t>Purpose</w:t>
      </w:r>
    </w:p>
    <w:p>
      <w:pPr>
        <w:spacing w:after="0" w:line="255"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231F20"/>
        </w:rPr>
        <w:t>This Insider Trading Policy (“Policy”) provides guidelines with respect to transactions in the securities of Southwest Gas Holdings, Inc. (“Company”) and the handling of confidential information about the Company, its subsidiaries and the companies with which the Company, or its subsidiaries, does business. This Policy promotes compliance with federal, state, and foreign securities laws that prohibit certain persons who are aware of material nonpublic information about a company from: (i) engaging in transactions to sell, purchase or trade in securities of that company; or (ii) tipping, making recommendations to trade or providing material nonpublic information to other persons who may trade on the basis of that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21"/>
          <w:szCs w:val="21"/>
          <w:b w:val="1"/>
          <w:bCs w:val="1"/>
          <w:color w:val="231F20"/>
        </w:rPr>
        <w:t>Persons Subject to the Policy</w:t>
      </w:r>
    </w:p>
    <w:p>
      <w:pPr>
        <w:spacing w:after="0" w:line="255"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231F20"/>
        </w:rPr>
        <w:t>This Policy applies to all officers of the Company and its subsidiaries, all members of the Company’s Board of Directors, and all employees of the Company and its subsidiaries. The Trading Administrator (as defined below) may also determine that other persons should be subject to this Policy, such as contractors or consultants to the Company or its subsidiaries who have access to material nonpublic information. This Policy also applies to Family Members (as defined below) and Controlled Entities (as defined below). For avoidance of doubt, all references in this Policy to the Company are intended to be inclusive of the Company’s subsidiaries.</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b w:val="1"/>
          <w:bCs w:val="1"/>
          <w:color w:val="231F20"/>
        </w:rPr>
        <w:t>Transactions Subject to the Policy</w:t>
      </w:r>
    </w:p>
    <w:p>
      <w:pPr>
        <w:spacing w:after="0" w:line="255"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231F20"/>
        </w:rPr>
        <w:t>This Policy applies to transactions in the Company’s securities (collectively referred to in this Policy as “Company Securities”), including the Company’s common stock, options to purchase common stock, or any other type of securities that the Company may issue, including (but not limited to) preferred stock, convertible debentures, debt securities, and warrants, as well as derivative securities that are not issued by the Company, such as exchange-traded put or call options or swaps relating to Company Securities.</w:t>
      </w:r>
    </w:p>
    <w:p>
      <w:pPr>
        <w:spacing w:after="0" w:line="189" w:lineRule="exact"/>
        <w:rPr>
          <w:sz w:val="20"/>
          <w:szCs w:val="20"/>
          <w:color w:val="auto"/>
        </w:rPr>
      </w:pPr>
    </w:p>
    <w:p>
      <w:pPr>
        <w:spacing w:after="0"/>
        <w:rPr>
          <w:sz w:val="20"/>
          <w:szCs w:val="20"/>
          <w:color w:val="auto"/>
        </w:rPr>
      </w:pPr>
      <w:r>
        <w:rPr>
          <w:rFonts w:ascii="Arial" w:cs="Arial" w:eastAsia="Arial" w:hAnsi="Arial"/>
          <w:sz w:val="21"/>
          <w:szCs w:val="21"/>
          <w:b w:val="1"/>
          <w:bCs w:val="1"/>
          <w:color w:val="231F20"/>
        </w:rPr>
        <w:t>Individual Responsibility</w:t>
      </w:r>
    </w:p>
    <w:p>
      <w:pPr>
        <w:spacing w:after="0" w:line="255"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231F20"/>
        </w:rPr>
        <w:t>Persons subject to this Policy have ethical and legal obligations to maintain the confidentiality of information about the Company and to not engage in transactions in Company Securities while in possession of material nonpublic information. Each individual is responsible for making sure that he or she complies with this Policy, and that any Family Member, household member or entity whose transactions are subject to this Policy, as discussed below, also comply with this Policy. In all cases, the</w:t>
      </w:r>
    </w:p>
    <w:p>
      <w:pPr>
        <w:sectPr>
          <w:pgSz w:w="11900" w:h="16838" w:orient="portrait"/>
          <w:cols w:equalWidth="0" w:num="1">
            <w:col w:w="11240"/>
          </w:cols>
          <w:pgMar w:left="320" w:top="1395" w:right="339" w:bottom="1440" w:gutter="0" w:footer="0" w:header="0"/>
        </w:sectPr>
      </w:pPr>
    </w:p>
    <w:bookmarkStart w:id="506" w:name="page507"/>
    <w:bookmarkEnd w:id="506"/>
    <w:p>
      <w:pPr>
        <w:jc w:val="both"/>
        <w:spacing w:after="0" w:line="263" w:lineRule="auto"/>
        <w:rPr>
          <w:sz w:val="20"/>
          <w:szCs w:val="20"/>
          <w:color w:val="auto"/>
        </w:rPr>
      </w:pPr>
      <w:r>
        <w:rPr>
          <w:rFonts w:ascii="Arial" w:cs="Arial" w:eastAsia="Arial" w:hAnsi="Arial"/>
          <w:sz w:val="21"/>
          <w:szCs w:val="21"/>
          <w:color w:val="231F20"/>
        </w:rPr>
        <w:t>responsibility for determining whether an individual is in possession of material nonpublic information rests with that individual, and any action on the part of the Company, the Trading Administrator (defined below), or any other employee or director pursuant to this Policy (or otherwise) does not in any way constitute legal advice or insulate an individual from liability under applicable securities laws. You could be subject to severe legal penalties and disciplinary action by the Company for any conduct prohibited by this Policy or applicable securities laws, as described below in more detail under the heading “Consequences of Violations.”</w:t>
      </w:r>
    </w:p>
    <w:p>
      <w:pPr>
        <w:spacing w:after="0" w:line="189" w:lineRule="exact"/>
        <w:rPr>
          <w:sz w:val="20"/>
          <w:szCs w:val="20"/>
          <w:color w:val="auto"/>
        </w:rPr>
      </w:pPr>
    </w:p>
    <w:p>
      <w:pPr>
        <w:spacing w:after="0"/>
        <w:rPr>
          <w:sz w:val="20"/>
          <w:szCs w:val="20"/>
          <w:color w:val="auto"/>
        </w:rPr>
      </w:pPr>
      <w:r>
        <w:rPr>
          <w:rFonts w:ascii="Arial" w:cs="Arial" w:eastAsia="Arial" w:hAnsi="Arial"/>
          <w:sz w:val="21"/>
          <w:szCs w:val="21"/>
          <w:b w:val="1"/>
          <w:bCs w:val="1"/>
          <w:color w:val="231F20"/>
        </w:rPr>
        <w:t>Administration of the Policy</w:t>
      </w:r>
    </w:p>
    <w:p>
      <w:pPr>
        <w:spacing w:after="0" w:line="255"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231F20"/>
        </w:rPr>
        <w:t>Catherine M. Mazzeo, Senior Vice President/Chief Legal, Safety &amp; Compliance Officer and Corporate Secretary, shall serve as the Trading Administrator for the purposes of this Policy, and in her absence, Dana R. Walsh, Associate General Counsel/Assistant Corporate Secretary, or another employee designated by the Trading Administrator shall be responsible for administration of this Policy. All determinations and interpretations by the Trading Administrator shall be final and not subject to further review.</w:t>
      </w:r>
    </w:p>
    <w:p>
      <w:pPr>
        <w:spacing w:after="0" w:line="189" w:lineRule="exact"/>
        <w:rPr>
          <w:sz w:val="20"/>
          <w:szCs w:val="20"/>
          <w:color w:val="auto"/>
        </w:rPr>
      </w:pPr>
    </w:p>
    <w:p>
      <w:pPr>
        <w:spacing w:after="0"/>
        <w:rPr>
          <w:sz w:val="20"/>
          <w:szCs w:val="20"/>
          <w:color w:val="auto"/>
        </w:rPr>
      </w:pPr>
      <w:r>
        <w:rPr>
          <w:rFonts w:ascii="Arial" w:cs="Arial" w:eastAsia="Arial" w:hAnsi="Arial"/>
          <w:sz w:val="21"/>
          <w:szCs w:val="21"/>
          <w:b w:val="1"/>
          <w:bCs w:val="1"/>
          <w:color w:val="231F20"/>
        </w:rPr>
        <w:t>Statement of Policy</w:t>
      </w:r>
    </w:p>
    <w:p>
      <w:pPr>
        <w:spacing w:after="0" w:line="255" w:lineRule="exact"/>
        <w:rPr>
          <w:sz w:val="20"/>
          <w:szCs w:val="20"/>
          <w:color w:val="auto"/>
        </w:rPr>
      </w:pPr>
    </w:p>
    <w:p>
      <w:pPr>
        <w:jc w:val="both"/>
        <w:spacing w:after="0" w:line="279" w:lineRule="auto"/>
        <w:rPr>
          <w:sz w:val="20"/>
          <w:szCs w:val="20"/>
          <w:color w:val="auto"/>
        </w:rPr>
      </w:pPr>
      <w:r>
        <w:rPr>
          <w:rFonts w:ascii="Arial" w:cs="Arial" w:eastAsia="Arial" w:hAnsi="Arial"/>
          <w:sz w:val="21"/>
          <w:szCs w:val="21"/>
          <w:color w:val="231F20"/>
        </w:rPr>
        <w:t>It is the policy of the Company that no director, officer, or other employee of the Company (or any other person designated as subject to this Policy) who is aware of material nonpublic information relating to the Company may, directly, or indirectly through family members or other persons or entities:</w:t>
      </w:r>
    </w:p>
    <w:p>
      <w:pPr>
        <w:spacing w:after="0" w:line="174" w:lineRule="exact"/>
        <w:rPr>
          <w:sz w:val="20"/>
          <w:szCs w:val="20"/>
          <w:color w:val="auto"/>
        </w:rPr>
      </w:pPr>
    </w:p>
    <w:p>
      <w:pPr>
        <w:jc w:val="both"/>
        <w:ind w:left="1140" w:hanging="491"/>
        <w:spacing w:after="0" w:line="272" w:lineRule="auto"/>
        <w:tabs>
          <w:tab w:leader="none" w:pos="1131" w:val="left"/>
        </w:tabs>
        <w:numPr>
          <w:ilvl w:val="0"/>
          <w:numId w:val="401"/>
        </w:numPr>
        <w:rPr>
          <w:rFonts w:ascii="Arial" w:cs="Arial" w:eastAsia="Arial" w:hAnsi="Arial"/>
          <w:sz w:val="21"/>
          <w:szCs w:val="21"/>
          <w:color w:val="231F20"/>
        </w:rPr>
      </w:pPr>
      <w:r>
        <w:rPr>
          <w:rFonts w:ascii="Arial" w:cs="Arial" w:eastAsia="Arial" w:hAnsi="Arial"/>
          <w:sz w:val="21"/>
          <w:szCs w:val="21"/>
          <w:color w:val="231F20"/>
        </w:rPr>
        <w:t>Engage in transactions in Company Securities, except as otherwise specified in this Policy under the headings “Transactions Under Company Plans,” “Transactions Not Involving a Purchase or Sale” and “Rule 10b5-1 Plans;”</w:t>
      </w:r>
    </w:p>
    <w:p>
      <w:pPr>
        <w:spacing w:after="0" w:line="195" w:lineRule="exact"/>
        <w:rPr>
          <w:rFonts w:ascii="Arial" w:cs="Arial" w:eastAsia="Arial" w:hAnsi="Arial"/>
          <w:sz w:val="21"/>
          <w:szCs w:val="21"/>
          <w:color w:val="231F20"/>
        </w:rPr>
      </w:pPr>
    </w:p>
    <w:p>
      <w:pPr>
        <w:ind w:left="1060" w:hanging="411"/>
        <w:spacing w:after="0"/>
        <w:tabs>
          <w:tab w:leader="none" w:pos="1060" w:val="left"/>
        </w:tabs>
        <w:numPr>
          <w:ilvl w:val="0"/>
          <w:numId w:val="401"/>
        </w:numPr>
        <w:rPr>
          <w:rFonts w:ascii="Arial" w:cs="Arial" w:eastAsia="Arial" w:hAnsi="Arial"/>
          <w:sz w:val="21"/>
          <w:szCs w:val="21"/>
          <w:color w:val="231F20"/>
        </w:rPr>
      </w:pPr>
      <w:r>
        <w:rPr>
          <w:rFonts w:ascii="Arial" w:cs="Arial" w:eastAsia="Arial" w:hAnsi="Arial"/>
          <w:sz w:val="21"/>
          <w:szCs w:val="21"/>
          <w:color w:val="231F20"/>
        </w:rPr>
        <w:t>Tip or recommend the purchase or sale of any Company Securities;</w:t>
      </w:r>
    </w:p>
    <w:p>
      <w:pPr>
        <w:spacing w:after="0" w:line="253" w:lineRule="exact"/>
        <w:rPr>
          <w:rFonts w:ascii="Arial" w:cs="Arial" w:eastAsia="Arial" w:hAnsi="Arial"/>
          <w:sz w:val="21"/>
          <w:szCs w:val="21"/>
          <w:color w:val="231F20"/>
        </w:rPr>
      </w:pPr>
    </w:p>
    <w:p>
      <w:pPr>
        <w:jc w:val="both"/>
        <w:ind w:left="1140" w:hanging="491"/>
        <w:spacing w:after="0" w:line="265" w:lineRule="auto"/>
        <w:tabs>
          <w:tab w:leader="none" w:pos="1109" w:val="left"/>
        </w:tabs>
        <w:numPr>
          <w:ilvl w:val="0"/>
          <w:numId w:val="401"/>
        </w:numPr>
        <w:rPr>
          <w:rFonts w:ascii="Arial" w:cs="Arial" w:eastAsia="Arial" w:hAnsi="Arial"/>
          <w:sz w:val="21"/>
          <w:szCs w:val="21"/>
          <w:color w:val="231F20"/>
        </w:rPr>
      </w:pPr>
      <w:r>
        <w:rPr>
          <w:rFonts w:ascii="Arial" w:cs="Arial" w:eastAsia="Arial" w:hAnsi="Arial"/>
          <w:sz w:val="21"/>
          <w:szCs w:val="21"/>
          <w:color w:val="231F20"/>
        </w:rPr>
        <w:t>Disclose material nonpublic information to persons within the Company whose jobs do not require them to have that information, or outside of the Company to other persons, including, but not limited to, family, friends, business associates, investors, and expert consulting firms, unless any such disclosure is made in accordance with the Company’s policies regarding the protection or authorized external disclosure of information regarding the Company; or</w:t>
      </w:r>
    </w:p>
    <w:p>
      <w:pPr>
        <w:spacing w:after="0" w:line="191" w:lineRule="exact"/>
        <w:rPr>
          <w:rFonts w:ascii="Arial" w:cs="Arial" w:eastAsia="Arial" w:hAnsi="Arial"/>
          <w:sz w:val="21"/>
          <w:szCs w:val="21"/>
          <w:color w:val="231F20"/>
        </w:rPr>
      </w:pPr>
    </w:p>
    <w:p>
      <w:pPr>
        <w:ind w:left="1060" w:hanging="411"/>
        <w:spacing w:after="0"/>
        <w:tabs>
          <w:tab w:leader="none" w:pos="1060" w:val="left"/>
        </w:tabs>
        <w:numPr>
          <w:ilvl w:val="0"/>
          <w:numId w:val="401"/>
        </w:numPr>
        <w:rPr>
          <w:rFonts w:ascii="Arial" w:cs="Arial" w:eastAsia="Arial" w:hAnsi="Arial"/>
          <w:sz w:val="21"/>
          <w:szCs w:val="21"/>
          <w:color w:val="231F20"/>
        </w:rPr>
      </w:pPr>
      <w:r>
        <w:rPr>
          <w:rFonts w:ascii="Arial" w:cs="Arial" w:eastAsia="Arial" w:hAnsi="Arial"/>
          <w:sz w:val="21"/>
          <w:szCs w:val="21"/>
          <w:color w:val="231F20"/>
        </w:rPr>
        <w:t>Assist anyone engaged in the above activities.</w:t>
      </w:r>
    </w:p>
    <w:p>
      <w:pPr>
        <w:spacing w:after="0" w:line="253" w:lineRule="exact"/>
        <w:rPr>
          <w:sz w:val="20"/>
          <w:szCs w:val="20"/>
          <w:color w:val="auto"/>
        </w:rPr>
      </w:pPr>
    </w:p>
    <w:p>
      <w:pPr>
        <w:jc w:val="both"/>
        <w:spacing w:after="0" w:line="272" w:lineRule="auto"/>
        <w:rPr>
          <w:sz w:val="20"/>
          <w:szCs w:val="20"/>
          <w:color w:val="auto"/>
        </w:rPr>
      </w:pPr>
      <w:r>
        <w:rPr>
          <w:rFonts w:ascii="Arial" w:cs="Arial" w:eastAsia="Arial" w:hAnsi="Arial"/>
          <w:sz w:val="21"/>
          <w:szCs w:val="21"/>
          <w:color w:val="231F20"/>
        </w:rPr>
        <w:t>In addition, it is the policy of the Company that no director, officer, or other employee of the Company (or any other person designated as subject to this Policy) who, in the course of working for the Company, learns of material nonpublic information about a</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19"/>
        <w:spacing w:after="0"/>
        <w:tabs>
          <w:tab w:leader="none" w:pos="180" w:val="left"/>
        </w:tabs>
        <w:rPr>
          <w:sz w:val="20"/>
          <w:szCs w:val="20"/>
          <w:color w:val="auto"/>
        </w:rPr>
      </w:pPr>
      <w:r>
        <w:rPr>
          <w:rFonts w:ascii="Arial" w:cs="Arial" w:eastAsia="Arial" w:hAnsi="Arial"/>
          <w:sz w:val="18"/>
          <w:szCs w:val="18"/>
          <w:color w:val="auto"/>
        </w:rPr>
        <w:t>- 2 -</w:t>
      </w:r>
      <w:r>
        <w:rPr>
          <w:sz w:val="20"/>
          <w:szCs w:val="20"/>
          <w:color w:val="auto"/>
        </w:rPr>
        <w:tab/>
      </w:r>
      <w:r>
        <w:rPr>
          <w:rFonts w:ascii="Arial" w:cs="Arial" w:eastAsia="Arial" w:hAnsi="Arial"/>
          <w:sz w:val="17"/>
          <w:szCs w:val="17"/>
          <w:color w:val="auto"/>
        </w:rPr>
        <w:t>Insider Trading Policy</w:t>
      </w:r>
    </w:p>
    <w:p>
      <w:pPr>
        <w:spacing w:after="0" w:line="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05/03/23</w:t>
      </w:r>
    </w:p>
    <w:p>
      <w:pPr>
        <w:sectPr>
          <w:pgSz w:w="11900" w:h="16838" w:orient="portrait"/>
          <w:cols w:equalWidth="0" w:num="1">
            <w:col w:w="11240"/>
          </w:cols>
          <w:pgMar w:left="320" w:top="1409" w:right="339" w:bottom="1440" w:gutter="0" w:footer="0" w:header="0"/>
        </w:sectPr>
      </w:pPr>
    </w:p>
    <w:bookmarkStart w:id="507" w:name="page508"/>
    <w:bookmarkEnd w:id="507"/>
    <w:p>
      <w:pPr>
        <w:jc w:val="both"/>
        <w:spacing w:after="0" w:line="270" w:lineRule="auto"/>
        <w:rPr>
          <w:sz w:val="20"/>
          <w:szCs w:val="20"/>
          <w:color w:val="auto"/>
        </w:rPr>
      </w:pPr>
      <w:r>
        <w:rPr>
          <w:rFonts w:ascii="Arial" w:cs="Arial" w:eastAsia="Arial" w:hAnsi="Arial"/>
          <w:sz w:val="21"/>
          <w:szCs w:val="21"/>
          <w:color w:val="231F20"/>
        </w:rPr>
        <w:t>company with which the Company, or its subsidiaries, does business, including a customer or supplier of the Company or any of its subsidiaries, may trade in that company’s securities or tip or recommend others trade in that company’s securities until the information becomes public or is no longer material. It is the policy of the Company to only transact in its own securities in accordance with applicable securities laws.</w:t>
      </w:r>
    </w:p>
    <w:p>
      <w:pPr>
        <w:spacing w:after="0" w:line="184"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231F20"/>
        </w:rPr>
        <w:t>There are no exceptions to this Policy, except as specifically noted herein. Transactions that may be necessary or justifiable for independent reasons (such as the need to raise money for an emergency expenditure), or small transactions, are not excepted from this Policy. The securities laws do not recognize any mitigating circumstances, and, in any event, even the appearance of an improper transaction must be avoided to preserve the Company’s reputation for adhering to the highest standards of conduct.</w:t>
      </w:r>
    </w:p>
    <w:p>
      <w:pPr>
        <w:spacing w:after="0" w:line="189" w:lineRule="exact"/>
        <w:rPr>
          <w:sz w:val="20"/>
          <w:szCs w:val="20"/>
          <w:color w:val="auto"/>
        </w:rPr>
      </w:pPr>
    </w:p>
    <w:p>
      <w:pPr>
        <w:spacing w:after="0"/>
        <w:rPr>
          <w:sz w:val="20"/>
          <w:szCs w:val="20"/>
          <w:color w:val="auto"/>
        </w:rPr>
      </w:pPr>
      <w:r>
        <w:rPr>
          <w:rFonts w:ascii="Arial" w:cs="Arial" w:eastAsia="Arial" w:hAnsi="Arial"/>
          <w:sz w:val="21"/>
          <w:szCs w:val="21"/>
          <w:b w:val="1"/>
          <w:bCs w:val="1"/>
          <w:color w:val="231F20"/>
        </w:rPr>
        <w:t>Definition of Material Nonpublic Information</w:t>
      </w:r>
    </w:p>
    <w:p>
      <w:pPr>
        <w:spacing w:after="0" w:line="255" w:lineRule="exact"/>
        <w:rPr>
          <w:sz w:val="20"/>
          <w:szCs w:val="20"/>
          <w:color w:val="auto"/>
        </w:rPr>
      </w:pPr>
    </w:p>
    <w:p>
      <w:pPr>
        <w:jc w:val="both"/>
        <w:spacing w:after="0" w:line="263" w:lineRule="auto"/>
        <w:rPr>
          <w:sz w:val="20"/>
          <w:szCs w:val="20"/>
          <w:color w:val="auto"/>
        </w:rPr>
      </w:pPr>
      <w:r>
        <w:rPr>
          <w:rFonts w:ascii="Arial" w:cs="Arial" w:eastAsia="Arial" w:hAnsi="Arial"/>
          <w:sz w:val="21"/>
          <w:szCs w:val="21"/>
          <w:i w:val="1"/>
          <w:iCs w:val="1"/>
          <w:u w:val="single" w:color="auto"/>
          <w:color w:val="231F20"/>
        </w:rPr>
        <w:t>Material Information.</w:t>
      </w:r>
      <w:r>
        <w:rPr>
          <w:rFonts w:ascii="Arial" w:cs="Arial" w:eastAsia="Arial" w:hAnsi="Arial"/>
          <w:sz w:val="21"/>
          <w:szCs w:val="21"/>
          <w:i w:val="1"/>
          <w:iCs w:val="1"/>
          <w:color w:val="231F20"/>
        </w:rPr>
        <w:t xml:space="preserve"> </w:t>
      </w:r>
      <w:r>
        <w:rPr>
          <w:rFonts w:ascii="Arial" w:cs="Arial" w:eastAsia="Arial" w:hAnsi="Arial"/>
          <w:sz w:val="21"/>
          <w:szCs w:val="21"/>
          <w:color w:val="231F20"/>
        </w:rPr>
        <w:t>Information is considered “material” if a reasonable investor would consider that information</w:t>
      </w:r>
      <w:r>
        <w:rPr>
          <w:rFonts w:ascii="Arial" w:cs="Arial" w:eastAsia="Arial" w:hAnsi="Arial"/>
          <w:sz w:val="21"/>
          <w:szCs w:val="21"/>
          <w:i w:val="1"/>
          <w:iCs w:val="1"/>
          <w:color w:val="231F20"/>
        </w:rPr>
        <w:t xml:space="preserve"> </w:t>
      </w:r>
      <w:r>
        <w:rPr>
          <w:rFonts w:ascii="Arial" w:cs="Arial" w:eastAsia="Arial" w:hAnsi="Arial"/>
          <w:sz w:val="21"/>
          <w:szCs w:val="21"/>
          <w:color w:val="231F20"/>
        </w:rPr>
        <w:t>important in making a decision to buy, hold, or sell securities. Any information that could be expected to affect the Company’s stock price, whether it is positive or negative, should be considered material. There is no bright-line standard for assessing materiality; rather, materiality is based on an assessment of all of the facts and circumstances, and is often evaluated by enforcement authorities with the benefit of hindsight. While it is not possible to define all categories of material information, some examples of information that ordinarily would be regarded as material are:</w:t>
      </w:r>
    </w:p>
    <w:p>
      <w:pPr>
        <w:spacing w:after="0" w:line="191" w:lineRule="exact"/>
        <w:rPr>
          <w:sz w:val="20"/>
          <w:szCs w:val="20"/>
          <w:color w:val="auto"/>
        </w:rPr>
      </w:pPr>
    </w:p>
    <w:p>
      <w:pPr>
        <w:ind w:left="960" w:hanging="311"/>
        <w:spacing w:after="0"/>
        <w:tabs>
          <w:tab w:leader="none" w:pos="960" w:val="left"/>
        </w:tabs>
        <w:numPr>
          <w:ilvl w:val="0"/>
          <w:numId w:val="402"/>
        </w:numPr>
        <w:rPr>
          <w:rFonts w:ascii="Arial" w:cs="Arial" w:eastAsia="Arial" w:hAnsi="Arial"/>
          <w:sz w:val="21"/>
          <w:szCs w:val="21"/>
          <w:color w:val="231F20"/>
        </w:rPr>
      </w:pPr>
      <w:r>
        <w:rPr>
          <w:rFonts w:ascii="Arial" w:cs="Arial" w:eastAsia="Arial" w:hAnsi="Arial"/>
          <w:sz w:val="21"/>
          <w:szCs w:val="21"/>
          <w:color w:val="231F20"/>
        </w:rPr>
        <w:t>Earnings guidance subject to a pending public release;</w:t>
      </w:r>
    </w:p>
    <w:p>
      <w:pPr>
        <w:spacing w:after="0" w:line="253" w:lineRule="exact"/>
        <w:rPr>
          <w:rFonts w:ascii="Arial" w:cs="Arial" w:eastAsia="Arial" w:hAnsi="Arial"/>
          <w:sz w:val="21"/>
          <w:szCs w:val="21"/>
          <w:color w:val="231F20"/>
        </w:rPr>
      </w:pPr>
    </w:p>
    <w:p>
      <w:pPr>
        <w:ind w:left="960" w:hanging="311"/>
        <w:spacing w:after="0"/>
        <w:tabs>
          <w:tab w:leader="none" w:pos="960" w:val="left"/>
        </w:tabs>
        <w:numPr>
          <w:ilvl w:val="0"/>
          <w:numId w:val="402"/>
        </w:numPr>
        <w:rPr>
          <w:rFonts w:ascii="Arial" w:cs="Arial" w:eastAsia="Arial" w:hAnsi="Arial"/>
          <w:sz w:val="21"/>
          <w:szCs w:val="21"/>
          <w:color w:val="231F20"/>
        </w:rPr>
      </w:pPr>
      <w:r>
        <w:rPr>
          <w:rFonts w:ascii="Arial" w:cs="Arial" w:eastAsia="Arial" w:hAnsi="Arial"/>
          <w:sz w:val="21"/>
          <w:szCs w:val="21"/>
          <w:color w:val="231F20"/>
        </w:rPr>
        <w:t>Changes to previously announced earnings guidance, or the decision to suspend earnings guidance;</w:t>
      </w:r>
    </w:p>
    <w:p>
      <w:pPr>
        <w:spacing w:after="0" w:line="253" w:lineRule="exact"/>
        <w:rPr>
          <w:rFonts w:ascii="Arial" w:cs="Arial" w:eastAsia="Arial" w:hAnsi="Arial"/>
          <w:sz w:val="21"/>
          <w:szCs w:val="21"/>
          <w:color w:val="231F20"/>
        </w:rPr>
      </w:pPr>
    </w:p>
    <w:p>
      <w:pPr>
        <w:ind w:left="940" w:hanging="291"/>
        <w:spacing w:after="0"/>
        <w:tabs>
          <w:tab w:leader="none" w:pos="940" w:val="left"/>
        </w:tabs>
        <w:numPr>
          <w:ilvl w:val="0"/>
          <w:numId w:val="402"/>
        </w:numPr>
        <w:rPr>
          <w:rFonts w:ascii="Arial" w:cs="Arial" w:eastAsia="Arial" w:hAnsi="Arial"/>
          <w:sz w:val="21"/>
          <w:szCs w:val="21"/>
          <w:color w:val="231F20"/>
        </w:rPr>
      </w:pPr>
      <w:r>
        <w:rPr>
          <w:rFonts w:ascii="Arial" w:cs="Arial" w:eastAsia="Arial" w:hAnsi="Arial"/>
          <w:sz w:val="21"/>
          <w:szCs w:val="21"/>
          <w:color w:val="231F20"/>
        </w:rPr>
        <w:t>A pending or proposed merger, acquisition, or tender offer;</w:t>
      </w:r>
    </w:p>
    <w:p>
      <w:pPr>
        <w:spacing w:after="0" w:line="266" w:lineRule="exact"/>
        <w:rPr>
          <w:rFonts w:ascii="Arial" w:cs="Arial" w:eastAsia="Arial" w:hAnsi="Arial"/>
          <w:sz w:val="21"/>
          <w:szCs w:val="21"/>
          <w:color w:val="231F20"/>
        </w:rPr>
      </w:pPr>
    </w:p>
    <w:p>
      <w:pPr>
        <w:ind w:left="940" w:hanging="291"/>
        <w:spacing w:after="0"/>
        <w:tabs>
          <w:tab w:leader="none" w:pos="940" w:val="left"/>
        </w:tabs>
        <w:numPr>
          <w:ilvl w:val="0"/>
          <w:numId w:val="402"/>
        </w:numPr>
        <w:rPr>
          <w:rFonts w:ascii="Arial" w:cs="Arial" w:eastAsia="Arial" w:hAnsi="Arial"/>
          <w:sz w:val="21"/>
          <w:szCs w:val="21"/>
          <w:color w:val="231F20"/>
        </w:rPr>
      </w:pPr>
      <w:r>
        <w:rPr>
          <w:rFonts w:ascii="Arial" w:cs="Arial" w:eastAsia="Arial" w:hAnsi="Arial"/>
          <w:sz w:val="21"/>
          <w:szCs w:val="21"/>
          <w:color w:val="231F20"/>
        </w:rPr>
        <w:t>A pending or proposed acquisition or disposition of a significant asset;</w:t>
      </w:r>
    </w:p>
    <w:p>
      <w:pPr>
        <w:spacing w:after="0" w:line="253" w:lineRule="exact"/>
        <w:rPr>
          <w:rFonts w:ascii="Arial" w:cs="Arial" w:eastAsia="Arial" w:hAnsi="Arial"/>
          <w:sz w:val="21"/>
          <w:szCs w:val="21"/>
          <w:color w:val="231F20"/>
        </w:rPr>
      </w:pPr>
    </w:p>
    <w:p>
      <w:pPr>
        <w:ind w:left="940" w:hanging="291"/>
        <w:spacing w:after="0"/>
        <w:tabs>
          <w:tab w:leader="none" w:pos="940" w:val="left"/>
        </w:tabs>
        <w:numPr>
          <w:ilvl w:val="0"/>
          <w:numId w:val="402"/>
        </w:numPr>
        <w:rPr>
          <w:rFonts w:ascii="Arial" w:cs="Arial" w:eastAsia="Arial" w:hAnsi="Arial"/>
          <w:sz w:val="21"/>
          <w:szCs w:val="21"/>
          <w:color w:val="231F20"/>
        </w:rPr>
      </w:pPr>
      <w:r>
        <w:rPr>
          <w:rFonts w:ascii="Arial" w:cs="Arial" w:eastAsia="Arial" w:hAnsi="Arial"/>
          <w:sz w:val="21"/>
          <w:szCs w:val="21"/>
          <w:color w:val="231F20"/>
        </w:rPr>
        <w:t>A pending or proposed joint venture;</w:t>
      </w:r>
    </w:p>
    <w:p>
      <w:pPr>
        <w:spacing w:after="0" w:line="253" w:lineRule="exact"/>
        <w:rPr>
          <w:rFonts w:ascii="Arial" w:cs="Arial" w:eastAsia="Arial" w:hAnsi="Arial"/>
          <w:sz w:val="21"/>
          <w:szCs w:val="21"/>
          <w:color w:val="231F20"/>
        </w:rPr>
      </w:pPr>
    </w:p>
    <w:p>
      <w:pPr>
        <w:ind w:left="940" w:hanging="291"/>
        <w:spacing w:after="0"/>
        <w:tabs>
          <w:tab w:leader="none" w:pos="940" w:val="left"/>
        </w:tabs>
        <w:numPr>
          <w:ilvl w:val="0"/>
          <w:numId w:val="402"/>
        </w:numPr>
        <w:rPr>
          <w:rFonts w:ascii="Arial" w:cs="Arial" w:eastAsia="Arial" w:hAnsi="Arial"/>
          <w:sz w:val="21"/>
          <w:szCs w:val="21"/>
          <w:color w:val="231F20"/>
        </w:rPr>
      </w:pPr>
      <w:r>
        <w:rPr>
          <w:rFonts w:ascii="Arial" w:cs="Arial" w:eastAsia="Arial" w:hAnsi="Arial"/>
          <w:sz w:val="21"/>
          <w:szCs w:val="21"/>
          <w:color w:val="231F20"/>
        </w:rPr>
        <w:t>A Company restructuring;</w:t>
      </w:r>
    </w:p>
    <w:p>
      <w:pPr>
        <w:spacing w:after="0" w:line="253" w:lineRule="exact"/>
        <w:rPr>
          <w:rFonts w:ascii="Arial" w:cs="Arial" w:eastAsia="Arial" w:hAnsi="Arial"/>
          <w:sz w:val="21"/>
          <w:szCs w:val="21"/>
          <w:color w:val="231F20"/>
        </w:rPr>
      </w:pPr>
    </w:p>
    <w:p>
      <w:pPr>
        <w:ind w:left="960" w:hanging="311"/>
        <w:spacing w:after="0"/>
        <w:tabs>
          <w:tab w:leader="none" w:pos="960" w:val="left"/>
        </w:tabs>
        <w:numPr>
          <w:ilvl w:val="0"/>
          <w:numId w:val="402"/>
        </w:numPr>
        <w:rPr>
          <w:rFonts w:ascii="Arial" w:cs="Arial" w:eastAsia="Arial" w:hAnsi="Arial"/>
          <w:sz w:val="21"/>
          <w:szCs w:val="21"/>
          <w:color w:val="231F20"/>
        </w:rPr>
      </w:pPr>
      <w:r>
        <w:rPr>
          <w:rFonts w:ascii="Arial" w:cs="Arial" w:eastAsia="Arial" w:hAnsi="Arial"/>
          <w:sz w:val="21"/>
          <w:szCs w:val="21"/>
          <w:color w:val="231F20"/>
        </w:rPr>
        <w:t>Significant related party transactions;</w:t>
      </w:r>
    </w:p>
    <w:p>
      <w:pPr>
        <w:spacing w:after="0" w:line="253" w:lineRule="exact"/>
        <w:rPr>
          <w:rFonts w:ascii="Arial" w:cs="Arial" w:eastAsia="Arial" w:hAnsi="Arial"/>
          <w:sz w:val="21"/>
          <w:szCs w:val="21"/>
          <w:color w:val="231F20"/>
        </w:rPr>
      </w:pPr>
    </w:p>
    <w:p>
      <w:pPr>
        <w:ind w:left="940" w:hanging="291"/>
        <w:spacing w:after="0"/>
        <w:tabs>
          <w:tab w:leader="none" w:pos="940" w:val="left"/>
        </w:tabs>
        <w:numPr>
          <w:ilvl w:val="0"/>
          <w:numId w:val="402"/>
        </w:numPr>
        <w:rPr>
          <w:rFonts w:ascii="Arial" w:cs="Arial" w:eastAsia="Arial" w:hAnsi="Arial"/>
          <w:sz w:val="21"/>
          <w:szCs w:val="21"/>
          <w:color w:val="231F20"/>
        </w:rPr>
      </w:pPr>
      <w:r>
        <w:rPr>
          <w:rFonts w:ascii="Arial" w:cs="Arial" w:eastAsia="Arial" w:hAnsi="Arial"/>
          <w:sz w:val="21"/>
          <w:szCs w:val="21"/>
          <w:color w:val="231F20"/>
        </w:rPr>
        <w:t>A change in dividend policy, the declaration of a stock split, or an offering of additional securities;</w:t>
      </w:r>
    </w:p>
    <w:p>
      <w:pPr>
        <w:spacing w:after="0" w:line="266" w:lineRule="exact"/>
        <w:rPr>
          <w:rFonts w:ascii="Arial" w:cs="Arial" w:eastAsia="Arial" w:hAnsi="Arial"/>
          <w:sz w:val="21"/>
          <w:szCs w:val="21"/>
          <w:color w:val="231F20"/>
        </w:rPr>
      </w:pPr>
    </w:p>
    <w:p>
      <w:pPr>
        <w:ind w:left="960" w:hanging="311"/>
        <w:spacing w:after="0"/>
        <w:tabs>
          <w:tab w:leader="none" w:pos="960" w:val="left"/>
        </w:tabs>
        <w:numPr>
          <w:ilvl w:val="0"/>
          <w:numId w:val="402"/>
        </w:numPr>
        <w:rPr>
          <w:rFonts w:ascii="Arial" w:cs="Arial" w:eastAsia="Arial" w:hAnsi="Arial"/>
          <w:sz w:val="21"/>
          <w:szCs w:val="21"/>
          <w:color w:val="231F20"/>
        </w:rPr>
      </w:pPr>
      <w:r>
        <w:rPr>
          <w:rFonts w:ascii="Arial" w:cs="Arial" w:eastAsia="Arial" w:hAnsi="Arial"/>
          <w:sz w:val="21"/>
          <w:szCs w:val="21"/>
          <w:color w:val="231F20"/>
        </w:rPr>
        <w:t>Bank borrowings or other financing transactions out of the ordinary course of business;</w:t>
      </w:r>
    </w:p>
    <w:p>
      <w:pPr>
        <w:spacing w:after="0" w:line="200" w:lineRule="exact"/>
        <w:rPr>
          <w:rFonts w:ascii="Arial" w:cs="Arial" w:eastAsia="Arial" w:hAnsi="Arial"/>
          <w:sz w:val="21"/>
          <w:szCs w:val="21"/>
          <w:color w:val="231F20"/>
        </w:rPr>
      </w:pPr>
    </w:p>
    <w:p>
      <w:pPr>
        <w:spacing w:after="0" w:line="200" w:lineRule="exact"/>
        <w:rPr>
          <w:rFonts w:ascii="Arial" w:cs="Arial" w:eastAsia="Arial" w:hAnsi="Arial"/>
          <w:sz w:val="21"/>
          <w:szCs w:val="21"/>
          <w:color w:val="231F20"/>
        </w:rPr>
      </w:pPr>
    </w:p>
    <w:p>
      <w:pPr>
        <w:spacing w:after="0" w:line="200" w:lineRule="exact"/>
        <w:rPr>
          <w:rFonts w:ascii="Arial" w:cs="Arial" w:eastAsia="Arial" w:hAnsi="Arial"/>
          <w:sz w:val="21"/>
          <w:szCs w:val="21"/>
          <w:color w:val="231F20"/>
        </w:rPr>
      </w:pPr>
    </w:p>
    <w:p>
      <w:pPr>
        <w:spacing w:after="0" w:line="200" w:lineRule="exact"/>
        <w:rPr>
          <w:rFonts w:ascii="Arial" w:cs="Arial" w:eastAsia="Arial" w:hAnsi="Arial"/>
          <w:sz w:val="21"/>
          <w:szCs w:val="21"/>
          <w:color w:val="231F20"/>
        </w:rPr>
      </w:pPr>
    </w:p>
    <w:p>
      <w:pPr>
        <w:spacing w:after="0" w:line="290" w:lineRule="exact"/>
        <w:rPr>
          <w:rFonts w:ascii="Arial" w:cs="Arial" w:eastAsia="Arial" w:hAnsi="Arial"/>
          <w:sz w:val="21"/>
          <w:szCs w:val="21"/>
          <w:color w:val="231F20"/>
        </w:rPr>
      </w:pPr>
    </w:p>
    <w:p>
      <w:pPr>
        <w:ind w:left="4720" w:hanging="108"/>
        <w:spacing w:after="0"/>
        <w:tabs>
          <w:tab w:leader="none" w:pos="4720" w:val="left"/>
        </w:tabs>
        <w:numPr>
          <w:ilvl w:val="1"/>
          <w:numId w:val="402"/>
        </w:numPr>
        <w:rPr>
          <w:rFonts w:ascii="Arial" w:cs="Arial" w:eastAsia="Arial" w:hAnsi="Arial"/>
          <w:sz w:val="18"/>
          <w:szCs w:val="18"/>
          <w:color w:val="auto"/>
        </w:rPr>
      </w:pPr>
      <w:r>
        <w:rPr>
          <w:rFonts w:ascii="Arial" w:cs="Arial" w:eastAsia="Arial" w:hAnsi="Arial"/>
          <w:sz w:val="18"/>
          <w:szCs w:val="18"/>
          <w:color w:val="auto"/>
        </w:rPr>
        <w:t>3 -  Insider Trading Policy</w:t>
      </w:r>
    </w:p>
    <w:p>
      <w:pPr>
        <w:spacing w:after="0" w:line="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05/03/23</w:t>
      </w:r>
    </w:p>
    <w:p>
      <w:pPr>
        <w:sectPr>
          <w:pgSz w:w="11900" w:h="16838" w:orient="portrait"/>
          <w:cols w:equalWidth="0" w:num="1">
            <w:col w:w="11240"/>
          </w:cols>
          <w:pgMar w:left="320" w:top="1410" w:right="339" w:bottom="1440" w:gutter="0" w:footer="0" w:header="0"/>
        </w:sectPr>
      </w:pPr>
    </w:p>
    <w:bookmarkStart w:id="508" w:name="page509"/>
    <w:bookmarkEnd w:id="508"/>
    <w:p>
      <w:pPr>
        <w:ind w:left="960" w:hanging="311"/>
        <w:spacing w:after="0"/>
        <w:tabs>
          <w:tab w:leader="none" w:pos="960" w:val="left"/>
        </w:tabs>
        <w:numPr>
          <w:ilvl w:val="0"/>
          <w:numId w:val="403"/>
        </w:numPr>
        <w:rPr>
          <w:rFonts w:ascii="Arial" w:cs="Arial" w:eastAsia="Arial" w:hAnsi="Arial"/>
          <w:sz w:val="21"/>
          <w:szCs w:val="21"/>
          <w:color w:val="231F20"/>
        </w:rPr>
      </w:pPr>
      <w:r>
        <w:rPr>
          <w:rFonts w:ascii="Arial" w:cs="Arial" w:eastAsia="Arial" w:hAnsi="Arial"/>
          <w:sz w:val="21"/>
          <w:szCs w:val="21"/>
          <w:color w:val="231F20"/>
        </w:rPr>
        <w:t>The establishment of a repurchase program for Company Securities;</w:t>
      </w:r>
    </w:p>
    <w:p>
      <w:pPr>
        <w:spacing w:after="0" w:line="253" w:lineRule="exact"/>
        <w:rPr>
          <w:rFonts w:ascii="Arial" w:cs="Arial" w:eastAsia="Arial" w:hAnsi="Arial"/>
          <w:sz w:val="21"/>
          <w:szCs w:val="21"/>
          <w:color w:val="231F20"/>
        </w:rPr>
      </w:pPr>
    </w:p>
    <w:p>
      <w:pPr>
        <w:ind w:left="960" w:hanging="311"/>
        <w:spacing w:after="0"/>
        <w:tabs>
          <w:tab w:leader="none" w:pos="960" w:val="left"/>
        </w:tabs>
        <w:numPr>
          <w:ilvl w:val="0"/>
          <w:numId w:val="403"/>
        </w:numPr>
        <w:rPr>
          <w:rFonts w:ascii="Arial" w:cs="Arial" w:eastAsia="Arial" w:hAnsi="Arial"/>
          <w:sz w:val="21"/>
          <w:szCs w:val="21"/>
          <w:color w:val="231F20"/>
        </w:rPr>
      </w:pPr>
      <w:r>
        <w:rPr>
          <w:rFonts w:ascii="Arial" w:cs="Arial" w:eastAsia="Arial" w:hAnsi="Arial"/>
          <w:sz w:val="21"/>
          <w:szCs w:val="21"/>
          <w:color w:val="231F20"/>
        </w:rPr>
        <w:t>Significant regulatory developments;</w:t>
      </w:r>
    </w:p>
    <w:p>
      <w:pPr>
        <w:spacing w:after="0" w:line="253" w:lineRule="exact"/>
        <w:rPr>
          <w:rFonts w:ascii="Arial" w:cs="Arial" w:eastAsia="Arial" w:hAnsi="Arial"/>
          <w:sz w:val="21"/>
          <w:szCs w:val="21"/>
          <w:color w:val="231F20"/>
        </w:rPr>
      </w:pPr>
    </w:p>
    <w:p>
      <w:pPr>
        <w:ind w:left="940" w:hanging="291"/>
        <w:spacing w:after="0"/>
        <w:tabs>
          <w:tab w:leader="none" w:pos="940" w:val="left"/>
        </w:tabs>
        <w:numPr>
          <w:ilvl w:val="0"/>
          <w:numId w:val="403"/>
        </w:numPr>
        <w:rPr>
          <w:rFonts w:ascii="Arial" w:cs="Arial" w:eastAsia="Arial" w:hAnsi="Arial"/>
          <w:sz w:val="21"/>
          <w:szCs w:val="21"/>
          <w:color w:val="231F20"/>
        </w:rPr>
      </w:pPr>
      <w:r>
        <w:rPr>
          <w:rFonts w:ascii="Arial" w:cs="Arial" w:eastAsia="Arial" w:hAnsi="Arial"/>
          <w:sz w:val="21"/>
          <w:szCs w:val="21"/>
          <w:color w:val="231F20"/>
        </w:rPr>
        <w:t>A significant problem with any aspect of the Company’s business;</w:t>
      </w:r>
    </w:p>
    <w:p>
      <w:pPr>
        <w:spacing w:after="0" w:line="266" w:lineRule="exact"/>
        <w:rPr>
          <w:rFonts w:ascii="Arial" w:cs="Arial" w:eastAsia="Arial" w:hAnsi="Arial"/>
          <w:sz w:val="21"/>
          <w:szCs w:val="21"/>
          <w:color w:val="231F20"/>
        </w:rPr>
      </w:pPr>
    </w:p>
    <w:p>
      <w:pPr>
        <w:ind w:left="940" w:hanging="291"/>
        <w:spacing w:after="0"/>
        <w:tabs>
          <w:tab w:leader="none" w:pos="940" w:val="left"/>
        </w:tabs>
        <w:numPr>
          <w:ilvl w:val="0"/>
          <w:numId w:val="403"/>
        </w:numPr>
        <w:rPr>
          <w:rFonts w:ascii="Arial" w:cs="Arial" w:eastAsia="Arial" w:hAnsi="Arial"/>
          <w:sz w:val="21"/>
          <w:szCs w:val="21"/>
          <w:color w:val="231F20"/>
        </w:rPr>
      </w:pPr>
      <w:r>
        <w:rPr>
          <w:rFonts w:ascii="Arial" w:cs="Arial" w:eastAsia="Arial" w:hAnsi="Arial"/>
          <w:sz w:val="21"/>
          <w:szCs w:val="21"/>
          <w:color w:val="231F20"/>
        </w:rPr>
        <w:t>A significant change in management;</w:t>
      </w:r>
    </w:p>
    <w:p>
      <w:pPr>
        <w:spacing w:after="0" w:line="253" w:lineRule="exact"/>
        <w:rPr>
          <w:rFonts w:ascii="Arial" w:cs="Arial" w:eastAsia="Arial" w:hAnsi="Arial"/>
          <w:sz w:val="21"/>
          <w:szCs w:val="21"/>
          <w:color w:val="231F20"/>
        </w:rPr>
      </w:pPr>
    </w:p>
    <w:p>
      <w:pPr>
        <w:ind w:left="960" w:hanging="311"/>
        <w:spacing w:after="0"/>
        <w:tabs>
          <w:tab w:leader="none" w:pos="960" w:val="left"/>
        </w:tabs>
        <w:numPr>
          <w:ilvl w:val="0"/>
          <w:numId w:val="403"/>
        </w:numPr>
        <w:rPr>
          <w:rFonts w:ascii="Arial" w:cs="Arial" w:eastAsia="Arial" w:hAnsi="Arial"/>
          <w:sz w:val="21"/>
          <w:szCs w:val="21"/>
          <w:color w:val="auto"/>
        </w:rPr>
      </w:pPr>
      <w:r>
        <w:rPr>
          <w:rFonts w:ascii="Arial" w:cs="Arial" w:eastAsia="Arial" w:hAnsi="Arial"/>
          <w:sz w:val="21"/>
          <w:szCs w:val="21"/>
          <w:color w:val="auto"/>
        </w:rPr>
        <w:t>Significant increases or decreases in the amount of outstanding Company Securities or indebtedness;</w:t>
      </w:r>
    </w:p>
    <w:p>
      <w:pPr>
        <w:spacing w:after="0" w:line="253" w:lineRule="exact"/>
        <w:rPr>
          <w:rFonts w:ascii="Arial" w:cs="Arial" w:eastAsia="Arial" w:hAnsi="Arial"/>
          <w:sz w:val="21"/>
          <w:szCs w:val="21"/>
          <w:color w:val="auto"/>
        </w:rPr>
      </w:pPr>
    </w:p>
    <w:p>
      <w:pPr>
        <w:ind w:left="960" w:hanging="311"/>
        <w:spacing w:after="0"/>
        <w:tabs>
          <w:tab w:leader="none" w:pos="960" w:val="left"/>
        </w:tabs>
        <w:numPr>
          <w:ilvl w:val="0"/>
          <w:numId w:val="403"/>
        </w:numPr>
        <w:rPr>
          <w:rFonts w:ascii="Arial" w:cs="Arial" w:eastAsia="Arial" w:hAnsi="Arial"/>
          <w:sz w:val="21"/>
          <w:szCs w:val="21"/>
          <w:color w:val="auto"/>
        </w:rPr>
      </w:pPr>
      <w:r>
        <w:rPr>
          <w:rFonts w:ascii="Arial" w:cs="Arial" w:eastAsia="Arial" w:hAnsi="Arial"/>
          <w:sz w:val="21"/>
          <w:szCs w:val="21"/>
          <w:color w:val="auto"/>
        </w:rPr>
        <w:t>A default or anticipated default under debt instruments or important contracts;</w:t>
      </w:r>
    </w:p>
    <w:p>
      <w:pPr>
        <w:spacing w:after="0" w:line="253" w:lineRule="exact"/>
        <w:rPr>
          <w:rFonts w:ascii="Arial" w:cs="Arial" w:eastAsia="Arial" w:hAnsi="Arial"/>
          <w:sz w:val="21"/>
          <w:szCs w:val="21"/>
          <w:color w:val="auto"/>
        </w:rPr>
      </w:pPr>
    </w:p>
    <w:p>
      <w:pPr>
        <w:ind w:left="960" w:hanging="311"/>
        <w:spacing w:after="0"/>
        <w:tabs>
          <w:tab w:leader="none" w:pos="960" w:val="left"/>
        </w:tabs>
        <w:numPr>
          <w:ilvl w:val="0"/>
          <w:numId w:val="403"/>
        </w:numPr>
        <w:rPr>
          <w:rFonts w:ascii="Arial" w:cs="Arial" w:eastAsia="Arial" w:hAnsi="Arial"/>
          <w:sz w:val="21"/>
          <w:szCs w:val="21"/>
          <w:color w:val="auto"/>
        </w:rPr>
      </w:pPr>
      <w:r>
        <w:rPr>
          <w:rFonts w:ascii="Arial" w:cs="Arial" w:eastAsia="Arial" w:hAnsi="Arial"/>
          <w:sz w:val="21"/>
          <w:szCs w:val="21"/>
          <w:color w:val="auto"/>
        </w:rPr>
        <w:t>Write-ups or write downs of Company assets or changes in accounting methods;</w:t>
      </w:r>
    </w:p>
    <w:p>
      <w:pPr>
        <w:spacing w:after="0" w:line="253" w:lineRule="exact"/>
        <w:rPr>
          <w:rFonts w:ascii="Arial" w:cs="Arial" w:eastAsia="Arial" w:hAnsi="Arial"/>
          <w:sz w:val="21"/>
          <w:szCs w:val="21"/>
          <w:color w:val="auto"/>
        </w:rPr>
      </w:pPr>
    </w:p>
    <w:p>
      <w:pPr>
        <w:ind w:left="940" w:hanging="291"/>
        <w:spacing w:after="0"/>
        <w:tabs>
          <w:tab w:leader="none" w:pos="940" w:val="left"/>
        </w:tabs>
        <w:numPr>
          <w:ilvl w:val="0"/>
          <w:numId w:val="403"/>
        </w:numPr>
        <w:rPr>
          <w:rFonts w:ascii="Arial" w:cs="Arial" w:eastAsia="Arial" w:hAnsi="Arial"/>
          <w:sz w:val="21"/>
          <w:szCs w:val="21"/>
          <w:color w:val="231F20"/>
        </w:rPr>
      </w:pPr>
      <w:r>
        <w:rPr>
          <w:rFonts w:ascii="Arial" w:cs="Arial" w:eastAsia="Arial" w:hAnsi="Arial"/>
          <w:sz w:val="21"/>
          <w:szCs w:val="21"/>
          <w:color w:val="231F20"/>
        </w:rPr>
        <w:t>A change in auditors or notification that the auditor’s reports may no longer be relied upon;</w:t>
      </w:r>
    </w:p>
    <w:p>
      <w:pPr>
        <w:spacing w:after="0" w:line="266" w:lineRule="exact"/>
        <w:rPr>
          <w:rFonts w:ascii="Arial" w:cs="Arial" w:eastAsia="Arial" w:hAnsi="Arial"/>
          <w:sz w:val="21"/>
          <w:szCs w:val="21"/>
          <w:color w:val="231F20"/>
        </w:rPr>
      </w:pPr>
    </w:p>
    <w:p>
      <w:pPr>
        <w:ind w:left="960" w:hanging="311"/>
        <w:spacing w:after="0"/>
        <w:tabs>
          <w:tab w:leader="none" w:pos="960" w:val="left"/>
        </w:tabs>
        <w:numPr>
          <w:ilvl w:val="0"/>
          <w:numId w:val="403"/>
        </w:numPr>
        <w:rPr>
          <w:rFonts w:ascii="Arial" w:cs="Arial" w:eastAsia="Arial" w:hAnsi="Arial"/>
          <w:sz w:val="21"/>
          <w:szCs w:val="21"/>
          <w:color w:val="231F20"/>
        </w:rPr>
      </w:pPr>
      <w:r>
        <w:rPr>
          <w:rFonts w:ascii="Arial" w:cs="Arial" w:eastAsia="Arial" w:hAnsi="Arial"/>
          <w:sz w:val="21"/>
          <w:szCs w:val="21"/>
          <w:color w:val="auto"/>
        </w:rPr>
        <w:t>A significant change in sales patterns or supply;</w:t>
      </w:r>
    </w:p>
    <w:p>
      <w:pPr>
        <w:spacing w:after="0" w:line="253" w:lineRule="exact"/>
        <w:rPr>
          <w:rFonts w:ascii="Arial" w:cs="Arial" w:eastAsia="Arial" w:hAnsi="Arial"/>
          <w:sz w:val="21"/>
          <w:szCs w:val="21"/>
          <w:color w:val="231F20"/>
        </w:rPr>
      </w:pPr>
    </w:p>
    <w:p>
      <w:pPr>
        <w:ind w:left="960" w:hanging="311"/>
        <w:spacing w:after="0"/>
        <w:tabs>
          <w:tab w:leader="none" w:pos="960" w:val="left"/>
        </w:tabs>
        <w:numPr>
          <w:ilvl w:val="0"/>
          <w:numId w:val="403"/>
        </w:numPr>
        <w:rPr>
          <w:rFonts w:ascii="Arial" w:cs="Arial" w:eastAsia="Arial" w:hAnsi="Arial"/>
          <w:sz w:val="21"/>
          <w:szCs w:val="21"/>
          <w:color w:val="231F20"/>
        </w:rPr>
      </w:pPr>
      <w:r>
        <w:rPr>
          <w:rFonts w:ascii="Arial" w:cs="Arial" w:eastAsia="Arial" w:hAnsi="Arial"/>
          <w:sz w:val="21"/>
          <w:szCs w:val="21"/>
          <w:color w:val="231F20"/>
        </w:rPr>
        <w:t>Development of a significant new product, process, or service;</w:t>
      </w:r>
    </w:p>
    <w:p>
      <w:pPr>
        <w:spacing w:after="0" w:line="253" w:lineRule="exact"/>
        <w:rPr>
          <w:rFonts w:ascii="Arial" w:cs="Arial" w:eastAsia="Arial" w:hAnsi="Arial"/>
          <w:sz w:val="21"/>
          <w:szCs w:val="21"/>
          <w:color w:val="231F20"/>
        </w:rPr>
      </w:pPr>
    </w:p>
    <w:p>
      <w:pPr>
        <w:ind w:left="960" w:hanging="311"/>
        <w:spacing w:after="0"/>
        <w:tabs>
          <w:tab w:leader="none" w:pos="960" w:val="left"/>
        </w:tabs>
        <w:numPr>
          <w:ilvl w:val="0"/>
          <w:numId w:val="403"/>
        </w:numPr>
        <w:rPr>
          <w:rFonts w:ascii="Arial" w:cs="Arial" w:eastAsia="Arial" w:hAnsi="Arial"/>
          <w:sz w:val="21"/>
          <w:szCs w:val="21"/>
          <w:color w:val="231F20"/>
        </w:rPr>
      </w:pPr>
      <w:r>
        <w:rPr>
          <w:rFonts w:ascii="Arial" w:cs="Arial" w:eastAsia="Arial" w:hAnsi="Arial"/>
          <w:sz w:val="21"/>
          <w:szCs w:val="21"/>
          <w:color w:val="231F20"/>
        </w:rPr>
        <w:t>Pending or threatened significant litigation, or the resolution of such litigation;</w:t>
      </w:r>
    </w:p>
    <w:p>
      <w:pPr>
        <w:spacing w:after="0" w:line="253" w:lineRule="exact"/>
        <w:rPr>
          <w:rFonts w:ascii="Arial" w:cs="Arial" w:eastAsia="Arial" w:hAnsi="Arial"/>
          <w:sz w:val="21"/>
          <w:szCs w:val="21"/>
          <w:color w:val="231F20"/>
        </w:rPr>
      </w:pPr>
    </w:p>
    <w:p>
      <w:pPr>
        <w:ind w:left="960" w:hanging="311"/>
        <w:spacing w:after="0"/>
        <w:tabs>
          <w:tab w:leader="none" w:pos="960" w:val="left"/>
        </w:tabs>
        <w:numPr>
          <w:ilvl w:val="0"/>
          <w:numId w:val="403"/>
        </w:numPr>
        <w:rPr>
          <w:rFonts w:ascii="Arial" w:cs="Arial" w:eastAsia="Arial" w:hAnsi="Arial"/>
          <w:sz w:val="21"/>
          <w:szCs w:val="21"/>
          <w:color w:val="231F20"/>
        </w:rPr>
      </w:pPr>
      <w:r>
        <w:rPr>
          <w:rFonts w:ascii="Arial" w:cs="Arial" w:eastAsia="Arial" w:hAnsi="Arial"/>
          <w:sz w:val="21"/>
          <w:szCs w:val="21"/>
          <w:color w:val="231F20"/>
        </w:rPr>
        <w:t>Impending bankruptcy or the existence of severe liquidity problems;</w:t>
      </w:r>
    </w:p>
    <w:p>
      <w:pPr>
        <w:spacing w:after="0" w:line="253" w:lineRule="exact"/>
        <w:rPr>
          <w:rFonts w:ascii="Arial" w:cs="Arial" w:eastAsia="Arial" w:hAnsi="Arial"/>
          <w:sz w:val="21"/>
          <w:szCs w:val="21"/>
          <w:color w:val="231F20"/>
        </w:rPr>
      </w:pPr>
    </w:p>
    <w:p>
      <w:pPr>
        <w:ind w:left="960" w:hanging="311"/>
        <w:spacing w:after="0"/>
        <w:tabs>
          <w:tab w:leader="none" w:pos="960" w:val="left"/>
        </w:tabs>
        <w:numPr>
          <w:ilvl w:val="0"/>
          <w:numId w:val="403"/>
        </w:numPr>
        <w:rPr>
          <w:rFonts w:ascii="Arial" w:cs="Arial" w:eastAsia="Arial" w:hAnsi="Arial"/>
          <w:sz w:val="21"/>
          <w:szCs w:val="21"/>
          <w:color w:val="231F20"/>
        </w:rPr>
      </w:pPr>
      <w:r>
        <w:rPr>
          <w:rFonts w:ascii="Arial" w:cs="Arial" w:eastAsia="Arial" w:hAnsi="Arial"/>
          <w:sz w:val="21"/>
          <w:szCs w:val="21"/>
          <w:color w:val="231F20"/>
        </w:rPr>
        <w:t>The imposition of a ban on trading in Company Securities; and</w:t>
      </w:r>
    </w:p>
    <w:p>
      <w:pPr>
        <w:spacing w:after="0" w:line="253" w:lineRule="exact"/>
        <w:rPr>
          <w:rFonts w:ascii="Arial" w:cs="Arial" w:eastAsia="Arial" w:hAnsi="Arial"/>
          <w:sz w:val="21"/>
          <w:szCs w:val="21"/>
          <w:color w:val="231F20"/>
        </w:rPr>
      </w:pPr>
    </w:p>
    <w:p>
      <w:pPr>
        <w:ind w:left="960" w:hanging="311"/>
        <w:spacing w:after="0"/>
        <w:tabs>
          <w:tab w:leader="none" w:pos="960" w:val="left"/>
        </w:tabs>
        <w:numPr>
          <w:ilvl w:val="0"/>
          <w:numId w:val="403"/>
        </w:numPr>
        <w:rPr>
          <w:rFonts w:ascii="Arial" w:cs="Arial" w:eastAsia="Arial" w:hAnsi="Arial"/>
          <w:sz w:val="21"/>
          <w:szCs w:val="21"/>
          <w:color w:val="231F20"/>
        </w:rPr>
      </w:pPr>
      <w:r>
        <w:rPr>
          <w:rFonts w:ascii="Arial" w:cs="Arial" w:eastAsia="Arial" w:hAnsi="Arial"/>
          <w:sz w:val="21"/>
          <w:szCs w:val="21"/>
          <w:color w:val="231F20"/>
        </w:rPr>
        <w:t>The occurrence of a significant cyber security incident.</w:t>
      </w:r>
    </w:p>
    <w:p>
      <w:pPr>
        <w:spacing w:after="0" w:line="374" w:lineRule="exact"/>
        <w:rPr>
          <w:sz w:val="20"/>
          <w:szCs w:val="20"/>
          <w:color w:val="auto"/>
        </w:rPr>
      </w:pPr>
    </w:p>
    <w:p>
      <w:pPr>
        <w:jc w:val="both"/>
        <w:spacing w:after="0" w:line="261" w:lineRule="auto"/>
        <w:rPr>
          <w:sz w:val="20"/>
          <w:szCs w:val="20"/>
          <w:color w:val="auto"/>
        </w:rPr>
      </w:pPr>
      <w:r>
        <w:rPr>
          <w:rFonts w:ascii="Arial" w:cs="Arial" w:eastAsia="Arial" w:hAnsi="Arial"/>
          <w:sz w:val="21"/>
          <w:szCs w:val="21"/>
          <w:i w:val="1"/>
          <w:iCs w:val="1"/>
          <w:u w:val="single" w:color="auto"/>
          <w:color w:val="231F20"/>
        </w:rPr>
        <w:t>When Information is Considered Public</w:t>
      </w:r>
      <w:r>
        <w:rPr>
          <w:rFonts w:ascii="Arial" w:cs="Arial" w:eastAsia="Arial" w:hAnsi="Arial"/>
          <w:sz w:val="21"/>
          <w:szCs w:val="21"/>
          <w:color w:val="231F20"/>
        </w:rPr>
        <w:t>. Information that has not been disclosed to the public is generally considered</w:t>
      </w:r>
      <w:r>
        <w:rPr>
          <w:rFonts w:ascii="Arial" w:cs="Arial" w:eastAsia="Arial" w:hAnsi="Arial"/>
          <w:sz w:val="21"/>
          <w:szCs w:val="21"/>
          <w:i w:val="1"/>
          <w:iCs w:val="1"/>
          <w:color w:val="231F20"/>
        </w:rPr>
        <w:t xml:space="preserve"> </w:t>
      </w:r>
      <w:r>
        <w:rPr>
          <w:rFonts w:ascii="Arial" w:cs="Arial" w:eastAsia="Arial" w:hAnsi="Arial"/>
          <w:sz w:val="21"/>
          <w:szCs w:val="21"/>
          <w:color w:val="231F20"/>
        </w:rPr>
        <w:t>to be nonpublic information. In order to establish that the information has been disclosed to the public, it may be necessary to demonstrate that the information has been widely disseminated. Information generally would be considered widely disseminated if it has been disclosed through the newswire services, on the Company’s website, or public disclosure documents filed with the U.S. Securities and Exchange Commission (“SEC”). By contrast, information would likely not be considered widely disseminated if it is available only to the Company’s employees, or if it is only available to a select group of analysts, brokers, and institutional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19"/>
        <w:spacing w:after="0"/>
        <w:tabs>
          <w:tab w:leader="none" w:pos="180" w:val="left"/>
        </w:tabs>
        <w:rPr>
          <w:sz w:val="20"/>
          <w:szCs w:val="20"/>
          <w:color w:val="auto"/>
        </w:rPr>
      </w:pPr>
      <w:r>
        <w:rPr>
          <w:rFonts w:ascii="Arial" w:cs="Arial" w:eastAsia="Arial" w:hAnsi="Arial"/>
          <w:sz w:val="18"/>
          <w:szCs w:val="18"/>
          <w:color w:val="auto"/>
        </w:rPr>
        <w:t>- 4 -</w:t>
      </w:r>
      <w:r>
        <w:rPr>
          <w:sz w:val="20"/>
          <w:szCs w:val="20"/>
          <w:color w:val="auto"/>
        </w:rPr>
        <w:tab/>
      </w:r>
      <w:r>
        <w:rPr>
          <w:rFonts w:ascii="Arial" w:cs="Arial" w:eastAsia="Arial" w:hAnsi="Arial"/>
          <w:sz w:val="17"/>
          <w:szCs w:val="17"/>
          <w:color w:val="auto"/>
        </w:rPr>
        <w:t>Insider Trading Policy</w:t>
      </w:r>
    </w:p>
    <w:p>
      <w:pPr>
        <w:spacing w:after="0" w:line="5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05/03/23</w:t>
      </w:r>
    </w:p>
    <w:p>
      <w:pPr>
        <w:sectPr>
          <w:pgSz w:w="11900" w:h="16838" w:orient="portrait"/>
          <w:cols w:equalWidth="0" w:num="1">
            <w:col w:w="11240"/>
          </w:cols>
          <w:pgMar w:left="320" w:top="1410" w:right="339" w:bottom="1440" w:gutter="0" w:footer="0" w:header="0"/>
        </w:sectPr>
      </w:pPr>
    </w:p>
    <w:bookmarkStart w:id="509" w:name="page510"/>
    <w:bookmarkEnd w:id="509"/>
    <w:p>
      <w:pPr>
        <w:jc w:val="both"/>
        <w:spacing w:after="0" w:line="248" w:lineRule="auto"/>
        <w:rPr>
          <w:sz w:val="20"/>
          <w:szCs w:val="20"/>
          <w:color w:val="auto"/>
        </w:rPr>
      </w:pPr>
      <w:r>
        <w:rPr>
          <w:rFonts w:ascii="Arial" w:cs="Arial" w:eastAsia="Arial" w:hAnsi="Arial"/>
          <w:sz w:val="21"/>
          <w:szCs w:val="21"/>
          <w:color w:val="231F20"/>
        </w:rPr>
        <w:t>Once information is widely disseminated, it is still necessary to afford the investing public with sufficient time to absorb the information. As a general rule, information should not be considered fully absorbed by the marketplace until the open of market on the second (2</w:t>
      </w:r>
      <w:r>
        <w:rPr>
          <w:rFonts w:ascii="Arial" w:cs="Arial" w:eastAsia="Arial" w:hAnsi="Arial"/>
          <w:sz w:val="27"/>
          <w:szCs w:val="27"/>
          <w:color w:val="231F20"/>
          <w:vertAlign w:val="superscript"/>
        </w:rPr>
        <w:t>nd</w:t>
      </w:r>
      <w:r>
        <w:rPr>
          <w:rFonts w:ascii="Arial" w:cs="Arial" w:eastAsia="Arial" w:hAnsi="Arial"/>
          <w:sz w:val="21"/>
          <w:szCs w:val="21"/>
          <w:color w:val="231F20"/>
        </w:rPr>
        <w:t>) business day after the day on which the information is released. If, for example, the Company were to make an announcement on a Monday, you should not trade in Company common stock until the open of market on Wednesday. Depending on the particular circumstances, the Company may determine that a longer or shorter period should apply to the release of specific material nonpublic information.</w:t>
      </w: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21"/>
          <w:szCs w:val="21"/>
          <w:i w:val="1"/>
          <w:iCs w:val="1"/>
          <w:u w:val="single" w:color="auto"/>
          <w:color w:val="231F20"/>
        </w:rPr>
        <w:t>Inadvertent Disclosure</w:t>
      </w:r>
      <w:r>
        <w:rPr>
          <w:rFonts w:ascii="Arial" w:cs="Arial" w:eastAsia="Arial" w:hAnsi="Arial"/>
          <w:sz w:val="21"/>
          <w:szCs w:val="21"/>
          <w:i w:val="1"/>
          <w:iCs w:val="1"/>
          <w:color w:val="231F20"/>
        </w:rPr>
        <w:t xml:space="preserve">. </w:t>
      </w:r>
      <w:r>
        <w:rPr>
          <w:rFonts w:ascii="Arial" w:cs="Arial" w:eastAsia="Arial" w:hAnsi="Arial"/>
          <w:sz w:val="21"/>
          <w:szCs w:val="21"/>
          <w:color w:val="000000"/>
        </w:rPr>
        <w:t>If material nonpublic information is inadvertently disclosed by any employee, officer, or director</w:t>
      </w:r>
      <w:r>
        <w:rPr>
          <w:rFonts w:ascii="Arial" w:cs="Arial" w:eastAsia="Arial" w:hAnsi="Arial"/>
          <w:sz w:val="21"/>
          <w:szCs w:val="21"/>
          <w:i w:val="1"/>
          <w:iCs w:val="1"/>
          <w:color w:val="231F20"/>
        </w:rPr>
        <w:t xml:space="preserve"> </w:t>
      </w:r>
      <w:r>
        <w:rPr>
          <w:rFonts w:ascii="Arial" w:cs="Arial" w:eastAsia="Arial" w:hAnsi="Arial"/>
          <w:sz w:val="21"/>
          <w:szCs w:val="21"/>
          <w:color w:val="000000"/>
        </w:rPr>
        <w:t>of the Company (or by any other person in possession of material nonpublic information) to a person outside the Company who is not obligated to keep the information confidential, you should immediately report all the facts to the Company’s General Counsel or Corporate Secretary so that the Company may take appropriate remedial action. Under the rules of the SEC, the Company generally only has 24 hours after learning of an inadvertent disclosure of material nonpublic information to publicly disclose such information.</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21"/>
          <w:szCs w:val="21"/>
          <w:i w:val="1"/>
          <w:iCs w:val="1"/>
          <w:u w:val="single" w:color="auto"/>
          <w:color w:val="auto"/>
        </w:rPr>
        <w:t>Confidentiality Guidelines</w:t>
      </w:r>
      <w:r>
        <w:rPr>
          <w:rFonts w:ascii="Arial" w:cs="Arial" w:eastAsia="Arial" w:hAnsi="Arial"/>
          <w:sz w:val="21"/>
          <w:szCs w:val="21"/>
          <w:i w:val="1"/>
          <w:iCs w:val="1"/>
          <w:color w:val="auto"/>
        </w:rPr>
        <w:t xml:space="preserve">. </w:t>
      </w:r>
      <w:r>
        <w:rPr>
          <w:rFonts w:ascii="Arial" w:cs="Arial" w:eastAsia="Arial" w:hAnsi="Arial"/>
          <w:sz w:val="21"/>
          <w:szCs w:val="21"/>
          <w:color w:val="auto"/>
        </w:rPr>
        <w:t>To provide more effective protection against the inadvertent disclosure of material nonpublic</w:t>
      </w:r>
      <w:r>
        <w:rPr>
          <w:rFonts w:ascii="Arial" w:cs="Arial" w:eastAsia="Arial" w:hAnsi="Arial"/>
          <w:sz w:val="21"/>
          <w:szCs w:val="21"/>
          <w:i w:val="1"/>
          <w:iCs w:val="1"/>
          <w:color w:val="auto"/>
        </w:rPr>
        <w:t xml:space="preserve"> </w:t>
      </w:r>
      <w:r>
        <w:rPr>
          <w:rFonts w:ascii="Arial" w:cs="Arial" w:eastAsia="Arial" w:hAnsi="Arial"/>
          <w:sz w:val="21"/>
          <w:szCs w:val="21"/>
          <w:color w:val="auto"/>
        </w:rPr>
        <w:t>information about the Company, its subsidiaries, or the companies with which they do business, the Company has adopted the following confidentiality guidelines. These guidelines are not intended to be exhaustive. Additional measures to secure the confidentiality of information should be undertaken as deemed necessary under the circumstances. If you have any doubt as to your responsibilities with respect to confidential information, please seek clarification and guidance from the Trading Administrator before you act. Do not try to resolve any uncertainties on your own.</w:t>
      </w:r>
    </w:p>
    <w:p>
      <w:pPr>
        <w:spacing w:after="0" w:line="200" w:lineRule="exact"/>
        <w:rPr>
          <w:sz w:val="20"/>
          <w:szCs w:val="20"/>
          <w:color w:val="auto"/>
        </w:rPr>
      </w:pPr>
    </w:p>
    <w:p>
      <w:pPr>
        <w:spacing w:after="0" w:line="264" w:lineRule="exact"/>
        <w:rPr>
          <w:sz w:val="20"/>
          <w:szCs w:val="20"/>
          <w:color w:val="auto"/>
        </w:rPr>
      </w:pPr>
    </w:p>
    <w:p>
      <w:pPr>
        <w:jc w:val="both"/>
        <w:spacing w:after="0" w:line="272" w:lineRule="auto"/>
        <w:rPr>
          <w:sz w:val="20"/>
          <w:szCs w:val="20"/>
          <w:color w:val="auto"/>
        </w:rPr>
      </w:pPr>
      <w:r>
        <w:rPr>
          <w:rFonts w:ascii="Arial" w:cs="Arial" w:eastAsia="Arial" w:hAnsi="Arial"/>
          <w:sz w:val="21"/>
          <w:szCs w:val="21"/>
          <w:color w:val="auto"/>
        </w:rPr>
        <w:t>The following guidelines establish procedures with which every employee, officer, and director of the Company (or any other person in possession of material nonpublic information) should comply to maximize the security of confidential information:</w:t>
      </w:r>
    </w:p>
    <w:p>
      <w:pPr>
        <w:spacing w:after="0" w:line="182" w:lineRule="exact"/>
        <w:rPr>
          <w:sz w:val="20"/>
          <w:szCs w:val="20"/>
          <w:color w:val="auto"/>
        </w:rPr>
      </w:pPr>
    </w:p>
    <w:p>
      <w:pPr>
        <w:ind w:left="980" w:right="560" w:hanging="331"/>
        <w:spacing w:after="0" w:line="292" w:lineRule="auto"/>
        <w:tabs>
          <w:tab w:leader="none" w:pos="1119" w:val="left"/>
        </w:tabs>
        <w:numPr>
          <w:ilvl w:val="0"/>
          <w:numId w:val="404"/>
        </w:numPr>
        <w:rPr>
          <w:rFonts w:ascii="Arial" w:cs="Arial" w:eastAsia="Arial" w:hAnsi="Arial"/>
          <w:sz w:val="21"/>
          <w:szCs w:val="21"/>
          <w:color w:val="auto"/>
        </w:rPr>
      </w:pPr>
      <w:r>
        <w:rPr>
          <w:rFonts w:ascii="Arial" w:cs="Arial" w:eastAsia="Arial" w:hAnsi="Arial"/>
          <w:sz w:val="21"/>
          <w:szCs w:val="21"/>
          <w:color w:val="231F20"/>
        </w:rPr>
        <w:t xml:space="preserve">Do </w:t>
      </w:r>
      <w:r>
        <w:rPr>
          <w:rFonts w:ascii="Arial" w:cs="Arial" w:eastAsia="Arial" w:hAnsi="Arial"/>
          <w:sz w:val="21"/>
          <w:szCs w:val="21"/>
          <w:color w:val="000000"/>
        </w:rPr>
        <w:t>not discuss any Company or subsidiary matter in public places, such as elevators, hallways,</w:t>
      </w:r>
      <w:r>
        <w:rPr>
          <w:rFonts w:ascii="Arial" w:cs="Arial" w:eastAsia="Arial" w:hAnsi="Arial"/>
          <w:sz w:val="21"/>
          <w:szCs w:val="21"/>
          <w:color w:val="231F20"/>
        </w:rPr>
        <w:t xml:space="preserve"> </w:t>
      </w:r>
      <w:r>
        <w:rPr>
          <w:rFonts w:ascii="Arial" w:cs="Arial" w:eastAsia="Arial" w:hAnsi="Arial"/>
          <w:sz w:val="21"/>
          <w:szCs w:val="21"/>
          <w:color w:val="000000"/>
        </w:rPr>
        <w:t>restrooms, or eating facilities, where conversations might be overheard;</w:t>
      </w:r>
    </w:p>
    <w:p>
      <w:pPr>
        <w:spacing w:after="0" w:line="174" w:lineRule="exact"/>
        <w:rPr>
          <w:rFonts w:ascii="Arial" w:cs="Arial" w:eastAsia="Arial" w:hAnsi="Arial"/>
          <w:sz w:val="21"/>
          <w:szCs w:val="21"/>
          <w:color w:val="auto"/>
        </w:rPr>
      </w:pPr>
    </w:p>
    <w:p>
      <w:pPr>
        <w:ind w:left="980" w:right="540" w:hanging="331"/>
        <w:spacing w:after="0" w:line="292" w:lineRule="auto"/>
        <w:tabs>
          <w:tab w:leader="none" w:pos="1025" w:val="left"/>
        </w:tabs>
        <w:numPr>
          <w:ilvl w:val="0"/>
          <w:numId w:val="404"/>
        </w:numPr>
        <w:rPr>
          <w:rFonts w:ascii="Arial" w:cs="Arial" w:eastAsia="Arial" w:hAnsi="Arial"/>
          <w:sz w:val="21"/>
          <w:szCs w:val="21"/>
          <w:color w:val="auto"/>
        </w:rPr>
      </w:pPr>
      <w:r>
        <w:rPr>
          <w:rFonts w:ascii="Arial" w:cs="Arial" w:eastAsia="Arial" w:hAnsi="Arial"/>
          <w:sz w:val="21"/>
          <w:szCs w:val="21"/>
          <w:color w:val="231F20"/>
        </w:rPr>
        <w:t xml:space="preserve">Use robust passwords </w:t>
      </w:r>
      <w:r>
        <w:rPr>
          <w:rFonts w:ascii="Arial" w:cs="Arial" w:eastAsia="Arial" w:hAnsi="Arial"/>
          <w:sz w:val="21"/>
          <w:szCs w:val="21"/>
          <w:color w:val="000000"/>
        </w:rPr>
        <w:t>to restrict access to the information on computers, smart phones, tablets, and</w:t>
      </w:r>
      <w:r>
        <w:rPr>
          <w:rFonts w:ascii="Arial" w:cs="Arial" w:eastAsia="Arial" w:hAnsi="Arial"/>
          <w:sz w:val="21"/>
          <w:szCs w:val="21"/>
          <w:color w:val="231F20"/>
        </w:rPr>
        <w:t xml:space="preserve"> </w:t>
      </w:r>
      <w:r>
        <w:rPr>
          <w:rFonts w:ascii="Arial" w:cs="Arial" w:eastAsia="Arial" w:hAnsi="Arial"/>
          <w:sz w:val="21"/>
          <w:szCs w:val="21"/>
          <w:color w:val="000000"/>
        </w:rPr>
        <w:t>similar devices;</w:t>
      </w:r>
    </w:p>
    <w:p>
      <w:pPr>
        <w:spacing w:after="0" w:line="161" w:lineRule="exact"/>
        <w:rPr>
          <w:rFonts w:ascii="Arial" w:cs="Arial" w:eastAsia="Arial" w:hAnsi="Arial"/>
          <w:sz w:val="21"/>
          <w:szCs w:val="21"/>
          <w:color w:val="auto"/>
        </w:rPr>
      </w:pPr>
    </w:p>
    <w:p>
      <w:pPr>
        <w:ind w:left="980" w:right="540" w:hanging="331"/>
        <w:spacing w:after="0" w:line="292" w:lineRule="auto"/>
        <w:tabs>
          <w:tab w:leader="none" w:pos="1226" w:val="left"/>
        </w:tabs>
        <w:numPr>
          <w:ilvl w:val="0"/>
          <w:numId w:val="404"/>
        </w:numPr>
        <w:rPr>
          <w:rFonts w:ascii="Arial" w:cs="Arial" w:eastAsia="Arial" w:hAnsi="Arial"/>
          <w:sz w:val="21"/>
          <w:szCs w:val="21"/>
          <w:color w:val="auto"/>
        </w:rPr>
      </w:pPr>
      <w:r>
        <w:rPr>
          <w:rFonts w:ascii="Arial" w:cs="Arial" w:eastAsia="Arial" w:hAnsi="Arial"/>
          <w:sz w:val="21"/>
          <w:szCs w:val="21"/>
          <w:color w:val="231F20"/>
        </w:rPr>
        <w:t xml:space="preserve">Limit </w:t>
      </w:r>
      <w:r>
        <w:rPr>
          <w:rFonts w:ascii="Arial" w:cs="Arial" w:eastAsia="Arial" w:hAnsi="Arial"/>
          <w:sz w:val="21"/>
          <w:szCs w:val="21"/>
          <w:color w:val="000000"/>
        </w:rPr>
        <w:t>access to particular physical areas where material nonpublic information is likely to be</w:t>
      </w:r>
      <w:r>
        <w:rPr>
          <w:rFonts w:ascii="Arial" w:cs="Arial" w:eastAsia="Arial" w:hAnsi="Arial"/>
          <w:sz w:val="21"/>
          <w:szCs w:val="21"/>
          <w:color w:val="231F20"/>
        </w:rPr>
        <w:t xml:space="preserve"> </w:t>
      </w:r>
      <w:r>
        <w:rPr>
          <w:rFonts w:ascii="Arial" w:cs="Arial" w:eastAsia="Arial" w:hAnsi="Arial"/>
          <w:sz w:val="21"/>
          <w:szCs w:val="21"/>
          <w:color w:val="000000"/>
        </w:rPr>
        <w:t>documented or discussed; and</w:t>
      </w:r>
    </w:p>
    <w:p>
      <w:pPr>
        <w:spacing w:after="0" w:line="161" w:lineRule="exact"/>
        <w:rPr>
          <w:rFonts w:ascii="Arial" w:cs="Arial" w:eastAsia="Arial" w:hAnsi="Arial"/>
          <w:sz w:val="21"/>
          <w:szCs w:val="21"/>
          <w:color w:val="auto"/>
        </w:rPr>
      </w:pPr>
    </w:p>
    <w:p>
      <w:pPr>
        <w:ind w:left="960" w:hanging="311"/>
        <w:spacing w:after="0"/>
        <w:tabs>
          <w:tab w:leader="none" w:pos="960" w:val="left"/>
        </w:tabs>
        <w:numPr>
          <w:ilvl w:val="0"/>
          <w:numId w:val="404"/>
        </w:numPr>
        <w:rPr>
          <w:rFonts w:ascii="Arial" w:cs="Arial" w:eastAsia="Arial" w:hAnsi="Arial"/>
          <w:sz w:val="21"/>
          <w:szCs w:val="21"/>
          <w:color w:val="auto"/>
        </w:rPr>
      </w:pPr>
      <w:r>
        <w:rPr>
          <w:rFonts w:ascii="Arial" w:cs="Arial" w:eastAsia="Arial" w:hAnsi="Arial"/>
          <w:sz w:val="21"/>
          <w:szCs w:val="21"/>
          <w:color w:val="231F20"/>
        </w:rPr>
        <w:t xml:space="preserve">Maintain </w:t>
      </w:r>
      <w:r>
        <w:rPr>
          <w:rFonts w:ascii="Arial" w:cs="Arial" w:eastAsia="Arial" w:hAnsi="Arial"/>
          <w:sz w:val="21"/>
          <w:szCs w:val="21"/>
          <w:color w:val="000000"/>
        </w:rPr>
        <w:t>records in accordance with the Company’s Document Retention Policy.</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303" w:lineRule="exact"/>
        <w:rPr>
          <w:rFonts w:ascii="Arial" w:cs="Arial" w:eastAsia="Arial" w:hAnsi="Arial"/>
          <w:sz w:val="21"/>
          <w:szCs w:val="21"/>
          <w:color w:val="auto"/>
        </w:rPr>
      </w:pPr>
    </w:p>
    <w:p>
      <w:pPr>
        <w:ind w:left="4720" w:hanging="108"/>
        <w:spacing w:after="0"/>
        <w:tabs>
          <w:tab w:leader="none" w:pos="4720" w:val="left"/>
        </w:tabs>
        <w:numPr>
          <w:ilvl w:val="1"/>
          <w:numId w:val="404"/>
        </w:numPr>
        <w:rPr>
          <w:rFonts w:ascii="Arial" w:cs="Arial" w:eastAsia="Arial" w:hAnsi="Arial"/>
          <w:sz w:val="18"/>
          <w:szCs w:val="18"/>
          <w:color w:val="auto"/>
        </w:rPr>
      </w:pPr>
      <w:r>
        <w:rPr>
          <w:rFonts w:ascii="Arial" w:cs="Arial" w:eastAsia="Arial" w:hAnsi="Arial"/>
          <w:sz w:val="18"/>
          <w:szCs w:val="18"/>
          <w:color w:val="auto"/>
        </w:rPr>
        <w:t>5 -  Insider Trading Policy</w:t>
      </w:r>
    </w:p>
    <w:p>
      <w:pPr>
        <w:spacing w:after="0" w:line="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05/03/23</w:t>
      </w:r>
    </w:p>
    <w:p>
      <w:pPr>
        <w:sectPr>
          <w:pgSz w:w="11900" w:h="16838" w:orient="portrait"/>
          <w:cols w:equalWidth="0" w:num="1">
            <w:col w:w="11240"/>
          </w:cols>
          <w:pgMar w:left="320" w:top="1410" w:right="339" w:bottom="1440" w:gutter="0" w:footer="0" w:header="0"/>
        </w:sectPr>
      </w:pPr>
    </w:p>
    <w:bookmarkStart w:id="510" w:name="page511"/>
    <w:bookmarkEnd w:id="510"/>
    <w:p>
      <w:pPr>
        <w:spacing w:after="0"/>
        <w:rPr>
          <w:sz w:val="20"/>
          <w:szCs w:val="20"/>
          <w:color w:val="auto"/>
        </w:rPr>
      </w:pPr>
      <w:r>
        <w:rPr>
          <w:rFonts w:ascii="Arial" w:cs="Arial" w:eastAsia="Arial" w:hAnsi="Arial"/>
          <w:sz w:val="21"/>
          <w:szCs w:val="21"/>
          <w:b w:val="1"/>
          <w:bCs w:val="1"/>
          <w:color w:val="231F20"/>
        </w:rPr>
        <w:t>Transactions by Family Members and Others</w:t>
      </w:r>
    </w:p>
    <w:p>
      <w:pPr>
        <w:spacing w:after="0" w:line="255"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231F20"/>
        </w:rPr>
        <w:t>This Policy applies to your family members who reside with you (including a spouse, a child, a child away at college, stepchildren, grandchildren, parents, stepparents, grandparents, siblings, and in-laws), anyone else who lives in your household, and any family members who do not live in your household but whose transactions in Company Securities are directed by you or are subject to your influence or control, such as parents or children who consult with you before they trade in Company Securities (collectively referred to as “Family Members”). You are responsible for the transactions of Family Members and therefore should make them aware of the need to confer with you before they trade in Company Securities, and you should treat all such transactions for the purposes of this Policy and applicable securities laws as if the transactions were for your own account. This Policy does not, however, apply to personal securities transactions of Family Members where the purchase or sale decision is made by a third party not controlled by, influenced by, or related to you or your Family Members. For example, this Policy would not apply to purchase or sales pursuant to 10b5-1 Plans, as described below, entered into by your Family Members. However, any such 10b5-1 Plan to be entered into by your Family Members is subject to the preclearance and other requirements described below under “10b5-1 Plans.” Compliance with this Policy, including through use of a 10b5-1 Plan, does not exempt you or your Family Members from Section 16 of the Securities Exchange Act of 1934, as amended (“Exchange Act”), and the disclosure requirements and short-swing profit liability rules of Section 16 of the Exchange Act, to the extent applicable to you and your Family Members, will continue to apply to such transactions.</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color w:val="231F20"/>
        </w:rPr>
        <w:t>Transactions by Entities that You Influence or Control</w:t>
      </w:r>
    </w:p>
    <w:p>
      <w:pPr>
        <w:spacing w:after="0" w:line="255"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231F20"/>
        </w:rPr>
        <w:t>This Policy applies to any entities that you influence or control, including any corporations, partnerships, or trusts (collectively referred to as “Controlled Entities”), and transactions by these Controlled Entities should be treated for the purposes of this Policy and applicable securities laws as if they were for your own account. This Policy does not, however, apply to securities transactions of Controlled Entities where the purchase or sale decision is made by a third party not controlled by, influenced by, or related to you or your Controlled Entities. For example, this Policy would not apply to purchase or sales pursuant to 10b5-1 Plans, as described below, entered into by your Controlled Entities. However, any such 10b5-1 Plan to be entered into by your Controlled Entities is subject to the preclearance and other requirements described below under “10b5-1 Plans.” Compliance with this Policy, including through use of a 10b5-1 Plan, does not exempt you or your Controlled Entities from Section 16 of the Exchange Act, and the disclosure requirements and short-swing profit liability rules of Section 16 of the Exchange Act, to the extent applicable to you and your Controlled Entities, will continue to apply to such transactions.</w:t>
      </w:r>
    </w:p>
    <w:p>
      <w:pPr>
        <w:spacing w:after="0" w:line="194" w:lineRule="exact"/>
        <w:rPr>
          <w:sz w:val="20"/>
          <w:szCs w:val="20"/>
          <w:color w:val="auto"/>
        </w:rPr>
      </w:pPr>
    </w:p>
    <w:p>
      <w:pPr>
        <w:spacing w:after="0"/>
        <w:rPr>
          <w:sz w:val="20"/>
          <w:szCs w:val="20"/>
          <w:color w:val="auto"/>
        </w:rPr>
      </w:pPr>
      <w:r>
        <w:rPr>
          <w:rFonts w:ascii="Arial" w:cs="Arial" w:eastAsia="Arial" w:hAnsi="Arial"/>
          <w:sz w:val="21"/>
          <w:szCs w:val="21"/>
          <w:b w:val="1"/>
          <w:bCs w:val="1"/>
          <w:color w:val="231F20"/>
        </w:rPr>
        <w:t>Transactions under Company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19"/>
        <w:spacing w:after="0"/>
        <w:tabs>
          <w:tab w:leader="none" w:pos="180" w:val="left"/>
        </w:tabs>
        <w:rPr>
          <w:sz w:val="20"/>
          <w:szCs w:val="20"/>
          <w:color w:val="auto"/>
        </w:rPr>
      </w:pPr>
      <w:r>
        <w:rPr>
          <w:rFonts w:ascii="Arial" w:cs="Arial" w:eastAsia="Arial" w:hAnsi="Arial"/>
          <w:sz w:val="18"/>
          <w:szCs w:val="18"/>
          <w:color w:val="auto"/>
        </w:rPr>
        <w:t>- 6 -</w:t>
      </w:r>
      <w:r>
        <w:rPr>
          <w:sz w:val="20"/>
          <w:szCs w:val="20"/>
          <w:color w:val="auto"/>
        </w:rPr>
        <w:tab/>
      </w:r>
      <w:r>
        <w:rPr>
          <w:rFonts w:ascii="Arial" w:cs="Arial" w:eastAsia="Arial" w:hAnsi="Arial"/>
          <w:sz w:val="17"/>
          <w:szCs w:val="17"/>
          <w:color w:val="auto"/>
        </w:rPr>
        <w:t>Insider Trading Policy</w:t>
      </w:r>
    </w:p>
    <w:p>
      <w:pPr>
        <w:spacing w:after="0" w:line="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05/03/23</w:t>
      </w:r>
    </w:p>
    <w:p>
      <w:pPr>
        <w:sectPr>
          <w:pgSz w:w="11900" w:h="16838" w:orient="portrait"/>
          <w:cols w:equalWidth="0" w:num="1">
            <w:col w:w="11240"/>
          </w:cols>
          <w:pgMar w:left="320" w:top="1408" w:right="339" w:bottom="1440" w:gutter="0" w:footer="0" w:header="0"/>
        </w:sectPr>
      </w:pPr>
    </w:p>
    <w:bookmarkStart w:id="511" w:name="page512"/>
    <w:bookmarkEnd w:id="511"/>
    <w:p>
      <w:pPr>
        <w:spacing w:after="0"/>
        <w:rPr>
          <w:sz w:val="20"/>
          <w:szCs w:val="20"/>
          <w:color w:val="auto"/>
        </w:rPr>
      </w:pPr>
      <w:r>
        <w:rPr>
          <w:rFonts w:ascii="Arial" w:cs="Arial" w:eastAsia="Arial" w:hAnsi="Arial"/>
          <w:sz w:val="21"/>
          <w:szCs w:val="21"/>
          <w:color w:val="231F20"/>
        </w:rPr>
        <w:t>This Policy does not apply in the case of the following transactions, except as specifically noted:</w:t>
      </w:r>
    </w:p>
    <w:p>
      <w:pPr>
        <w:spacing w:after="0" w:line="253" w:lineRule="exact"/>
        <w:rPr>
          <w:sz w:val="20"/>
          <w:szCs w:val="20"/>
          <w:color w:val="auto"/>
        </w:rPr>
      </w:pPr>
    </w:p>
    <w:p>
      <w:pPr>
        <w:jc w:val="both"/>
        <w:spacing w:after="0" w:line="263" w:lineRule="auto"/>
        <w:rPr>
          <w:sz w:val="20"/>
          <w:szCs w:val="20"/>
          <w:color w:val="auto"/>
        </w:rPr>
      </w:pPr>
      <w:r>
        <w:rPr>
          <w:rFonts w:ascii="Arial" w:cs="Arial" w:eastAsia="Arial" w:hAnsi="Arial"/>
          <w:sz w:val="21"/>
          <w:szCs w:val="21"/>
          <w:i w:val="1"/>
          <w:iCs w:val="1"/>
          <w:u w:val="single" w:color="auto"/>
          <w:color w:val="231F20"/>
        </w:rPr>
        <w:t>Stock Option Exercises</w:t>
      </w:r>
      <w:r>
        <w:rPr>
          <w:rFonts w:ascii="Arial" w:cs="Arial" w:eastAsia="Arial" w:hAnsi="Arial"/>
          <w:sz w:val="21"/>
          <w:szCs w:val="21"/>
          <w:i w:val="1"/>
          <w:iCs w:val="1"/>
          <w:color w:val="231F20"/>
        </w:rPr>
        <w:t xml:space="preserve">. </w:t>
      </w:r>
      <w:r>
        <w:rPr>
          <w:rFonts w:ascii="Arial" w:cs="Arial" w:eastAsia="Arial" w:hAnsi="Arial"/>
          <w:sz w:val="21"/>
          <w:szCs w:val="21"/>
          <w:color w:val="231F20"/>
        </w:rPr>
        <w:t>This Policy does not apply to the exercise (and holding of the stock received upon such</w:t>
      </w:r>
      <w:r>
        <w:rPr>
          <w:rFonts w:ascii="Arial" w:cs="Arial" w:eastAsia="Arial" w:hAnsi="Arial"/>
          <w:sz w:val="21"/>
          <w:szCs w:val="21"/>
          <w:i w:val="1"/>
          <w:iCs w:val="1"/>
          <w:color w:val="231F20"/>
        </w:rPr>
        <w:t xml:space="preserve"> </w:t>
      </w:r>
      <w:r>
        <w:rPr>
          <w:rFonts w:ascii="Arial" w:cs="Arial" w:eastAsia="Arial" w:hAnsi="Arial"/>
          <w:sz w:val="21"/>
          <w:szCs w:val="21"/>
          <w:color w:val="231F20"/>
        </w:rPr>
        <w:t>exercise) of an employee stock option acquired pursuant to the Company’s plans, or to the exercise of a tax withholding right pursuant to which a person has elected to have the Company withhold shares subject to an option to satisfy tax withholding requirements. This Policy does apply, however, to any other transactions in the stock received upon exercise of the stock option, including, without limitation, sale of stock as part of a broker-assisted cashless exercise of an option, or any other market sale.</w:t>
      </w:r>
    </w:p>
    <w:p>
      <w:pPr>
        <w:spacing w:after="0" w:line="191" w:lineRule="exact"/>
        <w:rPr>
          <w:sz w:val="20"/>
          <w:szCs w:val="20"/>
          <w:color w:val="auto"/>
        </w:rPr>
      </w:pPr>
    </w:p>
    <w:p>
      <w:pPr>
        <w:jc w:val="both"/>
        <w:spacing w:after="0" w:line="265" w:lineRule="auto"/>
        <w:rPr>
          <w:sz w:val="20"/>
          <w:szCs w:val="20"/>
          <w:color w:val="auto"/>
        </w:rPr>
      </w:pPr>
      <w:r>
        <w:rPr>
          <w:rFonts w:ascii="Arial" w:cs="Arial" w:eastAsia="Arial" w:hAnsi="Arial"/>
          <w:sz w:val="21"/>
          <w:szCs w:val="21"/>
          <w:i w:val="1"/>
          <w:iCs w:val="1"/>
          <w:u w:val="single" w:color="auto"/>
          <w:color w:val="231F20"/>
        </w:rPr>
        <w:t>Restricted Stock, Restricted Stock Units and Performance Share Awards</w:t>
      </w:r>
      <w:r>
        <w:rPr>
          <w:rFonts w:ascii="Arial" w:cs="Arial" w:eastAsia="Arial" w:hAnsi="Arial"/>
          <w:sz w:val="21"/>
          <w:szCs w:val="21"/>
          <w:i w:val="1"/>
          <w:iCs w:val="1"/>
          <w:color w:val="231F20"/>
        </w:rPr>
        <w:t xml:space="preserve">. </w:t>
      </w:r>
      <w:r>
        <w:rPr>
          <w:rFonts w:ascii="Arial" w:cs="Arial" w:eastAsia="Arial" w:hAnsi="Arial"/>
          <w:sz w:val="21"/>
          <w:szCs w:val="21"/>
          <w:color w:val="231F20"/>
        </w:rPr>
        <w:t>This Policy does not apply to the vesting of</w:t>
      </w:r>
      <w:r>
        <w:rPr>
          <w:rFonts w:ascii="Arial" w:cs="Arial" w:eastAsia="Arial" w:hAnsi="Arial"/>
          <w:sz w:val="21"/>
          <w:szCs w:val="21"/>
          <w:i w:val="1"/>
          <w:iCs w:val="1"/>
          <w:color w:val="231F20"/>
        </w:rPr>
        <w:t xml:space="preserve"> </w:t>
      </w:r>
      <w:r>
        <w:rPr>
          <w:rFonts w:ascii="Arial" w:cs="Arial" w:eastAsia="Arial" w:hAnsi="Arial"/>
          <w:sz w:val="21"/>
          <w:szCs w:val="21"/>
          <w:color w:val="231F20"/>
        </w:rPr>
        <w:t>Restricted Stock, Restricted Stock Units or Performance Shares, or the exercise of a tax withholding right pursuant to which you elect to have the Company withhold shares of stock to satisfy tax withholding requirements upon the vesting of any Restricted Stock, Restricted Stock Units or Performance Shares. This Policy does apply, however, to any other transactions in the stock received as a result of such vesting.</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21"/>
          <w:szCs w:val="21"/>
          <w:i w:val="1"/>
          <w:iCs w:val="1"/>
          <w:u w:val="single" w:color="auto"/>
          <w:color w:val="231F20"/>
        </w:rPr>
        <w:t>401(k) Plan</w:t>
      </w:r>
      <w:r>
        <w:rPr>
          <w:rFonts w:ascii="Arial" w:cs="Arial" w:eastAsia="Arial" w:hAnsi="Arial"/>
          <w:sz w:val="21"/>
          <w:szCs w:val="21"/>
          <w:i w:val="1"/>
          <w:iCs w:val="1"/>
          <w:color w:val="231F20"/>
        </w:rPr>
        <w:t xml:space="preserve">. </w:t>
      </w:r>
      <w:r>
        <w:rPr>
          <w:rFonts w:ascii="Arial" w:cs="Arial" w:eastAsia="Arial" w:hAnsi="Arial"/>
          <w:sz w:val="21"/>
          <w:szCs w:val="21"/>
          <w:color w:val="231F20"/>
        </w:rPr>
        <w:t>This Policy does not apply to purchases of Company Securities in the Company’s 401(k) plan resulting</w:t>
      </w:r>
      <w:r>
        <w:rPr>
          <w:rFonts w:ascii="Arial" w:cs="Arial" w:eastAsia="Arial" w:hAnsi="Arial"/>
          <w:sz w:val="21"/>
          <w:szCs w:val="21"/>
          <w:i w:val="1"/>
          <w:iCs w:val="1"/>
          <w:color w:val="231F20"/>
        </w:rPr>
        <w:t xml:space="preserve"> </w:t>
      </w:r>
      <w:r>
        <w:rPr>
          <w:rFonts w:ascii="Arial" w:cs="Arial" w:eastAsia="Arial" w:hAnsi="Arial"/>
          <w:sz w:val="21"/>
          <w:szCs w:val="21"/>
          <w:color w:val="231F20"/>
        </w:rPr>
        <w:t>from your periodic contribution of money to the plan pursuant to your payroll deduction election. This Policy does apply, however, to certain elections you may make under the 401(k) plan, including: (a) an election to increase or decrease the percentage of your periodic contributions that will be allocated to the Company stock fund; (b) an election to make an intra-plan transfer of an existing account balance into or out of the Company stock fund; (c) an election to borrow money against your 401(k) plan account if the loan will result in a liquidation of some or all of your Company stock fund balance; and (d) an election to pre-pay a plan loan if the pre-payment will result in allocation of loan proceeds to the Company stock fund.</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21"/>
          <w:szCs w:val="21"/>
          <w:i w:val="1"/>
          <w:iCs w:val="1"/>
          <w:u w:val="single" w:color="auto"/>
          <w:color w:val="231F20"/>
        </w:rPr>
        <w:t>Dividend Reinvestment Plan</w:t>
      </w:r>
      <w:r>
        <w:rPr>
          <w:rFonts w:ascii="Arial" w:cs="Arial" w:eastAsia="Arial" w:hAnsi="Arial"/>
          <w:sz w:val="21"/>
          <w:szCs w:val="21"/>
          <w:i w:val="1"/>
          <w:iCs w:val="1"/>
          <w:color w:val="231F20"/>
        </w:rPr>
        <w:t xml:space="preserve">. </w:t>
      </w:r>
      <w:r>
        <w:rPr>
          <w:rFonts w:ascii="Arial" w:cs="Arial" w:eastAsia="Arial" w:hAnsi="Arial"/>
          <w:sz w:val="21"/>
          <w:szCs w:val="21"/>
          <w:color w:val="231F20"/>
        </w:rPr>
        <w:t>This Policy does not apply to purchases of Company Securities under the Company’s</w:t>
      </w:r>
      <w:r>
        <w:rPr>
          <w:rFonts w:ascii="Arial" w:cs="Arial" w:eastAsia="Arial" w:hAnsi="Arial"/>
          <w:sz w:val="21"/>
          <w:szCs w:val="21"/>
          <w:i w:val="1"/>
          <w:iCs w:val="1"/>
          <w:color w:val="231F20"/>
        </w:rPr>
        <w:t xml:space="preserve"> </w:t>
      </w:r>
      <w:r>
        <w:rPr>
          <w:rFonts w:ascii="Arial" w:cs="Arial" w:eastAsia="Arial" w:hAnsi="Arial"/>
          <w:sz w:val="21"/>
          <w:szCs w:val="21"/>
          <w:color w:val="231F20"/>
        </w:rPr>
        <w:t>dividend reinvestment plan resulting from your reinvestment of dividends paid on Company Securities. This Policy does apply, however, to voluntary purchases of Company Securities resulting from additional contributions you choose to make to the dividend reinvestment plan, and to your election to participate in the plan or increase your level of participation in the plan. This Policy also applies to any transaction in any Company Securities purchased pursuant to the plan.</w:t>
      </w:r>
    </w:p>
    <w:p>
      <w:pPr>
        <w:spacing w:after="0" w:line="191" w:lineRule="exact"/>
        <w:rPr>
          <w:sz w:val="20"/>
          <w:szCs w:val="20"/>
          <w:color w:val="auto"/>
        </w:rPr>
      </w:pPr>
    </w:p>
    <w:p>
      <w:pPr>
        <w:spacing w:after="0"/>
        <w:rPr>
          <w:sz w:val="20"/>
          <w:szCs w:val="20"/>
          <w:color w:val="auto"/>
        </w:rPr>
      </w:pPr>
      <w:r>
        <w:rPr>
          <w:rFonts w:ascii="Arial" w:cs="Arial" w:eastAsia="Arial" w:hAnsi="Arial"/>
          <w:sz w:val="21"/>
          <w:szCs w:val="21"/>
          <w:i w:val="1"/>
          <w:iCs w:val="1"/>
          <w:u w:val="single" w:color="auto"/>
          <w:color w:val="231F20"/>
        </w:rPr>
        <w:t>Mutual Funds.</w:t>
      </w:r>
      <w:r>
        <w:rPr>
          <w:rFonts w:ascii="Arial" w:cs="Arial" w:eastAsia="Arial" w:hAnsi="Arial"/>
          <w:sz w:val="21"/>
          <w:szCs w:val="21"/>
          <w:i w:val="1"/>
          <w:iCs w:val="1"/>
          <w:color w:val="231F20"/>
        </w:rPr>
        <w:t xml:space="preserve"> </w:t>
      </w:r>
      <w:r>
        <w:rPr>
          <w:rFonts w:ascii="Arial" w:cs="Arial" w:eastAsia="Arial" w:hAnsi="Arial"/>
          <w:sz w:val="21"/>
          <w:szCs w:val="21"/>
          <w:color w:val="231F20"/>
        </w:rPr>
        <w:t>Transactions in mutual funds that hold Company Securities are not transactions subject to this Policy.</w:t>
      </w:r>
    </w:p>
    <w:p>
      <w:pPr>
        <w:spacing w:after="0" w:line="251" w:lineRule="exact"/>
        <w:rPr>
          <w:sz w:val="20"/>
          <w:szCs w:val="20"/>
          <w:color w:val="auto"/>
        </w:rPr>
      </w:pPr>
    </w:p>
    <w:p>
      <w:pPr>
        <w:spacing w:after="0"/>
        <w:rPr>
          <w:sz w:val="20"/>
          <w:szCs w:val="20"/>
          <w:color w:val="auto"/>
        </w:rPr>
      </w:pPr>
      <w:r>
        <w:rPr>
          <w:rFonts w:ascii="Arial" w:cs="Arial" w:eastAsia="Arial" w:hAnsi="Arial"/>
          <w:sz w:val="21"/>
          <w:szCs w:val="21"/>
          <w:b w:val="1"/>
          <w:bCs w:val="1"/>
          <w:color w:val="231F20"/>
        </w:rPr>
        <w:t>Special and Prohibited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19"/>
        <w:spacing w:after="0"/>
        <w:tabs>
          <w:tab w:leader="none" w:pos="180" w:val="left"/>
        </w:tabs>
        <w:rPr>
          <w:sz w:val="20"/>
          <w:szCs w:val="20"/>
          <w:color w:val="auto"/>
        </w:rPr>
      </w:pPr>
      <w:r>
        <w:rPr>
          <w:rFonts w:ascii="Arial" w:cs="Arial" w:eastAsia="Arial" w:hAnsi="Arial"/>
          <w:sz w:val="18"/>
          <w:szCs w:val="18"/>
          <w:color w:val="auto"/>
        </w:rPr>
        <w:t>- 7 -</w:t>
      </w:r>
      <w:r>
        <w:rPr>
          <w:sz w:val="20"/>
          <w:szCs w:val="20"/>
          <w:color w:val="auto"/>
        </w:rPr>
        <w:tab/>
      </w:r>
      <w:r>
        <w:rPr>
          <w:rFonts w:ascii="Arial" w:cs="Arial" w:eastAsia="Arial" w:hAnsi="Arial"/>
          <w:sz w:val="17"/>
          <w:szCs w:val="17"/>
          <w:color w:val="auto"/>
        </w:rPr>
        <w:t>Insider Trading Policy</w:t>
      </w:r>
    </w:p>
    <w:p>
      <w:pPr>
        <w:spacing w:after="0" w:line="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05/03/23</w:t>
      </w:r>
    </w:p>
    <w:p>
      <w:pPr>
        <w:sectPr>
          <w:pgSz w:w="11900" w:h="16838" w:orient="portrait"/>
          <w:cols w:equalWidth="0" w:num="1">
            <w:col w:w="11240"/>
          </w:cols>
          <w:pgMar w:left="320" w:top="1410" w:right="339" w:bottom="1440" w:gutter="0" w:footer="0" w:header="0"/>
        </w:sectPr>
      </w:pPr>
    </w:p>
    <w:bookmarkStart w:id="512" w:name="page513"/>
    <w:bookmarkEnd w:id="512"/>
    <w:p>
      <w:pPr>
        <w:jc w:val="both"/>
        <w:spacing w:after="0" w:line="270" w:lineRule="auto"/>
        <w:rPr>
          <w:sz w:val="20"/>
          <w:szCs w:val="20"/>
          <w:color w:val="auto"/>
        </w:rPr>
      </w:pPr>
      <w:r>
        <w:rPr>
          <w:rFonts w:ascii="Arial" w:cs="Arial" w:eastAsia="Arial" w:hAnsi="Arial"/>
          <w:sz w:val="21"/>
          <w:szCs w:val="21"/>
          <w:color w:val="231F20"/>
        </w:rPr>
        <w:t>The Company has determined that there is a heightened legal risk and/or the appearance of improper or inappropriate conduct if the persons subject to this Policy engage in certain types of transactions. It therefore is the Company’s policy that any persons covered by this Policy may not engage in any of the following transactions, or should otherwise consider the Company’s preferences as described below:</w:t>
      </w:r>
    </w:p>
    <w:p>
      <w:pPr>
        <w:spacing w:after="0" w:line="184" w:lineRule="exact"/>
        <w:rPr>
          <w:sz w:val="20"/>
          <w:szCs w:val="20"/>
          <w:color w:val="auto"/>
        </w:rPr>
      </w:pPr>
    </w:p>
    <w:p>
      <w:pPr>
        <w:jc w:val="both"/>
        <w:spacing w:after="0" w:line="265" w:lineRule="auto"/>
        <w:rPr>
          <w:sz w:val="20"/>
          <w:szCs w:val="20"/>
          <w:color w:val="auto"/>
        </w:rPr>
      </w:pPr>
      <w:r>
        <w:rPr>
          <w:rFonts w:ascii="Arial" w:cs="Arial" w:eastAsia="Arial" w:hAnsi="Arial"/>
          <w:sz w:val="21"/>
          <w:szCs w:val="21"/>
          <w:i w:val="1"/>
          <w:iCs w:val="1"/>
          <w:u w:val="single" w:color="auto"/>
          <w:color w:val="231F20"/>
        </w:rPr>
        <w:t>Short-Term Trading</w:t>
      </w:r>
      <w:r>
        <w:rPr>
          <w:rFonts w:ascii="Arial" w:cs="Arial" w:eastAsia="Arial" w:hAnsi="Arial"/>
          <w:sz w:val="21"/>
          <w:szCs w:val="21"/>
          <w:i w:val="1"/>
          <w:iCs w:val="1"/>
          <w:color w:val="231F20"/>
        </w:rPr>
        <w:t xml:space="preserve"> . </w:t>
      </w:r>
      <w:r>
        <w:rPr>
          <w:rFonts w:ascii="Arial" w:cs="Arial" w:eastAsia="Arial" w:hAnsi="Arial"/>
          <w:sz w:val="21"/>
          <w:szCs w:val="21"/>
          <w:color w:val="231F20"/>
        </w:rPr>
        <w:t>Short-term trading of Company Securities may be distracting to the person and may unduly focus</w:t>
      </w:r>
      <w:r>
        <w:rPr>
          <w:rFonts w:ascii="Arial" w:cs="Arial" w:eastAsia="Arial" w:hAnsi="Arial"/>
          <w:sz w:val="21"/>
          <w:szCs w:val="21"/>
          <w:i w:val="1"/>
          <w:iCs w:val="1"/>
          <w:color w:val="231F20"/>
        </w:rPr>
        <w:t xml:space="preserve"> </w:t>
      </w:r>
      <w:r>
        <w:rPr>
          <w:rFonts w:ascii="Arial" w:cs="Arial" w:eastAsia="Arial" w:hAnsi="Arial"/>
          <w:sz w:val="21"/>
          <w:szCs w:val="21"/>
          <w:color w:val="231F20"/>
        </w:rPr>
        <w:t>the person on the Company’s short-term stock market performance instead of the Company’s long-term business objectives. For these reasons, any director or officer of the Company who purchases Company Securities in the open market may not sell any Company Securities of the same class during the six months following the purchase (or vice versa). Employees, generally, are discouraged from engaging in such short-term trading.</w:t>
      </w:r>
    </w:p>
    <w:p>
      <w:pPr>
        <w:spacing w:after="0" w:line="191" w:lineRule="exact"/>
        <w:rPr>
          <w:sz w:val="20"/>
          <w:szCs w:val="20"/>
          <w:color w:val="auto"/>
        </w:rPr>
      </w:pPr>
    </w:p>
    <w:p>
      <w:pPr>
        <w:jc w:val="both"/>
        <w:spacing w:after="0" w:line="261" w:lineRule="auto"/>
        <w:rPr>
          <w:sz w:val="20"/>
          <w:szCs w:val="20"/>
          <w:color w:val="auto"/>
        </w:rPr>
      </w:pPr>
      <w:r>
        <w:rPr>
          <w:rFonts w:ascii="Arial" w:cs="Arial" w:eastAsia="Arial" w:hAnsi="Arial"/>
          <w:sz w:val="21"/>
          <w:szCs w:val="21"/>
          <w:i w:val="1"/>
          <w:iCs w:val="1"/>
          <w:u w:val="single" w:color="auto"/>
          <w:color w:val="231F20"/>
        </w:rPr>
        <w:t>Short Sales</w:t>
      </w:r>
      <w:r>
        <w:rPr>
          <w:rFonts w:ascii="Arial" w:cs="Arial" w:eastAsia="Arial" w:hAnsi="Arial"/>
          <w:sz w:val="21"/>
          <w:szCs w:val="21"/>
          <w:i w:val="1"/>
          <w:iCs w:val="1"/>
          <w:color w:val="231F20"/>
        </w:rPr>
        <w:t xml:space="preserve">. </w:t>
      </w:r>
      <w:r>
        <w:rPr>
          <w:rFonts w:ascii="Arial" w:cs="Arial" w:eastAsia="Arial" w:hAnsi="Arial"/>
          <w:sz w:val="21"/>
          <w:szCs w:val="21"/>
          <w:color w:val="231F20"/>
        </w:rPr>
        <w:t>Short sales of Company Securities (</w:t>
      </w:r>
      <w:r>
        <w:rPr>
          <w:rFonts w:ascii="Arial" w:cs="Arial" w:eastAsia="Arial" w:hAnsi="Arial"/>
          <w:sz w:val="21"/>
          <w:szCs w:val="21"/>
          <w:i w:val="1"/>
          <w:iCs w:val="1"/>
          <w:color w:val="231F20"/>
        </w:rPr>
        <w:t xml:space="preserve">i.e., </w:t>
      </w:r>
      <w:r>
        <w:rPr>
          <w:rFonts w:ascii="Arial" w:cs="Arial" w:eastAsia="Arial" w:hAnsi="Arial"/>
          <w:sz w:val="21"/>
          <w:szCs w:val="21"/>
          <w:color w:val="231F20"/>
        </w:rPr>
        <w:t>the sale of a security that the seller does not own) may evidence</w:t>
      </w:r>
      <w:r>
        <w:rPr>
          <w:rFonts w:ascii="Arial" w:cs="Arial" w:eastAsia="Arial" w:hAnsi="Arial"/>
          <w:sz w:val="21"/>
          <w:szCs w:val="21"/>
          <w:i w:val="1"/>
          <w:iCs w:val="1"/>
          <w:color w:val="231F20"/>
        </w:rPr>
        <w:t xml:space="preserve"> </w:t>
      </w:r>
      <w:r>
        <w:rPr>
          <w:rFonts w:ascii="Arial" w:cs="Arial" w:eastAsia="Arial" w:hAnsi="Arial"/>
          <w:sz w:val="21"/>
          <w:szCs w:val="21"/>
          <w:color w:val="231F20"/>
        </w:rPr>
        <w:t>an expectation on the part of the seller that the securities will decline in value, and therefore have the potential to signal to the market that the seller lacks confidence in the Company’s prospects. In addition, short sales may reduce a seller’s incentive to seek to improve the Company’s performance. For these reasons, short sales of Company Securities are prohibited by all persons subject to this Policy. In addition, Section 16(c) of the Exchange Act prohibits officers and directors from engaging in short sales. (Short sales arising from certain types of hedging transactions are governed by the paragraph below captioned “Hedging Transactions.”)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21"/>
          <w:szCs w:val="21"/>
          <w:i w:val="1"/>
          <w:iCs w:val="1"/>
          <w:u w:val="single" w:color="auto"/>
          <w:color w:val="231F20"/>
        </w:rPr>
        <w:t>Publicly-Traded Options</w:t>
      </w:r>
      <w:r>
        <w:rPr>
          <w:rFonts w:ascii="Arial" w:cs="Arial" w:eastAsia="Arial" w:hAnsi="Arial"/>
          <w:sz w:val="21"/>
          <w:szCs w:val="21"/>
          <w:i w:val="1"/>
          <w:iCs w:val="1"/>
          <w:color w:val="231F20"/>
        </w:rPr>
        <w:t xml:space="preserve">. </w:t>
      </w:r>
      <w:r>
        <w:rPr>
          <w:rFonts w:ascii="Arial" w:cs="Arial" w:eastAsia="Arial" w:hAnsi="Arial"/>
          <w:sz w:val="21"/>
          <w:szCs w:val="21"/>
          <w:color w:val="231F20"/>
        </w:rPr>
        <w:t>Given the relatively short term of publicly-traded options, transactions in options may create</w:t>
      </w:r>
      <w:r>
        <w:rPr>
          <w:rFonts w:ascii="Arial" w:cs="Arial" w:eastAsia="Arial" w:hAnsi="Arial"/>
          <w:sz w:val="21"/>
          <w:szCs w:val="21"/>
          <w:i w:val="1"/>
          <w:iCs w:val="1"/>
          <w:color w:val="231F20"/>
        </w:rPr>
        <w:t xml:space="preserve"> </w:t>
      </w:r>
      <w:r>
        <w:rPr>
          <w:rFonts w:ascii="Arial" w:cs="Arial" w:eastAsia="Arial" w:hAnsi="Arial"/>
          <w:sz w:val="21"/>
          <w:szCs w:val="21"/>
          <w:color w:val="231F20"/>
        </w:rPr>
        <w:t>the appearance that a director, officer, or employee of the Company (or any other person in possession of material nonpublic information) is trading based on material nonpublic information and focus that person’s attention on short-term performance at the expense of the Company’s long-term objectives. Accordingly, transactions in put options, call options, or other derivative securities, on an exchange or in any other organized market, are prohibited by this Policy. (Option positions arising from certain types of hedging transactions are governed by the next paragraph below.)</w:t>
      </w:r>
    </w:p>
    <w:p>
      <w:pPr>
        <w:spacing w:after="0" w:line="191" w:lineRule="exact"/>
        <w:rPr>
          <w:sz w:val="20"/>
          <w:szCs w:val="20"/>
          <w:color w:val="auto"/>
        </w:rPr>
      </w:pPr>
    </w:p>
    <w:p>
      <w:pPr>
        <w:jc w:val="both"/>
        <w:spacing w:after="0" w:line="261" w:lineRule="auto"/>
        <w:rPr>
          <w:sz w:val="20"/>
          <w:szCs w:val="20"/>
          <w:color w:val="auto"/>
        </w:rPr>
      </w:pPr>
      <w:r>
        <w:rPr>
          <w:rFonts w:ascii="Arial" w:cs="Arial" w:eastAsia="Arial" w:hAnsi="Arial"/>
          <w:sz w:val="21"/>
          <w:szCs w:val="21"/>
          <w:i w:val="1"/>
          <w:iCs w:val="1"/>
          <w:u w:val="single" w:color="auto"/>
          <w:color w:val="231F20"/>
        </w:rPr>
        <w:t>Hedging Transactions</w:t>
      </w:r>
      <w:r>
        <w:rPr>
          <w:rFonts w:ascii="Arial" w:cs="Arial" w:eastAsia="Arial" w:hAnsi="Arial"/>
          <w:sz w:val="21"/>
          <w:szCs w:val="21"/>
          <w:i w:val="1"/>
          <w:iCs w:val="1"/>
          <w:color w:val="231F20"/>
        </w:rPr>
        <w:t xml:space="preserve">. </w:t>
      </w:r>
      <w:r>
        <w:rPr>
          <w:rFonts w:ascii="Arial" w:cs="Arial" w:eastAsia="Arial" w:hAnsi="Arial"/>
          <w:sz w:val="21"/>
          <w:szCs w:val="21"/>
          <w:color w:val="231F20"/>
        </w:rPr>
        <w:t>Hedging or monetization transactions can be accomplished through a number of possible</w:t>
      </w:r>
      <w:r>
        <w:rPr>
          <w:rFonts w:ascii="Arial" w:cs="Arial" w:eastAsia="Arial" w:hAnsi="Arial"/>
          <w:sz w:val="21"/>
          <w:szCs w:val="21"/>
          <w:i w:val="1"/>
          <w:iCs w:val="1"/>
          <w:color w:val="231F20"/>
        </w:rPr>
        <w:t xml:space="preserve"> </w:t>
      </w:r>
      <w:r>
        <w:rPr>
          <w:rFonts w:ascii="Arial" w:cs="Arial" w:eastAsia="Arial" w:hAnsi="Arial"/>
          <w:sz w:val="21"/>
          <w:szCs w:val="21"/>
          <w:color w:val="231F20"/>
        </w:rPr>
        <w:t>mechanisms, including through the use of financial instruments such as prepaid variable forwards, equity swaps, collars, and exchange funds. Such hedging transactions may permit a director, officer or others covered by this policy to continue to own Company Securities obtained through employee benefit plans or otherwise, but without the full risks and rewards of ownership. When that occurs, the director or officer may no longer have the same objectives as the Company’s other shareholders. Therefore, directors and officers are prohibited from engaging in any such transactions. Employees, generally, are discouraged from engaging in such hedging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19"/>
        <w:spacing w:after="0"/>
        <w:tabs>
          <w:tab w:leader="none" w:pos="180" w:val="left"/>
        </w:tabs>
        <w:rPr>
          <w:sz w:val="20"/>
          <w:szCs w:val="20"/>
          <w:color w:val="auto"/>
        </w:rPr>
      </w:pPr>
      <w:r>
        <w:rPr>
          <w:rFonts w:ascii="Arial" w:cs="Arial" w:eastAsia="Arial" w:hAnsi="Arial"/>
          <w:sz w:val="18"/>
          <w:szCs w:val="18"/>
          <w:color w:val="auto"/>
        </w:rPr>
        <w:t>- 8 -</w:t>
      </w:r>
      <w:r>
        <w:rPr>
          <w:sz w:val="20"/>
          <w:szCs w:val="20"/>
          <w:color w:val="auto"/>
        </w:rPr>
        <w:tab/>
      </w:r>
      <w:r>
        <w:rPr>
          <w:rFonts w:ascii="Arial" w:cs="Arial" w:eastAsia="Arial" w:hAnsi="Arial"/>
          <w:sz w:val="17"/>
          <w:szCs w:val="17"/>
          <w:color w:val="auto"/>
        </w:rPr>
        <w:t>Insider Trading Policy</w:t>
      </w:r>
    </w:p>
    <w:p>
      <w:pPr>
        <w:spacing w:after="0" w:line="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05/03/23</w:t>
      </w:r>
    </w:p>
    <w:p>
      <w:pPr>
        <w:sectPr>
          <w:pgSz w:w="11900" w:h="16838" w:orient="portrait"/>
          <w:cols w:equalWidth="0" w:num="1">
            <w:col w:w="11240"/>
          </w:cols>
          <w:pgMar w:left="320" w:top="1410" w:right="339" w:bottom="1440" w:gutter="0" w:footer="0" w:header="0"/>
        </w:sectPr>
      </w:pPr>
    </w:p>
    <w:bookmarkStart w:id="513" w:name="page514"/>
    <w:bookmarkEnd w:id="513"/>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21"/>
          <w:szCs w:val="21"/>
          <w:i w:val="1"/>
          <w:iCs w:val="1"/>
          <w:u w:val="single" w:color="auto"/>
          <w:color w:val="231F20"/>
        </w:rPr>
        <w:t>Margin Accounts and Pledged Securities</w:t>
      </w:r>
      <w:r>
        <w:rPr>
          <w:rFonts w:ascii="Arial" w:cs="Arial" w:eastAsia="Arial" w:hAnsi="Arial"/>
          <w:sz w:val="21"/>
          <w:szCs w:val="21"/>
          <w:i w:val="1"/>
          <w:iCs w:val="1"/>
          <w:color w:val="231F20"/>
        </w:rPr>
        <w:t xml:space="preserve">. </w:t>
      </w:r>
      <w:r>
        <w:rPr>
          <w:rFonts w:ascii="Arial" w:cs="Arial" w:eastAsia="Arial" w:hAnsi="Arial"/>
          <w:sz w:val="21"/>
          <w:szCs w:val="21"/>
          <w:color w:val="231F20"/>
        </w:rPr>
        <w:t>Securities held in a margin account as collateral for a margin loan may be</w:t>
      </w:r>
      <w:r>
        <w:rPr>
          <w:rFonts w:ascii="Arial" w:cs="Arial" w:eastAsia="Arial" w:hAnsi="Arial"/>
          <w:sz w:val="21"/>
          <w:szCs w:val="21"/>
          <w:i w:val="1"/>
          <w:iCs w:val="1"/>
          <w:color w:val="231F20"/>
        </w:rPr>
        <w:t xml:space="preserve"> </w:t>
      </w:r>
      <w:r>
        <w:rPr>
          <w:rFonts w:ascii="Arial" w:cs="Arial" w:eastAsia="Arial" w:hAnsi="Arial"/>
          <w:sz w:val="21"/>
          <w:szCs w:val="21"/>
          <w:color w:val="231F20"/>
        </w:rPr>
        <w:t>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Company Securities, directors and officers are prohibited from holding Company Securities in a margin account or otherwise pledging Company Securities as collateral for a loan. Employees, generally, are discouraged from making use of margin accounts or pledge transactions with respect to Company Securities. (Pledges of Company Securities arising from certain types of hedging transactions are governed by the paragraph above captioned “Hedging Transactions.”)</w:t>
      </w:r>
    </w:p>
    <w:p>
      <w:pPr>
        <w:spacing w:after="0" w:line="6" w:lineRule="exact"/>
        <w:rPr>
          <w:sz w:val="20"/>
          <w:szCs w:val="20"/>
          <w:color w:val="auto"/>
        </w:rPr>
      </w:pPr>
    </w:p>
    <w:p>
      <w:pPr>
        <w:jc w:val="both"/>
        <w:spacing w:after="0" w:line="254" w:lineRule="auto"/>
        <w:rPr>
          <w:sz w:val="20"/>
          <w:szCs w:val="20"/>
          <w:color w:val="auto"/>
        </w:rPr>
      </w:pPr>
      <w:r>
        <w:rPr>
          <w:rFonts w:ascii="Arial" w:cs="Arial" w:eastAsia="Arial" w:hAnsi="Arial"/>
          <w:sz w:val="21"/>
          <w:szCs w:val="21"/>
          <w:i w:val="1"/>
          <w:iCs w:val="1"/>
          <w:u w:val="single" w:color="auto"/>
          <w:color w:val="231F20"/>
        </w:rPr>
        <w:t>Standing and Limit Orders</w:t>
      </w:r>
      <w:r>
        <w:rPr>
          <w:rFonts w:ascii="Arial" w:cs="Arial" w:eastAsia="Arial" w:hAnsi="Arial"/>
          <w:sz w:val="21"/>
          <w:szCs w:val="21"/>
          <w:i w:val="1"/>
          <w:iCs w:val="1"/>
          <w:color w:val="231F20"/>
        </w:rPr>
        <w:t xml:space="preserve">. </w:t>
      </w:r>
      <w:r>
        <w:rPr>
          <w:rFonts w:ascii="Arial" w:cs="Arial" w:eastAsia="Arial" w:hAnsi="Arial"/>
          <w:sz w:val="21"/>
          <w:szCs w:val="21"/>
          <w:color w:val="231F20"/>
        </w:rPr>
        <w:t>Standing and limit orders (except standing and limit orders under precleared 10b5-1 Plans,</w:t>
      </w:r>
      <w:r>
        <w:rPr>
          <w:rFonts w:ascii="Arial" w:cs="Arial" w:eastAsia="Arial" w:hAnsi="Arial"/>
          <w:sz w:val="21"/>
          <w:szCs w:val="21"/>
          <w:i w:val="1"/>
          <w:iCs w:val="1"/>
          <w:color w:val="231F20"/>
        </w:rPr>
        <w:t xml:space="preserve"> </w:t>
      </w:r>
      <w:r>
        <w:rPr>
          <w:rFonts w:ascii="Arial" w:cs="Arial" w:eastAsia="Arial" w:hAnsi="Arial"/>
          <w:sz w:val="21"/>
          <w:szCs w:val="21"/>
          <w:color w:val="231F20"/>
        </w:rPr>
        <w:t>as described below) create heightened risks for insider trading violations similar to the use of margin accounts. There is no control over the timing of purchases or sales that result from standing instructions to a broker, and as a result the broker could execute a transaction when a director, officer, or employee of the Company (or any other person subject to this Policy) is in possession of material nonpublic information. The Company therefore prohibits placing standing and limit orders on Company Securities that exceed the five (5) business day preclearance period described below (except under pre-cleared 10b5-1 Plans). If a person subject to this Policy determines that they must use a standing order or limit order, the order should be limited to no longer than five (5) business days and should otherwise comply with the restrictions and procedures outlined below under the heading “Additional Procedures.”</w:t>
      </w:r>
    </w:p>
    <w:p>
      <w:pPr>
        <w:spacing w:after="0"/>
        <w:rPr>
          <w:sz w:val="20"/>
          <w:szCs w:val="20"/>
          <w:color w:val="auto"/>
        </w:rPr>
      </w:pPr>
      <w:r>
        <w:rPr>
          <w:rFonts w:ascii="Arial" w:cs="Arial" w:eastAsia="Arial" w:hAnsi="Arial"/>
          <w:sz w:val="21"/>
          <w:szCs w:val="21"/>
          <w:color w:val="231F20"/>
        </w:rPr>
        <w:t>Persons subject to this policy are encouraged to place standing and limit orders under precleared 10b5-1 Plans.</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b w:val="1"/>
          <w:bCs w:val="1"/>
          <w:color w:val="231F20"/>
        </w:rPr>
        <w:t>Additional Procedures</w:t>
      </w:r>
    </w:p>
    <w:p>
      <w:pPr>
        <w:spacing w:after="0" w:line="255"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231F20"/>
        </w:rPr>
        <w:t>The Company has established additional procedures in order to assist the Company in the administration of this Policy, to facilitate compliance with laws prohibiting insider trading while in possession of material nonpublic information, and to avoid the appearance of any impropriety. These additional procedures are applicable only to those individuals described below.</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21"/>
          <w:szCs w:val="21"/>
          <w:i w:val="1"/>
          <w:iCs w:val="1"/>
          <w:u w:val="single" w:color="auto"/>
          <w:color w:val="231F20"/>
        </w:rPr>
        <w:t>Pre-Clearance Procedures</w:t>
      </w:r>
      <w:r>
        <w:rPr>
          <w:rFonts w:ascii="Arial" w:cs="Arial" w:eastAsia="Arial" w:hAnsi="Arial"/>
          <w:sz w:val="21"/>
          <w:szCs w:val="21"/>
          <w:i w:val="1"/>
          <w:iCs w:val="1"/>
          <w:color w:val="231F20"/>
        </w:rPr>
        <w:t xml:space="preserve">. </w:t>
      </w:r>
      <w:r>
        <w:rPr>
          <w:rFonts w:ascii="Arial" w:cs="Arial" w:eastAsia="Arial" w:hAnsi="Arial"/>
          <w:sz w:val="21"/>
          <w:szCs w:val="21"/>
          <w:color w:val="231F20"/>
        </w:rPr>
        <w:t>The persons designated by the Trading Administrator as being subject to these</w:t>
      </w:r>
      <w:r>
        <w:rPr>
          <w:rFonts w:ascii="Arial" w:cs="Arial" w:eastAsia="Arial" w:hAnsi="Arial"/>
          <w:sz w:val="21"/>
          <w:szCs w:val="21"/>
          <w:i w:val="1"/>
          <w:iCs w:val="1"/>
          <w:color w:val="231F20"/>
        </w:rPr>
        <w:t xml:space="preserve"> </w:t>
      </w:r>
      <w:r>
        <w:rPr>
          <w:rFonts w:ascii="Arial" w:cs="Arial" w:eastAsia="Arial" w:hAnsi="Arial"/>
          <w:sz w:val="21"/>
          <w:szCs w:val="21"/>
          <w:color w:val="231F20"/>
        </w:rPr>
        <w:t>procedures, as well as the Family Members and Controlled Entities of such persons, may not engage in any transaction in Company Securities without first obtaining pre-clearance of the transaction from the Trading Administrator. A request for pre-clearance should be submitted to the Trading Administrator at least two (2) business days in advance of the proposed transaction. The Trading Administrator is under no obligation to approve a transaction submitted for pre-clearance, and may determine not to permit the transaction. If a person seeks pre-clearance and permission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19"/>
        <w:spacing w:after="0"/>
        <w:tabs>
          <w:tab w:leader="none" w:pos="180" w:val="left"/>
        </w:tabs>
        <w:rPr>
          <w:sz w:val="20"/>
          <w:szCs w:val="20"/>
          <w:color w:val="auto"/>
        </w:rPr>
      </w:pPr>
      <w:r>
        <w:rPr>
          <w:rFonts w:ascii="Arial" w:cs="Arial" w:eastAsia="Arial" w:hAnsi="Arial"/>
          <w:sz w:val="18"/>
          <w:szCs w:val="18"/>
          <w:color w:val="auto"/>
        </w:rPr>
        <w:t>- 9 -</w:t>
      </w:r>
      <w:r>
        <w:rPr>
          <w:sz w:val="20"/>
          <w:szCs w:val="20"/>
          <w:color w:val="auto"/>
        </w:rPr>
        <w:tab/>
      </w:r>
      <w:r>
        <w:rPr>
          <w:rFonts w:ascii="Arial" w:cs="Arial" w:eastAsia="Arial" w:hAnsi="Arial"/>
          <w:sz w:val="17"/>
          <w:szCs w:val="17"/>
          <w:color w:val="auto"/>
        </w:rPr>
        <w:t>Insider Trading Policy</w:t>
      </w:r>
    </w:p>
    <w:p>
      <w:pPr>
        <w:spacing w:after="0" w:line="5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05/03/23</w:t>
      </w:r>
    </w:p>
    <w:p>
      <w:pPr>
        <w:sectPr>
          <w:pgSz w:w="11900" w:h="16838" w:orient="portrait"/>
          <w:cols w:equalWidth="0" w:num="1">
            <w:col w:w="11240"/>
          </w:cols>
          <w:pgMar w:left="320" w:top="1440" w:right="339" w:bottom="1440" w:gutter="0" w:footer="0" w:header="0"/>
        </w:sectPr>
      </w:pPr>
    </w:p>
    <w:bookmarkStart w:id="514" w:name="page515"/>
    <w:bookmarkEnd w:id="514"/>
    <w:p>
      <w:pPr>
        <w:jc w:val="both"/>
        <w:spacing w:after="0" w:line="265" w:lineRule="auto"/>
        <w:rPr>
          <w:sz w:val="20"/>
          <w:szCs w:val="20"/>
          <w:color w:val="auto"/>
        </w:rPr>
      </w:pPr>
      <w:r>
        <w:rPr>
          <w:rFonts w:ascii="Arial" w:cs="Arial" w:eastAsia="Arial" w:hAnsi="Arial"/>
          <w:sz w:val="21"/>
          <w:szCs w:val="21"/>
          <w:color w:val="231F20"/>
        </w:rPr>
        <w:t>to engage in the transaction is denied, then he or she should refrain from initiating any transaction in Company Securities, and should not inform any other person of the restriction. The pre-clearance decision is valid for five (5) business days. If a trade does not occur within that time period, another request for pre-clearance must be submitted. A separate pre-clearance procedure applies to trading plans under Rule 10b5-1, as described below under “Rule 10b5-1 Plans.”</w:t>
      </w:r>
    </w:p>
    <w:p>
      <w:pPr>
        <w:spacing w:after="0" w:line="191"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231F20"/>
        </w:rPr>
        <w:t>When a request for pre-clearance is made, the requestor should carefully consider whether he or she may be aware of any material nonpublic information about the Company, and should describe fully those circumstances to the Trading Administrator. The requestor should also indicate whether he or she has effected any non-exempt “opposite-way” transactions within the past six (6) months, and should be prepared to report the proposed transaction on an appropriate Form 4 or Form 5. The requestor should also be prepared to comply with SEC Rule 144 and file Form 144, if necessary, at the time of any sale.</w:t>
      </w:r>
    </w:p>
    <w:p>
      <w:pPr>
        <w:jc w:val="both"/>
        <w:spacing w:after="0" w:line="238" w:lineRule="auto"/>
        <w:rPr>
          <w:sz w:val="20"/>
          <w:szCs w:val="20"/>
          <w:color w:val="auto"/>
        </w:rPr>
      </w:pPr>
      <w:r>
        <w:rPr>
          <w:rFonts w:ascii="Arial" w:cs="Arial" w:eastAsia="Arial" w:hAnsi="Arial"/>
          <w:sz w:val="21"/>
          <w:szCs w:val="21"/>
          <w:i w:val="1"/>
          <w:iCs w:val="1"/>
          <w:u w:val="single" w:color="auto"/>
          <w:color w:val="231F20"/>
        </w:rPr>
        <w:t>Quarterly Trading Restriction</w:t>
      </w:r>
      <w:r>
        <w:rPr>
          <w:rFonts w:ascii="Arial" w:cs="Arial" w:eastAsia="Arial" w:hAnsi="Arial"/>
          <w:sz w:val="21"/>
          <w:szCs w:val="21"/>
          <w:i w:val="1"/>
          <w:iCs w:val="1"/>
          <w:color w:val="231F20"/>
        </w:rPr>
        <w:t xml:space="preserve">. </w:t>
      </w:r>
      <w:r>
        <w:rPr>
          <w:rFonts w:ascii="Arial" w:cs="Arial" w:eastAsia="Arial" w:hAnsi="Arial"/>
          <w:sz w:val="21"/>
          <w:szCs w:val="21"/>
          <w:color w:val="231F20"/>
        </w:rPr>
        <w:t>The persons designated by the Trading Administrator as subject to this restriction, as</w:t>
      </w:r>
      <w:r>
        <w:rPr>
          <w:rFonts w:ascii="Arial" w:cs="Arial" w:eastAsia="Arial" w:hAnsi="Arial"/>
          <w:sz w:val="21"/>
          <w:szCs w:val="21"/>
          <w:i w:val="1"/>
          <w:iCs w:val="1"/>
          <w:color w:val="231F20"/>
        </w:rPr>
        <w:t xml:space="preserve"> </w:t>
      </w:r>
      <w:r>
        <w:rPr>
          <w:rFonts w:ascii="Arial" w:cs="Arial" w:eastAsia="Arial" w:hAnsi="Arial"/>
          <w:sz w:val="21"/>
          <w:szCs w:val="21"/>
          <w:color w:val="231F20"/>
        </w:rPr>
        <w:t>well as their Family Members and Controlled Entities, may not conduct any transactions involving the Company’s Securities (other than as specified by this Policy), during a “Blackout Period” beginning on the last business day of each fiscal quarter and ending on the open of market on the second (2</w:t>
      </w:r>
      <w:r>
        <w:rPr>
          <w:rFonts w:ascii="Arial" w:cs="Arial" w:eastAsia="Arial" w:hAnsi="Arial"/>
          <w:sz w:val="27"/>
          <w:szCs w:val="27"/>
          <w:color w:val="231F20"/>
          <w:vertAlign w:val="superscript"/>
        </w:rPr>
        <w:t>nd</w:t>
      </w:r>
      <w:r>
        <w:rPr>
          <w:rFonts w:ascii="Arial" w:cs="Arial" w:eastAsia="Arial" w:hAnsi="Arial"/>
          <w:sz w:val="21"/>
          <w:szCs w:val="21"/>
          <w:color w:val="231F20"/>
        </w:rPr>
        <w:t>) business day following the date of the public release of the Company’s earnings results for that quarter. In other words, these persons may only conduct transactions in Company Securities during the “Window Period” beginning on open of market on the second (2</w:t>
      </w:r>
      <w:r>
        <w:rPr>
          <w:rFonts w:ascii="Arial" w:cs="Arial" w:eastAsia="Arial" w:hAnsi="Arial"/>
          <w:sz w:val="27"/>
          <w:szCs w:val="27"/>
          <w:color w:val="231F20"/>
          <w:vertAlign w:val="superscript"/>
        </w:rPr>
        <w:t>nd</w:t>
      </w:r>
      <w:r>
        <w:rPr>
          <w:rFonts w:ascii="Arial" w:cs="Arial" w:eastAsia="Arial" w:hAnsi="Arial"/>
          <w:sz w:val="21"/>
          <w:szCs w:val="21"/>
          <w:color w:val="231F20"/>
        </w:rPr>
        <w:t>) business day following the public release of the Company’s quarterly earnings and ending at the end of the last business day of the next fiscal quarter.</w:t>
      </w:r>
    </w:p>
    <w:p>
      <w:pPr>
        <w:spacing w:after="0" w:line="228"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231F20"/>
        </w:rPr>
        <w:t>Under certain very limited circumstances, a person subject to this restriction may be permitted to trade during a Blackout Period, but only if the Trading Administrator concludes that the person does not in fact possess material nonpublic information. Persons wishing to trade during a Blackout Period must contact the Trading Administrator for approval at least three (3) business days in advance of any proposed transaction involving Company Securities.</w:t>
      </w:r>
    </w:p>
    <w:p>
      <w:pPr>
        <w:spacing w:after="0" w:line="191" w:lineRule="exact"/>
        <w:rPr>
          <w:sz w:val="20"/>
          <w:szCs w:val="20"/>
          <w:color w:val="auto"/>
        </w:rPr>
      </w:pPr>
    </w:p>
    <w:p>
      <w:pPr>
        <w:jc w:val="both"/>
        <w:spacing w:after="0" w:line="260" w:lineRule="auto"/>
        <w:rPr>
          <w:sz w:val="20"/>
          <w:szCs w:val="20"/>
          <w:color w:val="auto"/>
        </w:rPr>
      </w:pPr>
      <w:r>
        <w:rPr>
          <w:rFonts w:ascii="Arial" w:cs="Arial" w:eastAsia="Arial" w:hAnsi="Arial"/>
          <w:sz w:val="21"/>
          <w:szCs w:val="21"/>
          <w:i w:val="1"/>
          <w:iCs w:val="1"/>
          <w:u w:val="single" w:color="auto"/>
          <w:color w:val="231F20"/>
        </w:rPr>
        <w:t>Event-Specific Trading Restriction Periods</w:t>
      </w:r>
      <w:r>
        <w:rPr>
          <w:rFonts w:ascii="Arial" w:cs="Arial" w:eastAsia="Arial" w:hAnsi="Arial"/>
          <w:sz w:val="21"/>
          <w:szCs w:val="21"/>
          <w:i w:val="1"/>
          <w:iCs w:val="1"/>
          <w:color w:val="231F20"/>
        </w:rPr>
        <w:t xml:space="preserve">. </w:t>
      </w:r>
      <w:r>
        <w:rPr>
          <w:rFonts w:ascii="Arial" w:cs="Arial" w:eastAsia="Arial" w:hAnsi="Arial"/>
          <w:sz w:val="21"/>
          <w:szCs w:val="21"/>
          <w:color w:val="231F20"/>
        </w:rPr>
        <w:t>From time to time, an event may occur that is material to the Company and</w:t>
      </w:r>
      <w:r>
        <w:rPr>
          <w:rFonts w:ascii="Arial" w:cs="Arial" w:eastAsia="Arial" w:hAnsi="Arial"/>
          <w:sz w:val="21"/>
          <w:szCs w:val="21"/>
          <w:i w:val="1"/>
          <w:iCs w:val="1"/>
          <w:color w:val="231F20"/>
        </w:rPr>
        <w:t xml:space="preserve"> </w:t>
      </w:r>
      <w:r>
        <w:rPr>
          <w:rFonts w:ascii="Arial" w:cs="Arial" w:eastAsia="Arial" w:hAnsi="Arial"/>
          <w:sz w:val="21"/>
          <w:szCs w:val="21"/>
          <w:color w:val="231F20"/>
        </w:rPr>
        <w:t>is known by only a few directors, officers, /or employees of the Company (or by any other person subject to this Policy). So long as the event remains material and nonpublic, the persons designated by the Trading Administrator may not trade Company Securities. In addition, the Company’s financial results may be sufficiently material in a particular fiscal quarter that, in the judgment of the Trading Administrator, designated persons should refrain from trading in Company Securities even sooner than the typical Blackout Period described above. In that situation, the Trading Administrator may notify these persons that they should not trade in the Company’s Securities, without disclosing the reason for the restriction. The existence of an event-specific trading restriction period or extension of a Blackout Period will not be announced to the Company as a whole, and should not be communicated to any other</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9"/>
        <w:spacing w:after="0"/>
        <w:tabs>
          <w:tab w:leader="none" w:pos="180" w:val="left"/>
        </w:tabs>
        <w:rPr>
          <w:sz w:val="20"/>
          <w:szCs w:val="20"/>
          <w:color w:val="auto"/>
        </w:rPr>
      </w:pPr>
      <w:r>
        <w:rPr>
          <w:rFonts w:ascii="Arial" w:cs="Arial" w:eastAsia="Arial" w:hAnsi="Arial"/>
          <w:sz w:val="18"/>
          <w:szCs w:val="18"/>
          <w:color w:val="auto"/>
        </w:rPr>
        <w:t>- 10 -</w:t>
      </w:r>
      <w:r>
        <w:rPr>
          <w:sz w:val="20"/>
          <w:szCs w:val="20"/>
          <w:color w:val="auto"/>
        </w:rPr>
        <w:tab/>
      </w:r>
      <w:r>
        <w:rPr>
          <w:rFonts w:ascii="Arial" w:cs="Arial" w:eastAsia="Arial" w:hAnsi="Arial"/>
          <w:sz w:val="17"/>
          <w:szCs w:val="17"/>
          <w:color w:val="auto"/>
        </w:rPr>
        <w:t>Insider Trading Policy</w:t>
      </w:r>
    </w:p>
    <w:p>
      <w:pPr>
        <w:spacing w:after="0" w:line="5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05/03/23</w:t>
      </w:r>
    </w:p>
    <w:p>
      <w:pPr>
        <w:sectPr>
          <w:pgSz w:w="11900" w:h="16838" w:orient="portrait"/>
          <w:cols w:equalWidth="0" w:num="1">
            <w:col w:w="11240"/>
          </w:cols>
          <w:pgMar w:left="320" w:top="1410" w:right="339" w:bottom="1440" w:gutter="0" w:footer="0" w:header="0"/>
        </w:sectPr>
      </w:pPr>
    </w:p>
    <w:bookmarkStart w:id="515" w:name="page516"/>
    <w:bookmarkEnd w:id="515"/>
    <w:p>
      <w:pPr>
        <w:jc w:val="both"/>
        <w:spacing w:after="0" w:line="272" w:lineRule="auto"/>
        <w:rPr>
          <w:sz w:val="20"/>
          <w:szCs w:val="20"/>
          <w:color w:val="auto"/>
        </w:rPr>
      </w:pPr>
      <w:r>
        <w:rPr>
          <w:rFonts w:ascii="Arial" w:cs="Arial" w:eastAsia="Arial" w:hAnsi="Arial"/>
          <w:sz w:val="21"/>
          <w:szCs w:val="21"/>
          <w:color w:val="231F20"/>
        </w:rPr>
        <w:t>person. Even if the Trading Administrator has not designated you as a person who should not trade due to an event-specific restriction, you should not trade while aware of material nonpublic information. Exceptions will not be granted during an event-specific trading restriction period.</w:t>
      </w:r>
    </w:p>
    <w:p>
      <w:pPr>
        <w:spacing w:after="0" w:line="195" w:lineRule="exact"/>
        <w:rPr>
          <w:sz w:val="20"/>
          <w:szCs w:val="20"/>
          <w:color w:val="auto"/>
        </w:rPr>
      </w:pPr>
    </w:p>
    <w:p>
      <w:pPr>
        <w:jc w:val="both"/>
        <w:spacing w:after="0" w:line="262" w:lineRule="auto"/>
        <w:rPr>
          <w:sz w:val="20"/>
          <w:szCs w:val="20"/>
          <w:color w:val="auto"/>
        </w:rPr>
      </w:pPr>
      <w:r>
        <w:rPr>
          <w:rFonts w:ascii="Arial" w:cs="Arial" w:eastAsia="Arial" w:hAnsi="Arial"/>
          <w:sz w:val="21"/>
          <w:szCs w:val="21"/>
          <w:i w:val="1"/>
          <w:iCs w:val="1"/>
          <w:u w:val="single" w:color="auto"/>
          <w:color w:val="231F20"/>
        </w:rPr>
        <w:t>Exceptions</w:t>
      </w:r>
      <w:r>
        <w:rPr>
          <w:rFonts w:ascii="Arial" w:cs="Arial" w:eastAsia="Arial" w:hAnsi="Arial"/>
          <w:sz w:val="21"/>
          <w:szCs w:val="21"/>
          <w:i w:val="1"/>
          <w:iCs w:val="1"/>
          <w:color w:val="231F20"/>
        </w:rPr>
        <w:t xml:space="preserve">. </w:t>
      </w:r>
      <w:r>
        <w:rPr>
          <w:rFonts w:ascii="Arial" w:cs="Arial" w:eastAsia="Arial" w:hAnsi="Arial"/>
          <w:sz w:val="21"/>
          <w:szCs w:val="21"/>
          <w:color w:val="231F20"/>
        </w:rPr>
        <w:t>The quarterly trading restrictions and event-driven trading restrictions do not apply to those transactions to</w:t>
      </w:r>
      <w:r>
        <w:rPr>
          <w:rFonts w:ascii="Arial" w:cs="Arial" w:eastAsia="Arial" w:hAnsi="Arial"/>
          <w:sz w:val="21"/>
          <w:szCs w:val="21"/>
          <w:i w:val="1"/>
          <w:iCs w:val="1"/>
          <w:color w:val="231F20"/>
        </w:rPr>
        <w:t xml:space="preserve"> </w:t>
      </w:r>
      <w:r>
        <w:rPr>
          <w:rFonts w:ascii="Arial" w:cs="Arial" w:eastAsia="Arial" w:hAnsi="Arial"/>
          <w:sz w:val="21"/>
          <w:szCs w:val="21"/>
          <w:color w:val="231F20"/>
        </w:rPr>
        <w:t>which this Policy does not apply, as described above under the headings “Transactions Under Company Plans” and “Transactions Not Involving a Purchase or Sale.” Further, the requirement for pre-clearance, the quarterly trading restrictions and event-driven trading restrictions do not apply to transactions conducted pursuant to pre-cleared 10b5-1 Plans, described under the heading “Rule 10b5-1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1"/>
          <w:szCs w:val="21"/>
          <w:b w:val="1"/>
          <w:bCs w:val="1"/>
          <w:color w:val="231F20"/>
        </w:rPr>
        <w:t>Rule 10b5-1 Plans</w:t>
      </w:r>
    </w:p>
    <w:p>
      <w:pPr>
        <w:spacing w:after="0" w:line="255"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231F20"/>
        </w:rPr>
        <w:t xml:space="preserve">Rule 10b5-1 under the Exchange Act (“Rule 10b5-1”) provides an affirmative defense from insider trading liability under Rule 10b-5. In order to be eligible to rely on this defense, a person subject to this Policy must enter into a written Rule 10b5-1 plan (a “10b5-1 Plan”) for transactions in Company Securities that meets certain conditions specified in the Rule. If the plan meets the requirements of Rule 10b5-1, Company Securities may be purchased or sold pursuant to the terms of the plan without regard to certain insider trading restrictions. To comply with the Policy, a 10b5-1 Plan must be pre-cleared by the Trading Administrator and meet the requirements of Rule 10b5-1 and the Company’s guidelines for 10b5-1 Plans (attached to this Policy as </w:t>
      </w:r>
      <w:r>
        <w:rPr>
          <w:rFonts w:ascii="Arial" w:cs="Arial" w:eastAsia="Arial" w:hAnsi="Arial"/>
          <w:sz w:val="21"/>
          <w:szCs w:val="21"/>
          <w:b w:val="1"/>
          <w:bCs w:val="1"/>
          <w:u w:val="single" w:color="auto"/>
          <w:color w:val="231F20"/>
        </w:rPr>
        <w:t>Exhibit A</w:t>
      </w:r>
      <w:r>
        <w:rPr>
          <w:rFonts w:ascii="Arial" w:cs="Arial" w:eastAsia="Arial" w:hAnsi="Arial"/>
          <w:sz w:val="21"/>
          <w:szCs w:val="21"/>
          <w:color w:val="231F20"/>
        </w:rPr>
        <w:t>). In general, a 10b5-1 Plan must only be entered into during an open window period and only at a time when the person entering into the plan is not aware of material nonpublic information. Once the plan is adopted, the person must not exercise any discretion or influence over the amount of securities to be traded, the price at which they are to be traded or the date of the trade. The plan must either specify the amount, pricing, and timing of transactions in advance or delegate discretion on these matters to an independent third party.</w:t>
      </w:r>
    </w:p>
    <w:p>
      <w:pPr>
        <w:spacing w:after="0" w:line="200" w:lineRule="exact"/>
        <w:rPr>
          <w:sz w:val="20"/>
          <w:szCs w:val="20"/>
          <w:color w:val="auto"/>
        </w:rPr>
      </w:pPr>
    </w:p>
    <w:p>
      <w:pPr>
        <w:spacing w:after="0" w:line="261"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231F20"/>
        </w:rPr>
        <w:t>Any 10b5 -1 Plan must be submitted to the Trading Administrator for pre-clearance ten (10) calendar days prior to the entry into the 10b5-1 Plan. The pre-clearance decision is valid for five (5) business days following the date of the intended start of the 10b5-1 Plan. If the 10b5-1 Plan is not entered into within that time period, another request for pre-clearance should be submitted. No further pre-clearance of transactions conducted pursuant to the 10b5-1 Plan will be required.</w:t>
      </w:r>
    </w:p>
    <w:p>
      <w:pPr>
        <w:spacing w:after="0" w:line="189" w:lineRule="exact"/>
        <w:rPr>
          <w:sz w:val="20"/>
          <w:szCs w:val="20"/>
          <w:color w:val="auto"/>
        </w:rPr>
      </w:pPr>
    </w:p>
    <w:p>
      <w:pPr>
        <w:spacing w:after="0"/>
        <w:rPr>
          <w:sz w:val="20"/>
          <w:szCs w:val="20"/>
          <w:color w:val="auto"/>
        </w:rPr>
      </w:pPr>
      <w:r>
        <w:rPr>
          <w:rFonts w:ascii="Arial" w:cs="Arial" w:eastAsia="Arial" w:hAnsi="Arial"/>
          <w:sz w:val="21"/>
          <w:szCs w:val="21"/>
          <w:b w:val="1"/>
          <w:bCs w:val="1"/>
          <w:color w:val="231F20"/>
        </w:rPr>
        <w:t>Post-Termination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9"/>
        <w:spacing w:after="0"/>
        <w:tabs>
          <w:tab w:leader="none" w:pos="160" w:val="left"/>
        </w:tabs>
        <w:rPr>
          <w:sz w:val="20"/>
          <w:szCs w:val="20"/>
          <w:color w:val="auto"/>
        </w:rPr>
      </w:pPr>
      <w:r>
        <w:rPr>
          <w:rFonts w:ascii="Arial" w:cs="Arial" w:eastAsia="Arial" w:hAnsi="Arial"/>
          <w:sz w:val="18"/>
          <w:szCs w:val="18"/>
          <w:color w:val="auto"/>
        </w:rPr>
        <w:t>- 11 -</w:t>
      </w:r>
      <w:r>
        <w:rPr>
          <w:sz w:val="20"/>
          <w:szCs w:val="20"/>
          <w:color w:val="auto"/>
        </w:rPr>
        <w:tab/>
      </w:r>
      <w:r>
        <w:rPr>
          <w:rFonts w:ascii="Arial" w:cs="Arial" w:eastAsia="Arial" w:hAnsi="Arial"/>
          <w:sz w:val="17"/>
          <w:szCs w:val="17"/>
          <w:color w:val="auto"/>
        </w:rPr>
        <w:t>Insider Trading Policy</w:t>
      </w:r>
    </w:p>
    <w:p>
      <w:pPr>
        <w:spacing w:after="0" w:line="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05/03/23</w:t>
      </w:r>
    </w:p>
    <w:p>
      <w:pPr>
        <w:sectPr>
          <w:pgSz w:w="11900" w:h="16838" w:orient="portrait"/>
          <w:cols w:equalWidth="0" w:num="1">
            <w:col w:w="11240"/>
          </w:cols>
          <w:pgMar w:left="320" w:top="1409" w:right="339" w:bottom="1440" w:gutter="0" w:footer="0" w:header="0"/>
        </w:sectPr>
      </w:pPr>
    </w:p>
    <w:bookmarkStart w:id="516" w:name="page517"/>
    <w:bookmarkEnd w:id="516"/>
    <w:p>
      <w:pPr>
        <w:jc w:val="both"/>
        <w:spacing w:after="0" w:line="274" w:lineRule="auto"/>
        <w:rPr>
          <w:sz w:val="20"/>
          <w:szCs w:val="20"/>
          <w:color w:val="auto"/>
        </w:rPr>
      </w:pPr>
      <w:r>
        <w:rPr>
          <w:rFonts w:ascii="Arial" w:cs="Arial" w:eastAsia="Arial" w:hAnsi="Arial"/>
          <w:sz w:val="21"/>
          <w:szCs w:val="21"/>
          <w:color w:val="231F20"/>
        </w:rPr>
        <w:t>This Policy continues to apply to transactions in Company Securities even after termination of service to the Company or its subsidiaries. If an individual is in possession of material nonpublic information when his or her service terminates, that individual may not trade in Company Securities until that information has become public or is no longer material.</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b w:val="1"/>
          <w:bCs w:val="1"/>
          <w:color w:val="231F20"/>
        </w:rPr>
        <w:t>Consequences of Violations</w:t>
      </w:r>
    </w:p>
    <w:p>
      <w:pPr>
        <w:spacing w:after="0" w:line="255"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231F20"/>
        </w:rPr>
        <w:t>The purchase or sale of securities while aware of material nonpublic information, or the disclosure of material nonpublic information to others who then trade in the Company’s Securities, is prohibited by federal and state laws. Insider trading violations are pursued vigorously by the SEC, U.S. Attorneys, and state enforcement authorities, as well as the laws of foreign jurisdictions. Punishment for insider trading violations is severe, and could include significant fines and imprisonment. While the regulatory authorities concentrate their efforts on the individuals who trade, or who tip inside information to others who trade, the federal securities laws also impose potential liability on companies and other “controlling persons” if they fail to take reasonable steps to prevent insider trading by company personnel.</w:t>
      </w:r>
    </w:p>
    <w:p>
      <w:pPr>
        <w:spacing w:after="0" w:line="200" w:lineRule="exact"/>
        <w:rPr>
          <w:sz w:val="20"/>
          <w:szCs w:val="20"/>
          <w:color w:val="auto"/>
        </w:rPr>
      </w:pP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21"/>
          <w:szCs w:val="21"/>
          <w:color w:val="231F20"/>
        </w:rPr>
        <w:t>In addition, an individual’s failure to comply with this Policy may subject the individual to Company-imposed sanctions, including dismissal for cause, whether or not the employee’s failure to comply results in a violation of law. Needless to say, a violation of law, or even an SEC investigation that does not result in prosecution, can tarnish a person’s reputation and irreparably damage a career.</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231F20"/>
        </w:rPr>
        <w:t>Company Assistance</w:t>
      </w:r>
    </w:p>
    <w:p>
      <w:pPr>
        <w:spacing w:after="0" w:line="255" w:lineRule="exact"/>
        <w:rPr>
          <w:sz w:val="20"/>
          <w:szCs w:val="20"/>
          <w:color w:val="auto"/>
        </w:rPr>
      </w:pPr>
    </w:p>
    <w:p>
      <w:pPr>
        <w:jc w:val="both"/>
        <w:spacing w:after="0" w:line="279" w:lineRule="auto"/>
        <w:rPr>
          <w:sz w:val="20"/>
          <w:szCs w:val="20"/>
          <w:color w:val="auto"/>
        </w:rPr>
      </w:pPr>
      <w:r>
        <w:rPr>
          <w:rFonts w:ascii="Arial" w:cs="Arial" w:eastAsia="Arial" w:hAnsi="Arial"/>
          <w:sz w:val="21"/>
          <w:szCs w:val="21"/>
          <w:color w:val="231F20"/>
        </w:rPr>
        <w:t>Any person who has a question about this Policy or its application to any proposed transaction may obtain additional guidance from the Trading Administrator, Catherine M. Mazzeo. In her absence, please contact Dana Walsh or Carla Duran.</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color w:val="231F20"/>
        </w:rPr>
        <w:t>Certification</w:t>
      </w:r>
    </w:p>
    <w:p>
      <w:pPr>
        <w:spacing w:after="0" w:line="255" w:lineRule="exact"/>
        <w:rPr>
          <w:sz w:val="20"/>
          <w:szCs w:val="20"/>
          <w:color w:val="auto"/>
        </w:rPr>
      </w:pPr>
    </w:p>
    <w:p>
      <w:pPr>
        <w:jc w:val="both"/>
        <w:ind w:right="20"/>
        <w:spacing w:after="0" w:line="292" w:lineRule="auto"/>
        <w:rPr>
          <w:sz w:val="20"/>
          <w:szCs w:val="20"/>
          <w:color w:val="auto"/>
        </w:rPr>
      </w:pPr>
      <w:r>
        <w:rPr>
          <w:rFonts w:ascii="Arial" w:cs="Arial" w:eastAsia="Arial" w:hAnsi="Arial"/>
          <w:sz w:val="21"/>
          <w:szCs w:val="21"/>
          <w:color w:val="231F20"/>
        </w:rPr>
        <w:t>All directors and officers of the Company and certain other persons who may be designated as subject to this policy must certify their understanding of and intent to comply with this Policy.</w:t>
      </w:r>
    </w:p>
    <w:p>
      <w:pPr>
        <w:spacing w:after="0" w:line="200" w:lineRule="exact"/>
        <w:rPr>
          <w:sz w:val="20"/>
          <w:szCs w:val="20"/>
          <w:color w:val="auto"/>
        </w:rPr>
      </w:pPr>
    </w:p>
    <w:p>
      <w:pPr>
        <w:spacing w:after="0" w:line="214" w:lineRule="exact"/>
        <w:rPr>
          <w:sz w:val="20"/>
          <w:szCs w:val="20"/>
          <w:color w:val="auto"/>
        </w:rPr>
      </w:pPr>
    </w:p>
    <w:p>
      <w:pPr>
        <w:ind w:left="4980"/>
        <w:spacing w:after="0"/>
        <w:tabs>
          <w:tab w:leader="none" w:pos="5560" w:val="left"/>
          <w:tab w:leader="none" w:pos="6140" w:val="left"/>
        </w:tabs>
        <w:rPr>
          <w:sz w:val="20"/>
          <w:szCs w:val="20"/>
          <w:color w:val="auto"/>
        </w:rPr>
      </w:pPr>
      <w:r>
        <w:rPr>
          <w:rFonts w:ascii="Times New Roman" w:cs="Times New Roman" w:eastAsia="Times New Roman" w:hAnsi="Times New Roman"/>
          <w:sz w:val="21"/>
          <w:szCs w:val="21"/>
          <w:color w:val="auto"/>
        </w:rPr>
        <w:t>*</w:t>
      </w:r>
      <w:r>
        <w:rPr>
          <w:sz w:val="20"/>
          <w:szCs w:val="20"/>
          <w:color w:val="auto"/>
        </w:rPr>
        <w:tab/>
      </w:r>
      <w:r>
        <w:rPr>
          <w:rFonts w:ascii="Times New Roman" w:cs="Times New Roman" w:eastAsia="Times New Roman" w:hAnsi="Times New Roman"/>
          <w:sz w:val="21"/>
          <w:szCs w:val="21"/>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9"/>
        <w:spacing w:after="0"/>
        <w:tabs>
          <w:tab w:leader="none" w:pos="180" w:val="left"/>
        </w:tabs>
        <w:rPr>
          <w:sz w:val="20"/>
          <w:szCs w:val="20"/>
          <w:color w:val="auto"/>
        </w:rPr>
      </w:pPr>
      <w:r>
        <w:rPr>
          <w:rFonts w:ascii="Arial" w:cs="Arial" w:eastAsia="Arial" w:hAnsi="Arial"/>
          <w:sz w:val="18"/>
          <w:szCs w:val="18"/>
          <w:color w:val="auto"/>
        </w:rPr>
        <w:t>- 12 -</w:t>
      </w:r>
      <w:r>
        <w:rPr>
          <w:sz w:val="20"/>
          <w:szCs w:val="20"/>
          <w:color w:val="auto"/>
        </w:rPr>
        <w:tab/>
      </w:r>
      <w:r>
        <w:rPr>
          <w:rFonts w:ascii="Arial" w:cs="Arial" w:eastAsia="Arial" w:hAnsi="Arial"/>
          <w:sz w:val="17"/>
          <w:szCs w:val="17"/>
          <w:color w:val="auto"/>
        </w:rPr>
        <w:t>Insider Trading Policy</w:t>
      </w:r>
    </w:p>
    <w:p>
      <w:pPr>
        <w:spacing w:after="0" w:line="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05/03/23</w:t>
      </w:r>
    </w:p>
    <w:p>
      <w:pPr>
        <w:sectPr>
          <w:pgSz w:w="11900" w:h="16838" w:orient="portrait"/>
          <w:cols w:equalWidth="0" w:num="1">
            <w:col w:w="11240"/>
          </w:cols>
          <w:pgMar w:left="320" w:top="1409" w:right="339" w:bottom="1440" w:gutter="0" w:footer="0" w:header="0"/>
        </w:sectPr>
      </w:pPr>
    </w:p>
    <w:bookmarkStart w:id="517" w:name="page518"/>
    <w:bookmarkEnd w:id="517"/>
    <w:p>
      <w:pPr>
        <w:jc w:val="center"/>
        <w:spacing w:after="0"/>
        <w:rPr>
          <w:sz w:val="20"/>
          <w:szCs w:val="20"/>
          <w:color w:val="auto"/>
        </w:rPr>
      </w:pPr>
      <w:r>
        <w:rPr>
          <w:rFonts w:ascii="Arial" w:cs="Arial" w:eastAsia="Arial" w:hAnsi="Arial"/>
          <w:sz w:val="21"/>
          <w:szCs w:val="21"/>
          <w:b w:val="1"/>
          <w:bCs w:val="1"/>
          <w:u w:val="single" w:color="auto"/>
          <w:color w:val="auto"/>
        </w:rPr>
        <w:t>EXHIBIT A - GUIDELINES FOR 10B5-1 PLANS</w:t>
      </w:r>
    </w:p>
    <w:p>
      <w:pPr>
        <w:spacing w:after="0" w:line="200" w:lineRule="exact"/>
        <w:rPr>
          <w:sz w:val="20"/>
          <w:szCs w:val="20"/>
          <w:color w:val="auto"/>
        </w:rPr>
      </w:pPr>
    </w:p>
    <w:p>
      <w:pPr>
        <w:spacing w:after="0" w:line="296"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 xml:space="preserve">Notwithstanding any other guidelines contained in the Insider Trading Policy (“Policy”) </w:t>
      </w:r>
      <w:r>
        <w:rPr>
          <w:rFonts w:ascii="Arial" w:cs="Arial" w:eastAsia="Arial" w:hAnsi="Arial"/>
          <w:sz w:val="21"/>
          <w:szCs w:val="21"/>
          <w:color w:val="231F20"/>
        </w:rPr>
        <w:t>of Southwest Gas Holdings, Inc.</w:t>
      </w:r>
      <w:r>
        <w:rPr>
          <w:rFonts w:ascii="Arial" w:cs="Arial" w:eastAsia="Arial" w:hAnsi="Arial"/>
          <w:sz w:val="21"/>
          <w:szCs w:val="21"/>
          <w:color w:val="auto"/>
        </w:rPr>
        <w:t xml:space="preserve"> </w:t>
      </w:r>
      <w:r>
        <w:rPr>
          <w:rFonts w:ascii="Arial" w:cs="Arial" w:eastAsia="Arial" w:hAnsi="Arial"/>
          <w:sz w:val="21"/>
          <w:szCs w:val="21"/>
          <w:color w:val="231F20"/>
        </w:rPr>
        <w:t xml:space="preserve">(“Company”) </w:t>
      </w:r>
      <w:r>
        <w:rPr>
          <w:rFonts w:ascii="Arial" w:cs="Arial" w:eastAsia="Arial" w:hAnsi="Arial"/>
          <w:sz w:val="21"/>
          <w:szCs w:val="21"/>
          <w:color w:val="000000"/>
        </w:rPr>
        <w:t>to the contrary, it shall not be a violation of the Policy for persons subject to the Policy (“Company</w:t>
      </w:r>
      <w:r>
        <w:rPr>
          <w:rFonts w:ascii="Arial" w:cs="Arial" w:eastAsia="Arial" w:hAnsi="Arial"/>
          <w:sz w:val="21"/>
          <w:szCs w:val="21"/>
          <w:color w:val="231F20"/>
        </w:rPr>
        <w:t xml:space="preserve"> </w:t>
      </w:r>
      <w:r>
        <w:rPr>
          <w:rFonts w:ascii="Arial" w:cs="Arial" w:eastAsia="Arial" w:hAnsi="Arial"/>
          <w:sz w:val="21"/>
          <w:szCs w:val="21"/>
          <w:color w:val="000000"/>
        </w:rPr>
        <w:t xml:space="preserve">Insiders”) to purchase or sell Company Securities (as defined in the Policy) under pre-planned trading programs adopted to purchase or sell securities in the future so long as such pre-planned trading programs (i) are in compliance with Rule 10b5-1 under </w:t>
      </w:r>
      <w:r>
        <w:rPr>
          <w:rFonts w:ascii="Arial" w:cs="Arial" w:eastAsia="Arial" w:hAnsi="Arial"/>
          <w:sz w:val="21"/>
          <w:szCs w:val="21"/>
          <w:color w:val="231F20"/>
        </w:rPr>
        <w:t>the Securities Exchange Act of 1934, as amended</w:t>
      </w:r>
      <w:r>
        <w:rPr>
          <w:rFonts w:ascii="Arial" w:cs="Arial" w:eastAsia="Arial" w:hAnsi="Arial"/>
          <w:sz w:val="21"/>
          <w:szCs w:val="21"/>
          <w:color w:val="000000"/>
        </w:rPr>
        <w:t xml:space="preserve"> (the “Exchange Act”), and (ii) have been pre-cleared by the </w:t>
      </w:r>
      <w:r>
        <w:rPr>
          <w:rFonts w:ascii="Arial" w:cs="Arial" w:eastAsia="Arial" w:hAnsi="Arial"/>
          <w:sz w:val="21"/>
          <w:szCs w:val="21"/>
          <w:color w:val="231F20"/>
        </w:rPr>
        <w:t>Trading Administrator (as defined under the Policy)</w:t>
      </w:r>
      <w:r>
        <w:rPr>
          <w:rFonts w:ascii="Arial" w:cs="Arial" w:eastAsia="Arial" w:hAnsi="Arial"/>
          <w:sz w:val="21"/>
          <w:szCs w:val="21"/>
          <w:color w:val="000000"/>
        </w:rPr>
        <w:t>. For avoidance of doubt, all references in the Policy to the Company are intended to be inclusive of the Company’s subsidiaries.</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231F20"/>
        </w:rPr>
        <w:t>Rule 10b5-1 under the Exchange Act (“Rule 10b5-1”) provides an affirmative defense from insider trading liability under Rule 10b-5. To be eligible to rely on this defense, a Company Insider must enter into a written Rule 10b5-1 plan (“10b5-1 Plan”) for transactions in Company Securities that meet certain conditions specified in Rule 10b5. In general, a 10b5-1 Plan must only be entered into during an open window period and only at a time when the Company Insider entering into the 10b5-1 Plan is not aware of material nonpublic information. Once the 10b5-1 Plan is adopted, the Company Insider must not exercise any discretion or influence over the amount of securities to be traded, the price at which they are to be traded or the date of the trade. The 10b5 -1 Plan must either specify the amount, pricing, and timing of transactions in advance or delegate discretion on these matters to an independent third party.</w:t>
      </w:r>
    </w:p>
    <w:p>
      <w:pPr>
        <w:spacing w:after="0" w:line="194"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 xml:space="preserve">If you decide to use a 10b5-1 Plan, it must be precleared by the Trading Administrator and meet the requirements of the Rule and the following guidelines. </w:t>
      </w:r>
      <w:r>
        <w:rPr>
          <w:rFonts w:ascii="Arial" w:cs="Arial" w:eastAsia="Arial" w:hAnsi="Arial"/>
          <w:sz w:val="21"/>
          <w:szCs w:val="21"/>
          <w:color w:val="231F20"/>
        </w:rPr>
        <w:t>Any 10b5-1 Plan must be submitted to the Trading Administrator for pre-clearance at least ten (10) calendar days prior to entry into the 10b5-1 Plan. The pre-clearance decision is valid for five</w:t>
      </w:r>
    </w:p>
    <w:p>
      <w:pPr>
        <w:spacing w:after="0" w:line="2" w:lineRule="exact"/>
        <w:rPr>
          <w:sz w:val="20"/>
          <w:szCs w:val="20"/>
          <w:color w:val="auto"/>
        </w:rPr>
      </w:pPr>
    </w:p>
    <w:p>
      <w:pPr>
        <w:jc w:val="both"/>
        <w:ind w:firstLine="7"/>
        <w:spacing w:after="0" w:line="265" w:lineRule="auto"/>
        <w:tabs>
          <w:tab w:leader="none" w:pos="341" w:val="left"/>
        </w:tabs>
        <w:numPr>
          <w:ilvl w:val="0"/>
          <w:numId w:val="405"/>
        </w:numPr>
        <w:rPr>
          <w:rFonts w:ascii="Arial" w:cs="Arial" w:eastAsia="Arial" w:hAnsi="Arial"/>
          <w:sz w:val="21"/>
          <w:szCs w:val="21"/>
          <w:color w:val="231F20"/>
        </w:rPr>
      </w:pPr>
      <w:r>
        <w:rPr>
          <w:rFonts w:ascii="Arial" w:cs="Arial" w:eastAsia="Arial" w:hAnsi="Arial"/>
          <w:sz w:val="21"/>
          <w:szCs w:val="21"/>
          <w:color w:val="231F20"/>
        </w:rPr>
        <w:t>business days following the date of the intended start of the 10b5-1 Plan (the start date must be within an open window). If the 10b5-1 Plan is not entered into within that time period, another request for pre-clearance should be submitted. No further pre-clearance of transactions conducted pursuant to the 10b5-1 Plan will be required.</w:t>
      </w:r>
    </w:p>
    <w:p>
      <w:pPr>
        <w:spacing w:after="0" w:line="189" w:lineRule="exact"/>
        <w:rPr>
          <w:sz w:val="20"/>
          <w:szCs w:val="20"/>
          <w:color w:val="auto"/>
        </w:rPr>
      </w:pPr>
    </w:p>
    <w:p>
      <w:pPr>
        <w:ind w:right="20"/>
        <w:spacing w:after="0" w:line="292" w:lineRule="auto"/>
        <w:rPr>
          <w:sz w:val="20"/>
          <w:szCs w:val="20"/>
          <w:color w:val="auto"/>
        </w:rPr>
      </w:pPr>
      <w:r>
        <w:rPr>
          <w:rFonts w:ascii="Arial" w:cs="Arial" w:eastAsia="Arial" w:hAnsi="Arial"/>
          <w:sz w:val="21"/>
          <w:szCs w:val="21"/>
          <w:color w:val="auto"/>
        </w:rPr>
        <w:t>The following guidelines apply to any 10b5-1 Plans covering Company Securities to be entered into by Company Insiders:</w:t>
      </w:r>
    </w:p>
    <w:p>
      <w:pPr>
        <w:spacing w:after="0" w:line="175" w:lineRule="exact"/>
        <w:rPr>
          <w:sz w:val="20"/>
          <w:szCs w:val="20"/>
          <w:color w:val="auto"/>
        </w:rPr>
      </w:pPr>
    </w:p>
    <w:p>
      <w:pPr>
        <w:ind w:left="320" w:right="20" w:hanging="313"/>
        <w:spacing w:after="0" w:line="291" w:lineRule="auto"/>
        <w:tabs>
          <w:tab w:leader="none" w:pos="315" w:val="left"/>
        </w:tabs>
        <w:numPr>
          <w:ilvl w:val="0"/>
          <w:numId w:val="406"/>
        </w:numPr>
        <w:rPr>
          <w:rFonts w:ascii="Times New Roman" w:cs="Times New Roman" w:eastAsia="Times New Roman" w:hAnsi="Times New Roman"/>
          <w:sz w:val="21"/>
          <w:szCs w:val="21"/>
          <w:color w:val="auto"/>
        </w:rPr>
      </w:pPr>
      <w:r>
        <w:rPr>
          <w:rFonts w:ascii="Arial" w:cs="Arial" w:eastAsia="Arial" w:hAnsi="Arial"/>
          <w:sz w:val="21"/>
          <w:szCs w:val="21"/>
          <w:color w:val="auto"/>
        </w:rPr>
        <w:t xml:space="preserve">Company Insiders may not enter into a 10b5-1 Plan during a Blackout Period (as defined in the Policy) or while aware of </w:t>
      </w:r>
      <w:r>
        <w:rPr>
          <w:rFonts w:ascii="Arial" w:cs="Arial" w:eastAsia="Arial" w:hAnsi="Arial"/>
          <w:sz w:val="21"/>
          <w:szCs w:val="21"/>
          <w:color w:val="231F20"/>
        </w:rPr>
        <w:t>material nonpublic information (as further described in the Policy)</w:t>
      </w:r>
      <w:r>
        <w:rPr>
          <w:rFonts w:ascii="Arial" w:cs="Arial" w:eastAsia="Arial" w:hAnsi="Arial"/>
          <w:sz w:val="21"/>
          <w:szCs w:val="21"/>
          <w:color w:val="auto"/>
        </w:rPr>
        <w:t>.</w:t>
      </w:r>
    </w:p>
    <w:p>
      <w:pPr>
        <w:spacing w:after="0" w:line="162" w:lineRule="exact"/>
        <w:rPr>
          <w:sz w:val="20"/>
          <w:szCs w:val="20"/>
          <w:color w:val="auto"/>
        </w:rPr>
      </w:pPr>
    </w:p>
    <w:p>
      <w:pPr>
        <w:jc w:val="both"/>
        <w:ind w:left="980" w:hanging="331"/>
        <w:spacing w:after="0" w:line="275" w:lineRule="auto"/>
        <w:tabs>
          <w:tab w:leader="none" w:pos="974" w:val="left"/>
        </w:tabs>
        <w:numPr>
          <w:ilvl w:val="0"/>
          <w:numId w:val="407"/>
        </w:numPr>
        <w:rPr>
          <w:rFonts w:ascii="Courier New" w:cs="Courier New" w:eastAsia="Courier New" w:hAnsi="Courier New"/>
          <w:sz w:val="21"/>
          <w:szCs w:val="21"/>
          <w:color w:val="auto"/>
        </w:rPr>
      </w:pPr>
      <w:r>
        <w:rPr>
          <w:rFonts w:ascii="Arial" w:cs="Arial" w:eastAsia="Arial" w:hAnsi="Arial"/>
          <w:sz w:val="21"/>
          <w:szCs w:val="21"/>
          <w:color w:val="auto"/>
        </w:rPr>
        <w:t>Any 10b5-1 Plan entered into by a Company Insider shall include a representation in the 10b5-1 Plan at the time of adoption certifying that (i) the Company Insider is not aware of material nonpublic information and (ii) the Company Insider is adopting the 10b5-1 Plan in good faith and not as a part</w:t>
      </w:r>
    </w:p>
    <w:p>
      <w:pPr>
        <w:spacing w:after="0" w:line="200" w:lineRule="exact"/>
        <w:rPr>
          <w:rFonts w:ascii="Courier New" w:cs="Courier New" w:eastAsia="Courier New" w:hAnsi="Courier New"/>
          <w:sz w:val="21"/>
          <w:szCs w:val="21"/>
          <w:color w:val="auto"/>
        </w:rPr>
      </w:pPr>
    </w:p>
    <w:p>
      <w:pPr>
        <w:spacing w:after="0" w:line="200" w:lineRule="exact"/>
        <w:rPr>
          <w:rFonts w:ascii="Courier New" w:cs="Courier New" w:eastAsia="Courier New" w:hAnsi="Courier New"/>
          <w:sz w:val="21"/>
          <w:szCs w:val="21"/>
          <w:color w:val="auto"/>
        </w:rPr>
      </w:pPr>
    </w:p>
    <w:p>
      <w:pPr>
        <w:spacing w:after="0" w:line="387" w:lineRule="exact"/>
        <w:rPr>
          <w:rFonts w:ascii="Courier New" w:cs="Courier New" w:eastAsia="Courier New" w:hAnsi="Courier New"/>
          <w:sz w:val="21"/>
          <w:szCs w:val="21"/>
          <w:color w:val="auto"/>
        </w:rPr>
      </w:pPr>
    </w:p>
    <w:p>
      <w:pPr>
        <w:ind w:left="4680" w:hanging="118"/>
        <w:spacing w:after="0"/>
        <w:tabs>
          <w:tab w:leader="none" w:pos="4680" w:val="left"/>
        </w:tabs>
        <w:numPr>
          <w:ilvl w:val="1"/>
          <w:numId w:val="407"/>
        </w:numPr>
        <w:rPr>
          <w:rFonts w:ascii="Arial" w:cs="Arial" w:eastAsia="Arial" w:hAnsi="Arial"/>
          <w:sz w:val="18"/>
          <w:szCs w:val="18"/>
          <w:color w:val="auto"/>
        </w:rPr>
      </w:pPr>
      <w:r>
        <w:rPr>
          <w:rFonts w:ascii="Arial" w:cs="Arial" w:eastAsia="Arial" w:hAnsi="Arial"/>
          <w:sz w:val="18"/>
          <w:szCs w:val="18"/>
          <w:color w:val="auto"/>
        </w:rPr>
        <w:t>13 -  Insider Trading Policy</w:t>
      </w:r>
    </w:p>
    <w:p>
      <w:pPr>
        <w:spacing w:after="0" w:line="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05/03/23</w:t>
      </w:r>
    </w:p>
    <w:p>
      <w:pPr>
        <w:sectPr>
          <w:pgSz w:w="11900" w:h="16838" w:orient="portrait"/>
          <w:cols w:equalWidth="0" w:num="1">
            <w:col w:w="11240"/>
          </w:cols>
          <w:pgMar w:left="320" w:top="1408" w:right="339" w:bottom="1440" w:gutter="0" w:footer="0" w:header="0"/>
        </w:sectPr>
      </w:pPr>
    </w:p>
    <w:bookmarkStart w:id="518" w:name="page519"/>
    <w:bookmarkEnd w:id="518"/>
    <w:p>
      <w:pPr>
        <w:ind w:left="980"/>
        <w:spacing w:after="0" w:line="292" w:lineRule="auto"/>
        <w:rPr>
          <w:sz w:val="20"/>
          <w:szCs w:val="20"/>
          <w:color w:val="auto"/>
        </w:rPr>
      </w:pPr>
      <w:r>
        <w:rPr>
          <w:rFonts w:ascii="Arial" w:cs="Arial" w:eastAsia="Arial" w:hAnsi="Arial"/>
          <w:sz w:val="21"/>
          <w:szCs w:val="21"/>
          <w:color w:val="auto"/>
        </w:rPr>
        <w:t>of a plan or scheme to evade the prohibitions of Rule 10b5 under the Securities Act of 1933, as amended (“Securities Act”).</w:t>
      </w:r>
    </w:p>
    <w:p>
      <w:pPr>
        <w:spacing w:after="0" w:line="161" w:lineRule="exact"/>
        <w:rPr>
          <w:sz w:val="20"/>
          <w:szCs w:val="20"/>
          <w:color w:val="auto"/>
        </w:rPr>
      </w:pPr>
    </w:p>
    <w:p>
      <w:pPr>
        <w:ind w:left="320" w:hanging="313"/>
        <w:spacing w:after="0"/>
        <w:tabs>
          <w:tab w:leader="none" w:pos="320" w:val="left"/>
        </w:tabs>
        <w:numPr>
          <w:ilvl w:val="0"/>
          <w:numId w:val="408"/>
        </w:numPr>
        <w:rPr>
          <w:rFonts w:ascii="Times New Roman" w:cs="Times New Roman" w:eastAsia="Times New Roman" w:hAnsi="Times New Roman"/>
          <w:sz w:val="21"/>
          <w:szCs w:val="21"/>
          <w:color w:val="auto"/>
        </w:rPr>
      </w:pPr>
      <w:r>
        <w:rPr>
          <w:rFonts w:ascii="Arial" w:cs="Arial" w:eastAsia="Arial" w:hAnsi="Arial"/>
          <w:sz w:val="21"/>
          <w:szCs w:val="21"/>
          <w:color w:val="auto"/>
        </w:rPr>
        <w:t>All 10b5-1 Plans must have a duration of at least six (6) months.</w:t>
      </w:r>
    </w:p>
    <w:p>
      <w:pPr>
        <w:spacing w:after="0" w:line="265" w:lineRule="exact"/>
        <w:rPr>
          <w:rFonts w:ascii="Times New Roman" w:cs="Times New Roman" w:eastAsia="Times New Roman" w:hAnsi="Times New Roman"/>
          <w:sz w:val="21"/>
          <w:szCs w:val="21"/>
          <w:color w:val="auto"/>
        </w:rPr>
      </w:pPr>
    </w:p>
    <w:p>
      <w:pPr>
        <w:jc w:val="both"/>
        <w:ind w:left="320" w:hanging="313"/>
        <w:spacing w:after="0" w:line="261" w:lineRule="auto"/>
        <w:tabs>
          <w:tab w:leader="none" w:pos="315" w:val="left"/>
        </w:tabs>
        <w:numPr>
          <w:ilvl w:val="0"/>
          <w:numId w:val="408"/>
        </w:numPr>
        <w:rPr>
          <w:rFonts w:ascii="Times New Roman" w:cs="Times New Roman" w:eastAsia="Times New Roman" w:hAnsi="Times New Roman"/>
          <w:sz w:val="21"/>
          <w:szCs w:val="21"/>
          <w:color w:val="auto"/>
        </w:rPr>
      </w:pPr>
      <w:r>
        <w:rPr>
          <w:rFonts w:ascii="Arial" w:cs="Arial" w:eastAsia="Arial" w:hAnsi="Arial"/>
          <w:sz w:val="21"/>
          <w:szCs w:val="21"/>
          <w:color w:val="auto"/>
        </w:rPr>
        <w:t>No 10b5-1 Plan may provide for the execution of any transaction until (1) for any Company Insider subject to Section 16 of the Exchange Act, the later of (i) ninety (90) days following adoption or modification of the 10b5-1 Plan and (ii) two (2) business days following the filing of the Form 10-Q or Form 10-K for the fiscal quarter (or fiscal year in the case of a Form 10-K) in which the 10b5-1 Plan was adopted, in any event, the required period not to exceed one hundred and twenty (120) days following adoption or modification of the 10b5-1 Plan; and (2) for any other Company Insider subject to this Policy who is not subject to Section 16 of the Exchange Act, thirty (30) days following the adoption or modification of the 10b5-1 Plan.</w:t>
      </w:r>
    </w:p>
    <w:p>
      <w:pPr>
        <w:spacing w:after="0" w:line="194" w:lineRule="exact"/>
        <w:rPr>
          <w:sz w:val="20"/>
          <w:szCs w:val="20"/>
          <w:color w:val="auto"/>
        </w:rPr>
      </w:pPr>
    </w:p>
    <w:p>
      <w:pPr>
        <w:jc w:val="both"/>
        <w:ind w:left="980" w:hanging="331"/>
        <w:spacing w:after="0" w:line="275" w:lineRule="auto"/>
        <w:tabs>
          <w:tab w:leader="none" w:pos="974" w:val="left"/>
        </w:tabs>
        <w:numPr>
          <w:ilvl w:val="1"/>
          <w:numId w:val="409"/>
        </w:numPr>
        <w:rPr>
          <w:rFonts w:ascii="Courier New" w:cs="Courier New" w:eastAsia="Courier New" w:hAnsi="Courier New"/>
          <w:sz w:val="21"/>
          <w:szCs w:val="21"/>
          <w:color w:val="auto"/>
        </w:rPr>
      </w:pPr>
      <w:r>
        <w:rPr>
          <w:rFonts w:ascii="Arial" w:cs="Arial" w:eastAsia="Arial" w:hAnsi="Arial"/>
          <w:sz w:val="21"/>
          <w:szCs w:val="21"/>
          <w:color w:val="auto"/>
        </w:rPr>
        <w:t>Company Insiders are limited to one trading plan designed to effect an open market purchase or sale of the total amount of Company Securities subject to the 10b5-1 Plan as a single transaction in any twelve (12) month period.</w:t>
      </w:r>
    </w:p>
    <w:p>
      <w:pPr>
        <w:spacing w:after="0" w:line="178" w:lineRule="exact"/>
        <w:rPr>
          <w:rFonts w:ascii="Courier New" w:cs="Courier New" w:eastAsia="Courier New" w:hAnsi="Courier New"/>
          <w:sz w:val="21"/>
          <w:szCs w:val="21"/>
          <w:color w:val="auto"/>
        </w:rPr>
      </w:pPr>
    </w:p>
    <w:p>
      <w:pPr>
        <w:jc w:val="both"/>
        <w:ind w:left="320" w:hanging="313"/>
        <w:spacing w:after="0" w:line="265" w:lineRule="auto"/>
        <w:tabs>
          <w:tab w:leader="none" w:pos="315" w:val="left"/>
        </w:tabs>
        <w:numPr>
          <w:ilvl w:val="0"/>
          <w:numId w:val="409"/>
        </w:numPr>
        <w:rPr>
          <w:rFonts w:ascii="Times New Roman" w:cs="Times New Roman" w:eastAsia="Times New Roman" w:hAnsi="Times New Roman"/>
          <w:sz w:val="21"/>
          <w:szCs w:val="21"/>
          <w:color w:val="auto"/>
        </w:rPr>
      </w:pPr>
      <w:r>
        <w:rPr>
          <w:rFonts w:ascii="Arial" w:cs="Arial" w:eastAsia="Arial" w:hAnsi="Arial"/>
          <w:sz w:val="21"/>
          <w:szCs w:val="21"/>
          <w:color w:val="auto"/>
        </w:rPr>
        <w:t>The 10b5-1 Plan should contain procedures to ensure prompt compliance with (i) any reporting requirements under Section 16 of the Exchange Act, (ii) Rule 144 or Rule 145 under the Securities Act, relating to any sales under the 10b5-1 Plan, and (iii) any suspension of trading or other trading restrictions that the Company determines to impose on sales under a precleared 10b5-1 Plan, under applicable law or in circumstances that the Company may determine from time to time in its sole discretion.</w:t>
      </w:r>
    </w:p>
    <w:p>
      <w:pPr>
        <w:spacing w:after="0" w:line="190" w:lineRule="exact"/>
        <w:rPr>
          <w:rFonts w:ascii="Times New Roman" w:cs="Times New Roman" w:eastAsia="Times New Roman" w:hAnsi="Times New Roman"/>
          <w:sz w:val="21"/>
          <w:szCs w:val="21"/>
          <w:color w:val="auto"/>
        </w:rPr>
      </w:pPr>
    </w:p>
    <w:p>
      <w:pPr>
        <w:jc w:val="both"/>
        <w:ind w:left="320" w:hanging="313"/>
        <w:spacing w:after="0" w:line="261" w:lineRule="auto"/>
        <w:tabs>
          <w:tab w:leader="none" w:pos="315" w:val="left"/>
        </w:tabs>
        <w:numPr>
          <w:ilvl w:val="0"/>
          <w:numId w:val="409"/>
        </w:numPr>
        <w:rPr>
          <w:rFonts w:ascii="Times New Roman" w:cs="Times New Roman" w:eastAsia="Times New Roman" w:hAnsi="Times New Roman"/>
          <w:sz w:val="21"/>
          <w:szCs w:val="21"/>
          <w:color w:val="auto"/>
        </w:rPr>
      </w:pPr>
      <w:r>
        <w:rPr>
          <w:rFonts w:ascii="Arial" w:cs="Arial" w:eastAsia="Arial" w:hAnsi="Arial"/>
          <w:sz w:val="21"/>
          <w:szCs w:val="21"/>
          <w:color w:val="auto"/>
        </w:rPr>
        <w:t xml:space="preserve">Once adopted, a 10b5-1 Plan cannot be modified except (i) during an open window (i.e., a period that is not during a Blackout Period) and (ii) when the Company Insider does not otherwise have </w:t>
      </w:r>
      <w:r>
        <w:rPr>
          <w:rFonts w:ascii="Arial" w:cs="Arial" w:eastAsia="Arial" w:hAnsi="Arial"/>
          <w:sz w:val="21"/>
          <w:szCs w:val="21"/>
          <w:color w:val="231F20"/>
        </w:rPr>
        <w:t>material nonpublic information</w:t>
      </w:r>
      <w:r>
        <w:rPr>
          <w:rFonts w:ascii="Arial" w:cs="Arial" w:eastAsia="Arial" w:hAnsi="Arial"/>
          <w:sz w:val="21"/>
          <w:szCs w:val="21"/>
          <w:color w:val="auto"/>
        </w:rPr>
        <w:t>. Any attempt to do so will be deemed a termination of the 10b5-1 Plan. The 10b5-1 Plan cannot be created as part of a plan or scheme to evade the prohibitions of Rule 10b5-1. Therefore, although modifications to an existing 10b5-1 Plan are not prohibited, a 10b5-1 Plan should be adopted with the intention that it will be amended or modified only infrequently, if at all, since changes to the 10b5-1 Plan could raise issues as to the individual’s good faith. Any modification to a 10b5-1 Plan must be precleared by the Trading Administrator at least ten (10) calendar days prior to the effective date of the modification.</w:t>
      </w:r>
    </w:p>
    <w:p>
      <w:pPr>
        <w:spacing w:after="0" w:line="198" w:lineRule="exact"/>
        <w:rPr>
          <w:rFonts w:ascii="Times New Roman" w:cs="Times New Roman" w:eastAsia="Times New Roman" w:hAnsi="Times New Roman"/>
          <w:sz w:val="21"/>
          <w:szCs w:val="21"/>
          <w:color w:val="auto"/>
        </w:rPr>
      </w:pPr>
    </w:p>
    <w:p>
      <w:pPr>
        <w:jc w:val="both"/>
        <w:ind w:left="980" w:hanging="331"/>
        <w:spacing w:after="0" w:line="265" w:lineRule="auto"/>
        <w:tabs>
          <w:tab w:leader="none" w:pos="974" w:val="left"/>
        </w:tabs>
        <w:numPr>
          <w:ilvl w:val="1"/>
          <w:numId w:val="409"/>
        </w:numPr>
        <w:rPr>
          <w:rFonts w:ascii="Courier New" w:cs="Courier New" w:eastAsia="Courier New" w:hAnsi="Courier New"/>
          <w:sz w:val="21"/>
          <w:szCs w:val="21"/>
          <w:color w:val="auto"/>
        </w:rPr>
      </w:pPr>
      <w:r>
        <w:rPr>
          <w:rFonts w:ascii="Arial" w:cs="Arial" w:eastAsia="Arial" w:hAnsi="Arial"/>
          <w:sz w:val="21"/>
          <w:szCs w:val="21"/>
          <w:color w:val="auto"/>
        </w:rPr>
        <w:t>Any 10b5-1 Plan entered into by a Company Insider shall include a representation in the 10b5-1 Plan at the time of modification certifying that (i) the Company Insider is not aware of material nonpublic information and</w:t>
      </w:r>
    </w:p>
    <w:p>
      <w:pPr>
        <w:spacing w:after="0" w:line="1" w:lineRule="exact"/>
        <w:rPr>
          <w:rFonts w:ascii="Courier New" w:cs="Courier New" w:eastAsia="Courier New" w:hAnsi="Courier New"/>
          <w:sz w:val="21"/>
          <w:szCs w:val="21"/>
          <w:color w:val="auto"/>
        </w:rPr>
      </w:pPr>
    </w:p>
    <w:p>
      <w:pPr>
        <w:ind w:left="1260" w:hanging="290"/>
        <w:spacing w:after="0"/>
        <w:tabs>
          <w:tab w:leader="none" w:pos="1260" w:val="left"/>
        </w:tabs>
        <w:numPr>
          <w:ilvl w:val="2"/>
          <w:numId w:val="409"/>
        </w:numPr>
        <w:rPr>
          <w:rFonts w:ascii="Arial" w:cs="Arial" w:eastAsia="Arial" w:hAnsi="Arial"/>
          <w:sz w:val="21"/>
          <w:szCs w:val="21"/>
          <w:color w:val="auto"/>
        </w:rPr>
      </w:pPr>
      <w:r>
        <w:rPr>
          <w:rFonts w:ascii="Arial" w:cs="Arial" w:eastAsia="Arial" w:hAnsi="Arial"/>
          <w:sz w:val="21"/>
          <w:szCs w:val="21"/>
          <w:color w:val="auto"/>
        </w:rPr>
        <w:t>the Company Insider is adopting the 10b5-1 Plan in good faith and not as a</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42" w:lineRule="exact"/>
        <w:rPr>
          <w:rFonts w:ascii="Arial" w:cs="Arial" w:eastAsia="Arial" w:hAnsi="Arial"/>
          <w:sz w:val="21"/>
          <w:szCs w:val="21"/>
          <w:color w:val="auto"/>
        </w:rPr>
      </w:pPr>
    </w:p>
    <w:p>
      <w:pPr>
        <w:ind w:left="4680" w:hanging="118"/>
        <w:spacing w:after="0"/>
        <w:tabs>
          <w:tab w:leader="none" w:pos="4680" w:val="left"/>
        </w:tabs>
        <w:numPr>
          <w:ilvl w:val="3"/>
          <w:numId w:val="409"/>
        </w:numPr>
        <w:rPr>
          <w:rFonts w:ascii="Arial" w:cs="Arial" w:eastAsia="Arial" w:hAnsi="Arial"/>
          <w:sz w:val="18"/>
          <w:szCs w:val="18"/>
          <w:color w:val="auto"/>
        </w:rPr>
      </w:pPr>
      <w:r>
        <w:rPr>
          <w:rFonts w:ascii="Arial" w:cs="Arial" w:eastAsia="Arial" w:hAnsi="Arial"/>
          <w:sz w:val="18"/>
          <w:szCs w:val="18"/>
          <w:color w:val="auto"/>
        </w:rPr>
        <w:t>14 -  Insider Trading Policy</w:t>
      </w:r>
    </w:p>
    <w:p>
      <w:pPr>
        <w:spacing w:after="0" w:line="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05/03/23</w:t>
      </w:r>
    </w:p>
    <w:p>
      <w:pPr>
        <w:sectPr>
          <w:pgSz w:w="11900" w:h="16838" w:orient="portrait"/>
          <w:cols w:equalWidth="0" w:num="1">
            <w:col w:w="11240"/>
          </w:cols>
          <w:pgMar w:left="320" w:top="1410" w:right="339" w:bottom="1440" w:gutter="0" w:footer="0" w:header="0"/>
        </w:sectPr>
      </w:pPr>
    </w:p>
    <w:bookmarkStart w:id="519" w:name="page520"/>
    <w:bookmarkEnd w:id="519"/>
    <w:p>
      <w:pPr>
        <w:ind w:left="980"/>
        <w:spacing w:after="0"/>
        <w:rPr>
          <w:sz w:val="20"/>
          <w:szCs w:val="20"/>
          <w:color w:val="auto"/>
        </w:rPr>
      </w:pPr>
      <w:r>
        <w:rPr>
          <w:rFonts w:ascii="Arial" w:cs="Arial" w:eastAsia="Arial" w:hAnsi="Arial"/>
          <w:sz w:val="21"/>
          <w:szCs w:val="21"/>
          <w:color w:val="auto"/>
        </w:rPr>
        <w:t>part of a plan or scheme to evade the prohibitions of Rule 10b5 under the Securities Act.</w:t>
      </w:r>
    </w:p>
    <w:p>
      <w:pPr>
        <w:spacing w:after="0" w:line="200" w:lineRule="exact"/>
        <w:rPr>
          <w:sz w:val="20"/>
          <w:szCs w:val="20"/>
          <w:color w:val="auto"/>
        </w:rPr>
      </w:pPr>
    </w:p>
    <w:p>
      <w:pPr>
        <w:spacing w:after="0" w:line="294" w:lineRule="exact"/>
        <w:rPr>
          <w:sz w:val="20"/>
          <w:szCs w:val="20"/>
          <w:color w:val="auto"/>
        </w:rPr>
      </w:pPr>
    </w:p>
    <w:p>
      <w:pPr>
        <w:ind w:left="320" w:hanging="313"/>
        <w:spacing w:after="0" w:line="291" w:lineRule="auto"/>
        <w:tabs>
          <w:tab w:leader="none" w:pos="315" w:val="left"/>
        </w:tabs>
        <w:numPr>
          <w:ilvl w:val="0"/>
          <w:numId w:val="410"/>
        </w:numPr>
        <w:rPr>
          <w:rFonts w:ascii="Times New Roman" w:cs="Times New Roman" w:eastAsia="Times New Roman" w:hAnsi="Times New Roman"/>
          <w:sz w:val="21"/>
          <w:szCs w:val="21"/>
          <w:color w:val="auto"/>
        </w:rPr>
      </w:pPr>
      <w:r>
        <w:rPr>
          <w:rFonts w:ascii="Arial" w:cs="Arial" w:eastAsia="Arial" w:hAnsi="Arial"/>
          <w:sz w:val="21"/>
          <w:szCs w:val="21"/>
          <w:color w:val="auto"/>
        </w:rPr>
        <w:t>Company Insiders may not maintain more than one 10b5-1 Plan at any time for open market purchases or sales of Company Securities.</w:t>
      </w:r>
    </w:p>
    <w:p>
      <w:pPr>
        <w:spacing w:after="0" w:line="176" w:lineRule="exact"/>
        <w:rPr>
          <w:sz w:val="20"/>
          <w:szCs w:val="20"/>
          <w:color w:val="auto"/>
        </w:rPr>
      </w:pPr>
    </w:p>
    <w:p>
      <w:pPr>
        <w:jc w:val="both"/>
        <w:ind w:left="980" w:hanging="331"/>
        <w:spacing w:after="0" w:line="259" w:lineRule="auto"/>
        <w:tabs>
          <w:tab w:leader="none" w:pos="974" w:val="left"/>
        </w:tabs>
        <w:numPr>
          <w:ilvl w:val="1"/>
          <w:numId w:val="411"/>
        </w:numPr>
        <w:rPr>
          <w:rFonts w:ascii="Courier New" w:cs="Courier New" w:eastAsia="Courier New" w:hAnsi="Courier New"/>
          <w:sz w:val="21"/>
          <w:szCs w:val="21"/>
          <w:color w:val="auto"/>
        </w:rPr>
      </w:pPr>
      <w:r>
        <w:rPr>
          <w:rFonts w:ascii="Arial" w:cs="Arial" w:eastAsia="Arial" w:hAnsi="Arial"/>
          <w:sz w:val="21"/>
          <w:szCs w:val="21"/>
          <w:color w:val="auto"/>
        </w:rPr>
        <w:t>A 10b5-1 Plan relating to the Company’s dividend reinvestment plan does not count as a 10b5-1 Plan for the purposes of this Policy, as purchases under such plans are not considered open market purchases. However, a broker-sponsored dividend reinvestment plan shall be considered a 10b5-1 Plan for purposes of this Policy, and Company Insiders may not enter into any other 10b5-1 Plan while such Company Insider has a broker-sponsored dividend reinvestment plan in effect.</w:t>
      </w:r>
    </w:p>
    <w:p>
      <w:pPr>
        <w:spacing w:after="0" w:line="1" w:lineRule="exact"/>
        <w:rPr>
          <w:rFonts w:ascii="Courier New" w:cs="Courier New" w:eastAsia="Courier New" w:hAnsi="Courier New"/>
          <w:sz w:val="21"/>
          <w:szCs w:val="21"/>
          <w:color w:val="auto"/>
        </w:rPr>
      </w:pPr>
    </w:p>
    <w:p>
      <w:pPr>
        <w:ind w:left="980" w:hanging="331"/>
        <w:spacing w:after="0" w:line="286" w:lineRule="auto"/>
        <w:tabs>
          <w:tab w:leader="none" w:pos="974" w:val="left"/>
        </w:tabs>
        <w:numPr>
          <w:ilvl w:val="1"/>
          <w:numId w:val="411"/>
        </w:numPr>
        <w:rPr>
          <w:rFonts w:ascii="Courier New" w:cs="Courier New" w:eastAsia="Courier New" w:hAnsi="Courier New"/>
          <w:sz w:val="21"/>
          <w:szCs w:val="21"/>
          <w:color w:val="auto"/>
        </w:rPr>
      </w:pPr>
      <w:r>
        <w:rPr>
          <w:rFonts w:ascii="Arial" w:cs="Arial" w:eastAsia="Arial" w:hAnsi="Arial"/>
          <w:sz w:val="21"/>
          <w:szCs w:val="21"/>
          <w:color w:val="auto"/>
        </w:rPr>
        <w:t>Certain other exceptions also apply and should be discussed with the Trading Administrator before proceeding to enter into an additional 10b5-1 Plan.</w:t>
      </w:r>
    </w:p>
    <w:p>
      <w:pPr>
        <w:spacing w:after="0" w:line="163" w:lineRule="exact"/>
        <w:rPr>
          <w:rFonts w:ascii="Courier New" w:cs="Courier New" w:eastAsia="Courier New" w:hAnsi="Courier New"/>
          <w:sz w:val="21"/>
          <w:szCs w:val="21"/>
          <w:color w:val="auto"/>
        </w:rPr>
      </w:pPr>
    </w:p>
    <w:p>
      <w:pPr>
        <w:ind w:left="320" w:hanging="313"/>
        <w:spacing w:after="0" w:line="291" w:lineRule="auto"/>
        <w:tabs>
          <w:tab w:leader="none" w:pos="315" w:val="left"/>
        </w:tabs>
        <w:numPr>
          <w:ilvl w:val="0"/>
          <w:numId w:val="411"/>
        </w:numPr>
        <w:rPr>
          <w:rFonts w:ascii="Times New Roman" w:cs="Times New Roman" w:eastAsia="Times New Roman" w:hAnsi="Times New Roman"/>
          <w:sz w:val="21"/>
          <w:szCs w:val="21"/>
          <w:color w:val="auto"/>
        </w:rPr>
      </w:pPr>
      <w:r>
        <w:rPr>
          <w:rFonts w:ascii="Arial" w:cs="Arial" w:eastAsia="Arial" w:hAnsi="Arial"/>
          <w:sz w:val="21"/>
          <w:szCs w:val="21"/>
          <w:color w:val="auto"/>
        </w:rPr>
        <w:t>Once adopted, a 10b5-1 Plan can only be terminated during an open window (i.e., a period that is not during a Blackout Period).</w:t>
      </w:r>
    </w:p>
    <w:p>
      <w:pPr>
        <w:spacing w:after="0" w:line="162" w:lineRule="exact"/>
        <w:rPr>
          <w:rFonts w:ascii="Times New Roman" w:cs="Times New Roman" w:eastAsia="Times New Roman" w:hAnsi="Times New Roman"/>
          <w:sz w:val="21"/>
          <w:szCs w:val="21"/>
          <w:color w:val="auto"/>
        </w:rPr>
      </w:pPr>
    </w:p>
    <w:p>
      <w:pPr>
        <w:jc w:val="both"/>
        <w:ind w:left="320" w:hanging="313"/>
        <w:spacing w:after="0" w:line="269" w:lineRule="auto"/>
        <w:tabs>
          <w:tab w:leader="none" w:pos="315" w:val="left"/>
        </w:tabs>
        <w:numPr>
          <w:ilvl w:val="0"/>
          <w:numId w:val="411"/>
        </w:numPr>
        <w:rPr>
          <w:rFonts w:ascii="Times New Roman" w:cs="Times New Roman" w:eastAsia="Times New Roman" w:hAnsi="Times New Roman"/>
          <w:sz w:val="21"/>
          <w:szCs w:val="21"/>
          <w:color w:val="auto"/>
        </w:rPr>
      </w:pPr>
      <w:r>
        <w:rPr>
          <w:rFonts w:ascii="Arial" w:cs="Arial" w:eastAsia="Arial" w:hAnsi="Arial"/>
          <w:sz w:val="21"/>
          <w:szCs w:val="21"/>
          <w:color w:val="auto"/>
        </w:rPr>
        <w:t>The 10b5-1 Plan should contain procedures to ensure prompt compliance with: (i) any reporting requirements under Section 16 of the Exchange Act; (ii) Rule 144 or Rule 145 under the Securities Act relating to any sales under the 10b5-1 Plan; and (iii) certain disclosures required by the SEC in filings by Company Insiders and the Company concerning 10b5-1 Plans.</w:t>
      </w:r>
    </w:p>
    <w:p>
      <w:pPr>
        <w:spacing w:after="0" w:line="186" w:lineRule="exact"/>
        <w:rPr>
          <w:rFonts w:ascii="Times New Roman" w:cs="Times New Roman" w:eastAsia="Times New Roman" w:hAnsi="Times New Roman"/>
          <w:sz w:val="21"/>
          <w:szCs w:val="21"/>
          <w:color w:val="auto"/>
        </w:rPr>
      </w:pPr>
    </w:p>
    <w:p>
      <w:pPr>
        <w:ind w:left="320" w:hanging="313"/>
        <w:spacing w:after="0"/>
        <w:tabs>
          <w:tab w:leader="none" w:pos="320" w:val="left"/>
        </w:tabs>
        <w:numPr>
          <w:ilvl w:val="0"/>
          <w:numId w:val="411"/>
        </w:numPr>
        <w:rPr>
          <w:rFonts w:ascii="Times New Roman" w:cs="Times New Roman" w:eastAsia="Times New Roman" w:hAnsi="Times New Roman"/>
          <w:sz w:val="21"/>
          <w:szCs w:val="21"/>
          <w:color w:val="auto"/>
        </w:rPr>
      </w:pPr>
      <w:r>
        <w:rPr>
          <w:rFonts w:ascii="Arial" w:cs="Arial" w:eastAsia="Arial" w:hAnsi="Arial"/>
          <w:sz w:val="21"/>
          <w:szCs w:val="21"/>
          <w:color w:val="auto"/>
        </w:rPr>
        <w:t>If a 10b5-1 Plan is terminated prior to its expiration date, Company Insiders:</w:t>
      </w:r>
    </w:p>
    <w:p>
      <w:pPr>
        <w:spacing w:after="0" w:line="252" w:lineRule="exact"/>
        <w:rPr>
          <w:rFonts w:ascii="Times New Roman" w:cs="Times New Roman" w:eastAsia="Times New Roman" w:hAnsi="Times New Roman"/>
          <w:sz w:val="21"/>
          <w:szCs w:val="21"/>
          <w:color w:val="auto"/>
        </w:rPr>
      </w:pPr>
    </w:p>
    <w:p>
      <w:pPr>
        <w:ind w:left="960" w:hanging="311"/>
        <w:spacing w:after="0"/>
        <w:tabs>
          <w:tab w:leader="none" w:pos="960" w:val="left"/>
        </w:tabs>
        <w:numPr>
          <w:ilvl w:val="1"/>
          <w:numId w:val="411"/>
        </w:numPr>
        <w:rPr>
          <w:rFonts w:ascii="Courier New" w:cs="Courier New" w:eastAsia="Courier New" w:hAnsi="Courier New"/>
          <w:sz w:val="21"/>
          <w:szCs w:val="21"/>
          <w:color w:val="auto"/>
        </w:rPr>
      </w:pPr>
      <w:r>
        <w:rPr>
          <w:rFonts w:ascii="Arial" w:cs="Arial" w:eastAsia="Arial" w:hAnsi="Arial"/>
          <w:sz w:val="21"/>
          <w:szCs w:val="21"/>
          <w:color w:val="auto"/>
        </w:rPr>
        <w:t>must wait at least thirty (30) calendar days before trading outside of the 10b5-1 Plan;</w:t>
      </w:r>
    </w:p>
    <w:p>
      <w:pPr>
        <w:spacing w:after="0" w:line="40" w:lineRule="exact"/>
        <w:rPr>
          <w:rFonts w:ascii="Courier New" w:cs="Courier New" w:eastAsia="Courier New" w:hAnsi="Courier New"/>
          <w:sz w:val="21"/>
          <w:szCs w:val="21"/>
          <w:color w:val="auto"/>
        </w:rPr>
      </w:pPr>
    </w:p>
    <w:p>
      <w:pPr>
        <w:ind w:left="980" w:hanging="331"/>
        <w:spacing w:after="0" w:line="262" w:lineRule="auto"/>
        <w:tabs>
          <w:tab w:leader="none" w:pos="974" w:val="left"/>
        </w:tabs>
        <w:numPr>
          <w:ilvl w:val="1"/>
          <w:numId w:val="411"/>
        </w:numPr>
        <w:rPr>
          <w:rFonts w:ascii="Courier New" w:cs="Courier New" w:eastAsia="Courier New" w:hAnsi="Courier New"/>
          <w:sz w:val="21"/>
          <w:szCs w:val="21"/>
          <w:color w:val="auto"/>
        </w:rPr>
      </w:pPr>
      <w:r>
        <w:rPr>
          <w:rFonts w:ascii="Arial" w:cs="Arial" w:eastAsia="Arial" w:hAnsi="Arial"/>
          <w:sz w:val="21"/>
          <w:szCs w:val="21"/>
          <w:color w:val="auto"/>
        </w:rPr>
        <w:t>must wait until the commencement of the next open window (i.e., the next period that is not during a Blackout Period) before a new 10b5-1 Plan may be adopted; and</w:t>
      </w:r>
    </w:p>
    <w:p>
      <w:pPr>
        <w:ind w:left="960" w:hanging="311"/>
        <w:spacing w:after="0"/>
        <w:tabs>
          <w:tab w:leader="none" w:pos="960" w:val="left"/>
        </w:tabs>
        <w:numPr>
          <w:ilvl w:val="1"/>
          <w:numId w:val="411"/>
        </w:numPr>
        <w:rPr>
          <w:rFonts w:ascii="Courier New" w:cs="Courier New" w:eastAsia="Courier New" w:hAnsi="Courier New"/>
          <w:sz w:val="21"/>
          <w:szCs w:val="21"/>
          <w:color w:val="auto"/>
        </w:rPr>
      </w:pPr>
      <w:r>
        <w:rPr>
          <w:rFonts w:ascii="Arial" w:cs="Arial" w:eastAsia="Arial" w:hAnsi="Arial"/>
          <w:sz w:val="21"/>
          <w:szCs w:val="21"/>
          <w:color w:val="auto"/>
        </w:rPr>
        <w:t>must immediately notify the Trading Administrator of the termination.</w:t>
      </w:r>
    </w:p>
    <w:p>
      <w:pPr>
        <w:spacing w:after="0" w:line="242" w:lineRule="exact"/>
        <w:rPr>
          <w:sz w:val="20"/>
          <w:szCs w:val="20"/>
          <w:color w:val="auto"/>
        </w:rPr>
      </w:pPr>
    </w:p>
    <w:p>
      <w:pPr>
        <w:jc w:val="both"/>
        <w:spacing w:after="0" w:line="272" w:lineRule="auto"/>
        <w:rPr>
          <w:sz w:val="20"/>
          <w:szCs w:val="20"/>
          <w:color w:val="auto"/>
        </w:rPr>
      </w:pPr>
      <w:r>
        <w:rPr>
          <w:rFonts w:ascii="Arial" w:cs="Arial" w:eastAsia="Arial" w:hAnsi="Arial"/>
          <w:sz w:val="21"/>
          <w:szCs w:val="21"/>
          <w:color w:val="auto"/>
        </w:rPr>
        <w:t>The pre-clearance or adoption of a 10b5-1 Plan under Rule 10b5 in no way reduces or eliminates the obligations of Company Insiders under Section 16 of the Exchange Act, including any disclosure obligations and potential short-swing trading liabilities thereunder.</w:t>
      </w:r>
    </w:p>
    <w:p>
      <w:pPr>
        <w:spacing w:after="0" w:line="195" w:lineRule="exact"/>
        <w:rPr>
          <w:sz w:val="20"/>
          <w:szCs w:val="20"/>
          <w:color w:val="auto"/>
        </w:rPr>
      </w:pPr>
    </w:p>
    <w:p>
      <w:pPr>
        <w:ind w:right="80"/>
        <w:spacing w:after="0" w:line="272" w:lineRule="auto"/>
        <w:rPr>
          <w:sz w:val="20"/>
          <w:szCs w:val="20"/>
          <w:color w:val="auto"/>
        </w:rPr>
      </w:pPr>
      <w:r>
        <w:rPr>
          <w:rFonts w:ascii="Arial" w:cs="Arial" w:eastAsia="Arial" w:hAnsi="Arial"/>
          <w:sz w:val="21"/>
          <w:szCs w:val="21"/>
          <w:color w:val="auto"/>
        </w:rPr>
        <w:t>Questions about the Insider Trading Policy and Guidelines for 10b5-1 Plans may be directed to the Trading Administrator. Company Insiders should consult with their own counsel and financial advisor in implementing a 10b5-1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9"/>
        <w:spacing w:after="0"/>
        <w:tabs>
          <w:tab w:leader="none" w:pos="180" w:val="left"/>
        </w:tabs>
        <w:rPr>
          <w:sz w:val="20"/>
          <w:szCs w:val="20"/>
          <w:color w:val="auto"/>
        </w:rPr>
      </w:pPr>
      <w:r>
        <w:rPr>
          <w:rFonts w:ascii="Arial" w:cs="Arial" w:eastAsia="Arial" w:hAnsi="Arial"/>
          <w:sz w:val="18"/>
          <w:szCs w:val="18"/>
          <w:color w:val="auto"/>
        </w:rPr>
        <w:t>- 15 -</w:t>
      </w:r>
      <w:r>
        <w:rPr>
          <w:sz w:val="20"/>
          <w:szCs w:val="20"/>
          <w:color w:val="auto"/>
        </w:rPr>
        <w:tab/>
      </w:r>
      <w:r>
        <w:rPr>
          <w:rFonts w:ascii="Arial" w:cs="Arial" w:eastAsia="Arial" w:hAnsi="Arial"/>
          <w:sz w:val="17"/>
          <w:szCs w:val="17"/>
          <w:color w:val="auto"/>
        </w:rPr>
        <w:t>Insider Trading Policy</w:t>
      </w:r>
    </w:p>
    <w:p>
      <w:pPr>
        <w:spacing w:after="0" w:line="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05/03/23</w:t>
      </w:r>
    </w:p>
    <w:p>
      <w:pPr>
        <w:sectPr>
          <w:pgSz w:w="11900" w:h="16838" w:orient="portrait"/>
          <w:cols w:equalWidth="0" w:num="1">
            <w:col w:w="11240"/>
          </w:cols>
          <w:pgMar w:left="320" w:top="1410" w:right="339" w:bottom="1440" w:gutter="0" w:footer="0" w:header="0"/>
        </w:sectPr>
      </w:pPr>
    </w:p>
    <w:bookmarkStart w:id="520" w:name="page521"/>
    <w:bookmarkEnd w:id="5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440"/>
        <w:spacing w:after="0"/>
        <w:tabs>
          <w:tab w:leader="none" w:pos="4040" w:val="left"/>
        </w:tabs>
        <w:rPr>
          <w:sz w:val="20"/>
          <w:szCs w:val="20"/>
          <w:color w:val="auto"/>
        </w:rPr>
      </w:pPr>
      <w:r>
        <w:rPr>
          <w:rFonts w:ascii="Arial" w:cs="Arial" w:eastAsia="Arial" w:hAnsi="Arial"/>
          <w:sz w:val="18"/>
          <w:szCs w:val="18"/>
          <w:color w:val="auto"/>
        </w:rPr>
        <w:t>- 16 -</w:t>
      </w:r>
      <w:r>
        <w:rPr>
          <w:sz w:val="20"/>
          <w:szCs w:val="20"/>
          <w:color w:val="auto"/>
        </w:rPr>
        <w:tab/>
      </w:r>
      <w:r>
        <w:rPr>
          <w:rFonts w:ascii="Arial" w:cs="Arial" w:eastAsia="Arial" w:hAnsi="Arial"/>
          <w:sz w:val="17"/>
          <w:szCs w:val="17"/>
          <w:color w:val="auto"/>
        </w:rPr>
        <w:t>Insider Trading Policy</w:t>
      </w:r>
    </w:p>
    <w:p>
      <w:pPr>
        <w:spacing w:after="0" w:line="5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05/03/23</w:t>
      </w:r>
    </w:p>
    <w:p>
      <w:pPr>
        <w:sectPr>
          <w:pgSz w:w="11900" w:h="16838" w:orient="portrait"/>
          <w:cols w:equalWidth="0" w:num="1">
            <w:col w:w="10120"/>
          </w:cols>
          <w:pgMar w:left="1440" w:top="1440" w:right="339" w:bottom="1440" w:gutter="0" w:footer="0" w:header="0"/>
        </w:sectPr>
      </w:pPr>
    </w:p>
    <w:bookmarkStart w:id="521" w:name="page522"/>
    <w:bookmarkEnd w:id="521"/>
    <w:tbl>
      <w:tblPr>
        <w:tblLayout w:type="fixed"/>
        <w:tblInd w:w="0" w:type="dxa"/>
        <w:tblCellMar>
          <w:top w:w="0" w:type="dxa"/>
          <w:left w:w="0" w:type="dxa"/>
          <w:bottom w:w="0" w:type="dxa"/>
          <w:right w:w="0" w:type="dxa"/>
        </w:tblCellMar>
      </w:tblPr>
      <w:tr>
        <w:trPr>
          <w:trHeight w:val="211"/>
        </w:trPr>
        <w:tc>
          <w:tcPr>
            <w:tcW w:w="34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40" w:type="dxa"/>
            <w:vAlign w:val="bottom"/>
            <w:gridSpan w:val="2"/>
          </w:tcPr>
          <w:p>
            <w:pPr>
              <w:ind w:left="2280"/>
              <w:spacing w:after="0"/>
              <w:rPr>
                <w:sz w:val="20"/>
                <w:szCs w:val="20"/>
                <w:color w:val="auto"/>
              </w:rPr>
            </w:pPr>
            <w:r>
              <w:rPr>
                <w:rFonts w:ascii="Cambria" w:cs="Cambria" w:eastAsia="Cambria" w:hAnsi="Cambria"/>
                <w:sz w:val="18"/>
                <w:szCs w:val="18"/>
                <w:b w:val="1"/>
                <w:bCs w:val="1"/>
                <w:color w:val="auto"/>
                <w:w w:val="94"/>
              </w:rPr>
              <w:t>EXHIBIT 21.01</w:t>
            </w:r>
          </w:p>
        </w:tc>
        <w:tc>
          <w:tcPr>
            <w:tcW w:w="0" w:type="dxa"/>
            <w:vAlign w:val="bottom"/>
          </w:tcPr>
          <w:p>
            <w:pPr>
              <w:spacing w:after="0"/>
              <w:rPr>
                <w:sz w:val="1"/>
                <w:szCs w:val="1"/>
                <w:color w:val="auto"/>
              </w:rPr>
            </w:pPr>
          </w:p>
        </w:tc>
      </w:tr>
      <w:tr>
        <w:trPr>
          <w:trHeight w:val="254"/>
        </w:trPr>
        <w:tc>
          <w:tcPr>
            <w:tcW w:w="3420" w:type="dxa"/>
            <w:vAlign w:val="bottom"/>
          </w:tcPr>
          <w:p>
            <w:pPr>
              <w:spacing w:after="0"/>
              <w:rPr>
                <w:sz w:val="22"/>
                <w:szCs w:val="22"/>
                <w:color w:val="auto"/>
              </w:rPr>
            </w:pPr>
          </w:p>
        </w:tc>
        <w:tc>
          <w:tcPr>
            <w:tcW w:w="7820" w:type="dxa"/>
            <w:vAlign w:val="bottom"/>
            <w:gridSpan w:val="4"/>
          </w:tcPr>
          <w:p>
            <w:pPr>
              <w:jc w:val="center"/>
              <w:ind w:right="3400"/>
              <w:spacing w:after="0"/>
              <w:rPr>
                <w:sz w:val="20"/>
                <w:szCs w:val="20"/>
                <w:color w:val="auto"/>
              </w:rPr>
            </w:pPr>
            <w:r>
              <w:rPr>
                <w:rFonts w:ascii="Cambria" w:cs="Cambria" w:eastAsia="Cambria" w:hAnsi="Cambria"/>
                <w:sz w:val="18"/>
                <w:szCs w:val="18"/>
                <w:b w:val="1"/>
                <w:bCs w:val="1"/>
                <w:color w:val="auto"/>
                <w:w w:val="96"/>
              </w:rPr>
              <w:t>SOUTHWEST GAS HOLDINGS, INC.</w:t>
            </w:r>
          </w:p>
        </w:tc>
        <w:tc>
          <w:tcPr>
            <w:tcW w:w="0" w:type="dxa"/>
            <w:vAlign w:val="bottom"/>
          </w:tcPr>
          <w:p>
            <w:pPr>
              <w:spacing w:after="0"/>
              <w:rPr>
                <w:sz w:val="1"/>
                <w:szCs w:val="1"/>
                <w:color w:val="auto"/>
              </w:rPr>
            </w:pPr>
          </w:p>
        </w:tc>
      </w:tr>
      <w:tr>
        <w:trPr>
          <w:trHeight w:val="241"/>
        </w:trPr>
        <w:tc>
          <w:tcPr>
            <w:tcW w:w="3420" w:type="dxa"/>
            <w:vAlign w:val="bottom"/>
          </w:tcPr>
          <w:p>
            <w:pPr>
              <w:spacing w:after="0"/>
              <w:rPr>
                <w:sz w:val="20"/>
                <w:szCs w:val="20"/>
                <w:color w:val="auto"/>
              </w:rPr>
            </w:pPr>
          </w:p>
        </w:tc>
        <w:tc>
          <w:tcPr>
            <w:tcW w:w="7820" w:type="dxa"/>
            <w:vAlign w:val="bottom"/>
            <w:gridSpan w:val="4"/>
          </w:tcPr>
          <w:p>
            <w:pPr>
              <w:jc w:val="center"/>
              <w:ind w:right="3400"/>
              <w:spacing w:after="0"/>
              <w:rPr>
                <w:sz w:val="20"/>
                <w:szCs w:val="20"/>
                <w:color w:val="auto"/>
              </w:rPr>
            </w:pPr>
            <w:r>
              <w:rPr>
                <w:rFonts w:ascii="Cambria" w:cs="Cambria" w:eastAsia="Cambria" w:hAnsi="Cambria"/>
                <w:sz w:val="18"/>
                <w:szCs w:val="18"/>
                <w:b w:val="1"/>
                <w:bCs w:val="1"/>
                <w:color w:val="auto"/>
                <w:w w:val="96"/>
              </w:rPr>
              <w:t>LIST OF SUBSIDIARIES OF THE REGISTRANT</w:t>
            </w:r>
          </w:p>
        </w:tc>
        <w:tc>
          <w:tcPr>
            <w:tcW w:w="0" w:type="dxa"/>
            <w:vAlign w:val="bottom"/>
          </w:tcPr>
          <w:p>
            <w:pPr>
              <w:spacing w:after="0"/>
              <w:rPr>
                <w:sz w:val="1"/>
                <w:szCs w:val="1"/>
                <w:color w:val="auto"/>
              </w:rPr>
            </w:pPr>
          </w:p>
        </w:tc>
      </w:tr>
      <w:tr>
        <w:trPr>
          <w:trHeight w:val="254"/>
        </w:trPr>
        <w:tc>
          <w:tcPr>
            <w:tcW w:w="3420" w:type="dxa"/>
            <w:vAlign w:val="bottom"/>
          </w:tcPr>
          <w:p>
            <w:pPr>
              <w:spacing w:after="0"/>
              <w:rPr>
                <w:sz w:val="22"/>
                <w:szCs w:val="22"/>
                <w:color w:val="auto"/>
              </w:rPr>
            </w:pPr>
          </w:p>
        </w:tc>
        <w:tc>
          <w:tcPr>
            <w:tcW w:w="7820" w:type="dxa"/>
            <w:vAlign w:val="bottom"/>
            <w:gridSpan w:val="4"/>
          </w:tcPr>
          <w:p>
            <w:pPr>
              <w:jc w:val="center"/>
              <w:ind w:right="3420"/>
              <w:spacing w:after="0"/>
              <w:rPr>
                <w:sz w:val="20"/>
                <w:szCs w:val="20"/>
                <w:color w:val="auto"/>
              </w:rPr>
            </w:pPr>
            <w:r>
              <w:rPr>
                <w:rFonts w:ascii="Cambria" w:cs="Cambria" w:eastAsia="Cambria" w:hAnsi="Cambria"/>
                <w:sz w:val="18"/>
                <w:szCs w:val="18"/>
                <w:b w:val="1"/>
                <w:bCs w:val="1"/>
                <w:color w:val="auto"/>
                <w:w w:val="95"/>
              </w:rPr>
              <w:t>AT DECEMBER 31, 2024</w:t>
            </w:r>
          </w:p>
        </w:tc>
        <w:tc>
          <w:tcPr>
            <w:tcW w:w="0" w:type="dxa"/>
            <w:vAlign w:val="bottom"/>
          </w:tcPr>
          <w:p>
            <w:pPr>
              <w:spacing w:after="0"/>
              <w:rPr>
                <w:sz w:val="1"/>
                <w:szCs w:val="1"/>
                <w:color w:val="auto"/>
              </w:rPr>
            </w:pPr>
          </w:p>
        </w:tc>
      </w:tr>
      <w:tr>
        <w:trPr>
          <w:trHeight w:val="733"/>
        </w:trPr>
        <w:tc>
          <w:tcPr>
            <w:tcW w:w="34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SUBSIDIARY NAME</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6"/>
              </w:rPr>
              <w:t>STATE OF INCORPORATION OR</w:t>
            </w:r>
          </w:p>
        </w:tc>
        <w:tc>
          <w:tcPr>
            <w:tcW w:w="0" w:type="dxa"/>
            <w:vAlign w:val="bottom"/>
          </w:tcPr>
          <w:p>
            <w:pPr>
              <w:spacing w:after="0"/>
              <w:rPr>
                <w:sz w:val="1"/>
                <w:szCs w:val="1"/>
                <w:color w:val="auto"/>
              </w:rPr>
            </w:pPr>
          </w:p>
        </w:tc>
      </w:tr>
      <w:tr>
        <w:trPr>
          <w:trHeight w:val="233"/>
        </w:trPr>
        <w:tc>
          <w:tcPr>
            <w:tcW w:w="3420" w:type="dxa"/>
            <w:vAlign w:val="bottom"/>
            <w:vMerge w:val="continue"/>
          </w:tcPr>
          <w:p>
            <w:pPr>
              <w:spacing w:after="0"/>
              <w:rPr>
                <w:sz w:val="20"/>
                <w:szCs w:val="20"/>
                <w:color w:val="auto"/>
              </w:rPr>
            </w:pPr>
          </w:p>
        </w:tc>
        <w:tc>
          <w:tcPr>
            <w:tcW w:w="4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ORGANIZATION TYPE</w:t>
            </w:r>
          </w:p>
        </w:tc>
        <w:tc>
          <w:tcPr>
            <w:tcW w:w="0" w:type="dxa"/>
            <w:vAlign w:val="bottom"/>
          </w:tcPr>
          <w:p>
            <w:pPr>
              <w:spacing w:after="0"/>
              <w:rPr>
                <w:sz w:val="1"/>
                <w:szCs w:val="1"/>
                <w:color w:val="auto"/>
              </w:rPr>
            </w:pPr>
          </w:p>
        </w:tc>
      </w:tr>
      <w:tr>
        <w:trPr>
          <w:trHeight w:val="26"/>
        </w:trPr>
        <w:tc>
          <w:tcPr>
            <w:tcW w:w="342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81"/>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Southwest Gas Utility Group, Inc.</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California</w:t>
            </w:r>
          </w:p>
        </w:tc>
        <w:tc>
          <w:tcPr>
            <w:tcW w:w="0" w:type="dxa"/>
            <w:vAlign w:val="bottom"/>
          </w:tcPr>
          <w:p>
            <w:pPr>
              <w:spacing w:after="0"/>
              <w:rPr>
                <w:sz w:val="1"/>
                <w:szCs w:val="1"/>
                <w:color w:val="auto"/>
              </w:rPr>
            </w:pPr>
          </w:p>
        </w:tc>
      </w:tr>
      <w:tr>
        <w:trPr>
          <w:trHeight w:val="281"/>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Southwest Gas Corporation</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California</w:t>
            </w:r>
          </w:p>
        </w:tc>
        <w:tc>
          <w:tcPr>
            <w:tcW w:w="0" w:type="dxa"/>
            <w:vAlign w:val="bottom"/>
          </w:tcPr>
          <w:p>
            <w:pPr>
              <w:spacing w:after="0"/>
              <w:rPr>
                <w:sz w:val="1"/>
                <w:szCs w:val="1"/>
                <w:color w:val="auto"/>
              </w:rPr>
            </w:pPr>
          </w:p>
        </w:tc>
      </w:tr>
      <w:tr>
        <w:trPr>
          <w:trHeight w:val="281"/>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Utility Financial Corp.</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Nevada</w:t>
            </w:r>
          </w:p>
        </w:tc>
        <w:tc>
          <w:tcPr>
            <w:tcW w:w="0" w:type="dxa"/>
            <w:vAlign w:val="bottom"/>
          </w:tcPr>
          <w:p>
            <w:pPr>
              <w:spacing w:after="0"/>
              <w:rPr>
                <w:sz w:val="1"/>
                <w:szCs w:val="1"/>
                <w:color w:val="auto"/>
              </w:rPr>
            </w:pPr>
          </w:p>
        </w:tc>
      </w:tr>
      <w:tr>
        <w:trPr>
          <w:trHeight w:val="281"/>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Southwest Companies</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Nevada</w:t>
            </w:r>
          </w:p>
        </w:tc>
        <w:tc>
          <w:tcPr>
            <w:tcW w:w="0" w:type="dxa"/>
            <w:vAlign w:val="bottom"/>
          </w:tcPr>
          <w:p>
            <w:pPr>
              <w:spacing w:after="0"/>
              <w:rPr>
                <w:sz w:val="1"/>
                <w:szCs w:val="1"/>
                <w:color w:val="auto"/>
              </w:rPr>
            </w:pPr>
          </w:p>
        </w:tc>
      </w:tr>
      <w:tr>
        <w:trPr>
          <w:trHeight w:val="315"/>
        </w:trPr>
        <w:tc>
          <w:tcPr>
            <w:tcW w:w="34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Limited partnership between</w:t>
            </w:r>
          </w:p>
        </w:tc>
        <w:tc>
          <w:tcPr>
            <w:tcW w:w="0" w:type="dxa"/>
            <w:vAlign w:val="bottom"/>
          </w:tcPr>
          <w:p>
            <w:pPr>
              <w:spacing w:after="0"/>
              <w:rPr>
                <w:sz w:val="1"/>
                <w:szCs w:val="1"/>
                <w:color w:val="auto"/>
              </w:rPr>
            </w:pPr>
          </w:p>
        </w:tc>
      </w:tr>
      <w:tr>
        <w:trPr>
          <w:trHeight w:val="227"/>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Southwest Gas Transmission Company</w:t>
            </w:r>
          </w:p>
        </w:tc>
        <w:tc>
          <w:tcPr>
            <w:tcW w:w="4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0" w:type="dxa"/>
            <w:vAlign w:val="bottom"/>
          </w:tcPr>
          <w:p>
            <w:pPr>
              <w:spacing w:after="0"/>
              <w:rPr>
                <w:sz w:val="1"/>
                <w:szCs w:val="1"/>
                <w:color w:val="auto"/>
              </w:rPr>
            </w:pPr>
          </w:p>
        </w:tc>
      </w:tr>
      <w:tr>
        <w:trPr>
          <w:trHeight w:val="233"/>
        </w:trPr>
        <w:tc>
          <w:tcPr>
            <w:tcW w:w="34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and Utility Financial Corp.</w:t>
            </w:r>
          </w:p>
        </w:tc>
        <w:tc>
          <w:tcPr>
            <w:tcW w:w="0" w:type="dxa"/>
            <w:vAlign w:val="bottom"/>
          </w:tcPr>
          <w:p>
            <w:pPr>
              <w:spacing w:after="0"/>
              <w:rPr>
                <w:sz w:val="1"/>
                <w:szCs w:val="1"/>
                <w:color w:val="auto"/>
              </w:rPr>
            </w:pPr>
          </w:p>
        </w:tc>
      </w:tr>
      <w:tr>
        <w:trPr>
          <w:trHeight w:val="321"/>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Great Basin Gas Transmission Company</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Nevada</w:t>
            </w:r>
          </w:p>
        </w:tc>
        <w:tc>
          <w:tcPr>
            <w:tcW w:w="0" w:type="dxa"/>
            <w:vAlign w:val="bottom"/>
          </w:tcPr>
          <w:p>
            <w:pPr>
              <w:spacing w:after="0"/>
              <w:rPr>
                <w:sz w:val="1"/>
                <w:szCs w:val="1"/>
                <w:color w:val="auto"/>
              </w:rPr>
            </w:pPr>
          </w:p>
        </w:tc>
      </w:tr>
      <w:tr>
        <w:trPr>
          <w:trHeight w:val="281"/>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Centuri Group, Inc.</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Nevada</w:t>
            </w:r>
          </w:p>
        </w:tc>
        <w:tc>
          <w:tcPr>
            <w:tcW w:w="0" w:type="dxa"/>
            <w:vAlign w:val="bottom"/>
          </w:tcPr>
          <w:p>
            <w:pPr>
              <w:spacing w:after="0"/>
              <w:rPr>
                <w:sz w:val="1"/>
                <w:szCs w:val="1"/>
                <w:color w:val="auto"/>
              </w:rPr>
            </w:pPr>
          </w:p>
        </w:tc>
      </w:tr>
      <w:tr>
        <w:trPr>
          <w:trHeight w:val="281"/>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Centuri Holdings, Inc.</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81"/>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Centuri U.S. Division, Inc.</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Nevada</w:t>
            </w:r>
          </w:p>
        </w:tc>
        <w:tc>
          <w:tcPr>
            <w:tcW w:w="0" w:type="dxa"/>
            <w:vAlign w:val="bottom"/>
          </w:tcPr>
          <w:p>
            <w:pPr>
              <w:spacing w:after="0"/>
              <w:rPr>
                <w:sz w:val="1"/>
                <w:szCs w:val="1"/>
                <w:color w:val="auto"/>
              </w:rPr>
            </w:pPr>
          </w:p>
        </w:tc>
      </w:tr>
      <w:tr>
        <w:trPr>
          <w:trHeight w:val="281"/>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Centuri Oil &amp; Gas Group LLC</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81"/>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Oil &amp; Gas Division LLC</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81"/>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NPL Construction Co.</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Nevada</w:t>
            </w:r>
          </w:p>
        </w:tc>
        <w:tc>
          <w:tcPr>
            <w:tcW w:w="0" w:type="dxa"/>
            <w:vAlign w:val="bottom"/>
          </w:tcPr>
          <w:p>
            <w:pPr>
              <w:spacing w:after="0"/>
              <w:rPr>
                <w:sz w:val="1"/>
                <w:szCs w:val="1"/>
                <w:color w:val="auto"/>
              </w:rPr>
            </w:pPr>
          </w:p>
        </w:tc>
      </w:tr>
      <w:tr>
        <w:trPr>
          <w:trHeight w:val="281"/>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Southwest Administrators, Inc.</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Nevada</w:t>
            </w:r>
          </w:p>
        </w:tc>
        <w:tc>
          <w:tcPr>
            <w:tcW w:w="0" w:type="dxa"/>
            <w:vAlign w:val="bottom"/>
          </w:tcPr>
          <w:p>
            <w:pPr>
              <w:spacing w:after="0"/>
              <w:rPr>
                <w:sz w:val="1"/>
                <w:szCs w:val="1"/>
                <w:color w:val="auto"/>
              </w:rPr>
            </w:pPr>
          </w:p>
        </w:tc>
      </w:tr>
      <w:tr>
        <w:trPr>
          <w:trHeight w:val="281"/>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NPL East LLC</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81"/>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NPL Great Lakes LLC</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81"/>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NPL Mid-America LLC</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81"/>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NPL West LLC</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81"/>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National Barricade LLC</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Nevada</w:t>
            </w:r>
          </w:p>
        </w:tc>
        <w:tc>
          <w:tcPr>
            <w:tcW w:w="0" w:type="dxa"/>
            <w:vAlign w:val="bottom"/>
          </w:tcPr>
          <w:p>
            <w:pPr>
              <w:spacing w:after="0"/>
              <w:rPr>
                <w:sz w:val="1"/>
                <w:szCs w:val="1"/>
                <w:color w:val="auto"/>
              </w:rPr>
            </w:pPr>
          </w:p>
        </w:tc>
      </w:tr>
      <w:tr>
        <w:trPr>
          <w:trHeight w:val="281"/>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Intellichoice Energy, LLC</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81"/>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Intellichoice Energy of California, LLC</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81"/>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Centuri Special Purpose Entity, LLC</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81"/>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Meritus Oil &amp; Gas Division LLC</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81"/>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Canyon Pipeline Construction, Inc.</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Nevada</w:t>
            </w:r>
          </w:p>
        </w:tc>
        <w:tc>
          <w:tcPr>
            <w:tcW w:w="0" w:type="dxa"/>
            <w:vAlign w:val="bottom"/>
          </w:tcPr>
          <w:p>
            <w:pPr>
              <w:spacing w:after="0"/>
              <w:rPr>
                <w:sz w:val="1"/>
                <w:szCs w:val="1"/>
                <w:color w:val="auto"/>
              </w:rPr>
            </w:pPr>
          </w:p>
        </w:tc>
      </w:tr>
      <w:tr>
        <w:trPr>
          <w:trHeight w:val="281"/>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Canyon Traffic Control LLC</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Nevada</w:t>
            </w:r>
          </w:p>
        </w:tc>
        <w:tc>
          <w:tcPr>
            <w:tcW w:w="0" w:type="dxa"/>
            <w:vAlign w:val="bottom"/>
          </w:tcPr>
          <w:p>
            <w:pPr>
              <w:spacing w:after="0"/>
              <w:rPr>
                <w:sz w:val="1"/>
                <w:szCs w:val="1"/>
                <w:color w:val="auto"/>
              </w:rPr>
            </w:pPr>
          </w:p>
        </w:tc>
      </w:tr>
      <w:tr>
        <w:trPr>
          <w:trHeight w:val="281"/>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Canyon Special Projects LLC</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Nevada</w:t>
            </w:r>
          </w:p>
        </w:tc>
        <w:tc>
          <w:tcPr>
            <w:tcW w:w="0" w:type="dxa"/>
            <w:vAlign w:val="bottom"/>
          </w:tcPr>
          <w:p>
            <w:pPr>
              <w:spacing w:after="0"/>
              <w:rPr>
                <w:sz w:val="1"/>
                <w:szCs w:val="1"/>
                <w:color w:val="auto"/>
              </w:rPr>
            </w:pPr>
          </w:p>
        </w:tc>
      </w:tr>
      <w:tr>
        <w:trPr>
          <w:trHeight w:val="281"/>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New England Utility Constructors, Inc.</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Massachusetts</w:t>
            </w:r>
          </w:p>
        </w:tc>
        <w:tc>
          <w:tcPr>
            <w:tcW w:w="0" w:type="dxa"/>
            <w:vAlign w:val="bottom"/>
          </w:tcPr>
          <w:p>
            <w:pPr>
              <w:spacing w:after="0"/>
              <w:rPr>
                <w:sz w:val="1"/>
                <w:szCs w:val="1"/>
                <w:color w:val="auto"/>
              </w:rPr>
            </w:pPr>
          </w:p>
        </w:tc>
      </w:tr>
      <w:tr>
        <w:trPr>
          <w:trHeight w:val="281"/>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Neuco Equipment LLC</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Nevada</w:t>
            </w:r>
          </w:p>
        </w:tc>
        <w:tc>
          <w:tcPr>
            <w:tcW w:w="0" w:type="dxa"/>
            <w:vAlign w:val="bottom"/>
          </w:tcPr>
          <w:p>
            <w:pPr>
              <w:spacing w:after="0"/>
              <w:rPr>
                <w:sz w:val="1"/>
                <w:szCs w:val="1"/>
                <w:color w:val="auto"/>
              </w:rPr>
            </w:pPr>
          </w:p>
        </w:tc>
      </w:tr>
      <w:tr>
        <w:trPr>
          <w:trHeight w:val="281"/>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Centuri Power Group LLC</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81"/>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Meritus Electric T&amp;D Division LLC</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81"/>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Linetec Services, LLC</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81"/>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Electric T&amp;D Division LLC</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81"/>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National Powerline LLC</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81"/>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Electric T&amp;D Holdings LLC</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81"/>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Drum Parent LLC</w:t>
            </w: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37" w:right="339" w:bottom="1440" w:gutter="0" w:footer="0" w:header="0"/>
        </w:sectPr>
      </w:pPr>
    </w:p>
    <w:bookmarkStart w:id="522" w:name="page523"/>
    <w:bookmarkEnd w:id="522"/>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Riggs Distler &amp; Company, Inc.</w:t>
            </w:r>
          </w:p>
        </w:tc>
        <w:tc>
          <w:tcPr>
            <w:tcW w:w="4060" w:type="dxa"/>
            <w:vAlign w:val="bottom"/>
          </w:tcPr>
          <w:p>
            <w:pPr>
              <w:jc w:val="center"/>
              <w:ind w:left="2791"/>
              <w:spacing w:after="0"/>
              <w:rPr>
                <w:sz w:val="20"/>
                <w:szCs w:val="20"/>
                <w:color w:val="auto"/>
              </w:rPr>
            </w:pPr>
            <w:r>
              <w:rPr>
                <w:rFonts w:ascii="Times New Roman" w:cs="Times New Roman" w:eastAsia="Times New Roman" w:hAnsi="Times New Roman"/>
                <w:sz w:val="18"/>
                <w:szCs w:val="18"/>
                <w:color w:val="auto"/>
                <w:w w:val="99"/>
              </w:rPr>
              <w:t>Maryland</w:t>
            </w:r>
          </w:p>
        </w:tc>
      </w:tr>
      <w:tr>
        <w:trPr>
          <w:trHeight w:val="281"/>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VRO Construction Partners 1, LLC</w:t>
            </w:r>
          </w:p>
        </w:tc>
        <w:tc>
          <w:tcPr>
            <w:tcW w:w="4060" w:type="dxa"/>
            <w:vAlign w:val="bottom"/>
          </w:tcPr>
          <w:p>
            <w:pPr>
              <w:jc w:val="center"/>
              <w:ind w:left="2791"/>
              <w:spacing w:after="0"/>
              <w:rPr>
                <w:sz w:val="20"/>
                <w:szCs w:val="20"/>
                <w:color w:val="auto"/>
              </w:rPr>
            </w:pPr>
            <w:r>
              <w:rPr>
                <w:rFonts w:ascii="Times New Roman" w:cs="Times New Roman" w:eastAsia="Times New Roman" w:hAnsi="Times New Roman"/>
                <w:sz w:val="18"/>
                <w:szCs w:val="18"/>
                <w:color w:val="auto"/>
                <w:w w:val="98"/>
              </w:rPr>
              <w:t>New Jersey</w:t>
            </w:r>
          </w:p>
        </w:tc>
      </w:tr>
      <w:tr>
        <w:trPr>
          <w:trHeight w:val="281"/>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Riggs Gas LLC</w:t>
            </w:r>
          </w:p>
        </w:tc>
        <w:tc>
          <w:tcPr>
            <w:tcW w:w="4060" w:type="dxa"/>
            <w:vAlign w:val="bottom"/>
          </w:tcPr>
          <w:p>
            <w:pPr>
              <w:jc w:val="center"/>
              <w:ind w:left="2811"/>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81"/>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Shelby Mechanical LLC</w:t>
            </w:r>
          </w:p>
        </w:tc>
        <w:tc>
          <w:tcPr>
            <w:tcW w:w="4060" w:type="dxa"/>
            <w:vAlign w:val="bottom"/>
          </w:tcPr>
          <w:p>
            <w:pPr>
              <w:jc w:val="center"/>
              <w:ind w:left="2811"/>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81"/>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Shelby Plumbing, LLC</w:t>
            </w:r>
          </w:p>
        </w:tc>
        <w:tc>
          <w:tcPr>
            <w:tcW w:w="4060" w:type="dxa"/>
            <w:vAlign w:val="bottom"/>
          </w:tcPr>
          <w:p>
            <w:pPr>
              <w:jc w:val="center"/>
              <w:ind w:left="2791"/>
              <w:spacing w:after="0"/>
              <w:rPr>
                <w:sz w:val="20"/>
                <w:szCs w:val="20"/>
                <w:color w:val="auto"/>
              </w:rPr>
            </w:pPr>
            <w:r>
              <w:rPr>
                <w:rFonts w:ascii="Times New Roman" w:cs="Times New Roman" w:eastAsia="Times New Roman" w:hAnsi="Times New Roman"/>
                <w:sz w:val="18"/>
                <w:szCs w:val="18"/>
                <w:color w:val="auto"/>
                <w:w w:val="98"/>
              </w:rPr>
              <w:t>New Jersey</w:t>
            </w:r>
          </w:p>
        </w:tc>
      </w:tr>
      <w:tr>
        <w:trPr>
          <w:trHeight w:val="281"/>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Centuri Services Group LLC</w:t>
            </w:r>
          </w:p>
        </w:tc>
        <w:tc>
          <w:tcPr>
            <w:tcW w:w="4060" w:type="dxa"/>
            <w:vAlign w:val="bottom"/>
          </w:tcPr>
          <w:p>
            <w:pPr>
              <w:jc w:val="center"/>
              <w:ind w:left="2811"/>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81"/>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Services Division LLC</w:t>
            </w:r>
          </w:p>
        </w:tc>
        <w:tc>
          <w:tcPr>
            <w:tcW w:w="4060" w:type="dxa"/>
            <w:vAlign w:val="bottom"/>
          </w:tcPr>
          <w:p>
            <w:pPr>
              <w:jc w:val="center"/>
              <w:ind w:left="2811"/>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81"/>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Meritus Services Division LLC</w:t>
            </w:r>
          </w:p>
        </w:tc>
        <w:tc>
          <w:tcPr>
            <w:tcW w:w="4060" w:type="dxa"/>
            <w:vAlign w:val="bottom"/>
          </w:tcPr>
          <w:p>
            <w:pPr>
              <w:jc w:val="center"/>
              <w:ind w:left="2811"/>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81"/>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Centuri Canada Division Inc.</w:t>
            </w:r>
          </w:p>
        </w:tc>
        <w:tc>
          <w:tcPr>
            <w:tcW w:w="4060" w:type="dxa"/>
            <w:vAlign w:val="bottom"/>
          </w:tcPr>
          <w:p>
            <w:pPr>
              <w:jc w:val="center"/>
              <w:ind w:left="2811"/>
              <w:spacing w:after="0"/>
              <w:rPr>
                <w:sz w:val="20"/>
                <w:szCs w:val="20"/>
                <w:color w:val="auto"/>
              </w:rPr>
            </w:pPr>
            <w:r>
              <w:rPr>
                <w:rFonts w:ascii="Times New Roman" w:cs="Times New Roman" w:eastAsia="Times New Roman" w:hAnsi="Times New Roman"/>
                <w:sz w:val="18"/>
                <w:szCs w:val="18"/>
                <w:color w:val="auto"/>
                <w:w w:val="98"/>
              </w:rPr>
              <w:t>Ontario, Canada</w:t>
            </w:r>
          </w:p>
        </w:tc>
      </w:tr>
      <w:tr>
        <w:trPr>
          <w:trHeight w:val="281"/>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NPL Canada Ltd.</w:t>
            </w:r>
          </w:p>
        </w:tc>
        <w:tc>
          <w:tcPr>
            <w:tcW w:w="4060" w:type="dxa"/>
            <w:vAlign w:val="bottom"/>
          </w:tcPr>
          <w:p>
            <w:pPr>
              <w:jc w:val="center"/>
              <w:ind w:left="2811"/>
              <w:spacing w:after="0"/>
              <w:rPr>
                <w:sz w:val="20"/>
                <w:szCs w:val="20"/>
                <w:color w:val="auto"/>
              </w:rPr>
            </w:pPr>
            <w:r>
              <w:rPr>
                <w:rFonts w:ascii="Times New Roman" w:cs="Times New Roman" w:eastAsia="Times New Roman" w:hAnsi="Times New Roman"/>
                <w:sz w:val="18"/>
                <w:szCs w:val="18"/>
                <w:color w:val="auto"/>
                <w:w w:val="98"/>
              </w:rPr>
              <w:t>Ontario, Canada</w:t>
            </w:r>
          </w:p>
        </w:tc>
      </w:tr>
      <w:tr>
        <w:trPr>
          <w:trHeight w:val="281"/>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W.S. Nicholls Western Construction Ltd.</w:t>
            </w:r>
          </w:p>
        </w:tc>
        <w:tc>
          <w:tcPr>
            <w:tcW w:w="4060" w:type="dxa"/>
            <w:vAlign w:val="bottom"/>
          </w:tcPr>
          <w:p>
            <w:pPr>
              <w:jc w:val="center"/>
              <w:ind w:left="2811"/>
              <w:spacing w:after="0"/>
              <w:rPr>
                <w:sz w:val="20"/>
                <w:szCs w:val="20"/>
                <w:color w:val="auto"/>
              </w:rPr>
            </w:pPr>
            <w:r>
              <w:rPr>
                <w:rFonts w:ascii="Times New Roman" w:cs="Times New Roman" w:eastAsia="Times New Roman" w:hAnsi="Times New Roman"/>
                <w:sz w:val="18"/>
                <w:szCs w:val="18"/>
                <w:color w:val="auto"/>
                <w:w w:val="99"/>
              </w:rPr>
              <w:t>Federal, Canada</w:t>
            </w:r>
          </w:p>
        </w:tc>
      </w:tr>
    </w:tbl>
    <w:p>
      <w:pPr>
        <w:sectPr>
          <w:pgSz w:w="11900" w:h="16838" w:orient="portrait"/>
          <w:cols w:equalWidth="0" w:num="1">
            <w:col w:w="10059"/>
          </w:cols>
          <w:pgMar w:left="400" w:top="1440" w:right="1440" w:bottom="1440" w:gutter="0" w:footer="0" w:header="0"/>
        </w:sectPr>
      </w:pPr>
    </w:p>
    <w:bookmarkStart w:id="523" w:name="page524"/>
    <w:bookmarkEnd w:id="523"/>
    <w:p>
      <w:pPr>
        <w:jc w:val="right"/>
        <w:spacing w:after="0"/>
        <w:rPr>
          <w:sz w:val="20"/>
          <w:szCs w:val="20"/>
          <w:color w:val="auto"/>
        </w:rPr>
      </w:pPr>
      <w:r>
        <w:rPr>
          <w:rFonts w:ascii="Times New Roman" w:cs="Times New Roman" w:eastAsia="Times New Roman" w:hAnsi="Times New Roman"/>
          <w:sz w:val="18"/>
          <w:szCs w:val="18"/>
          <w:b w:val="1"/>
          <w:bCs w:val="1"/>
          <w:color w:val="auto"/>
        </w:rPr>
        <w:t>Exhibit 23.01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333-275774) and Form S-8 (Nos. 333-215145-01, 333-155581-01, 333-215150-01, 333-185354-01, 333-222048, 333-279320) of Southwest Gas Holdings, Inc. of our report dated February 26, 2025 relating to the financial statements and the effectiveness of internal control over financial reporting, which appears in this Form 10-K.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PricewaterhouseCoopers LLP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2025</w:t>
      </w:r>
    </w:p>
    <w:p>
      <w:pPr>
        <w:sectPr>
          <w:pgSz w:w="11900" w:h="16838" w:orient="portrait"/>
          <w:cols w:equalWidth="0" w:num="1">
            <w:col w:w="11240"/>
          </w:cols>
          <w:pgMar w:left="320" w:top="879" w:right="339" w:bottom="1440" w:gutter="0" w:footer="0" w:header="0"/>
        </w:sectPr>
      </w:pPr>
    </w:p>
    <w:bookmarkStart w:id="524" w:name="page525"/>
    <w:bookmarkEnd w:id="524"/>
    <w:p>
      <w:pPr>
        <w:jc w:val="right"/>
        <w:spacing w:after="0"/>
        <w:rPr>
          <w:sz w:val="20"/>
          <w:szCs w:val="20"/>
          <w:color w:val="auto"/>
        </w:rPr>
      </w:pPr>
      <w:r>
        <w:rPr>
          <w:rFonts w:ascii="Times New Roman" w:cs="Times New Roman" w:eastAsia="Times New Roman" w:hAnsi="Times New Roman"/>
          <w:sz w:val="18"/>
          <w:szCs w:val="18"/>
          <w:b w:val="1"/>
          <w:bCs w:val="1"/>
          <w:color w:val="auto"/>
        </w:rPr>
        <w:t>Exhibit 23.02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1"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S-3 (No. 333-275774-01) of Southwest Gas Corporation of our report dated February 26, 2025 relating to the financial statements, which appears in this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PricewaterhouseCoopers LLP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2025</w:t>
      </w:r>
    </w:p>
    <w:p>
      <w:pPr>
        <w:sectPr>
          <w:pgSz w:w="11900" w:h="16838" w:orient="portrait"/>
          <w:cols w:equalWidth="0" w:num="1">
            <w:col w:w="11240"/>
          </w:cols>
          <w:pgMar w:left="320" w:top="879" w:right="339" w:bottom="1440" w:gutter="0" w:footer="0" w:header="0"/>
        </w:sectPr>
      </w:pPr>
    </w:p>
    <w:bookmarkStart w:id="525" w:name="page526"/>
    <w:bookmarkEnd w:id="525"/>
    <w:p>
      <w:pPr>
        <w:jc w:val="right"/>
        <w:spacing w:after="0"/>
        <w:rPr>
          <w:sz w:val="20"/>
          <w:szCs w:val="20"/>
          <w:color w:val="auto"/>
        </w:rPr>
      </w:pPr>
      <w:r>
        <w:rPr>
          <w:rFonts w:ascii="Times New Roman" w:cs="Times New Roman" w:eastAsia="Times New Roman" w:hAnsi="Times New Roman"/>
          <w:sz w:val="18"/>
          <w:szCs w:val="18"/>
          <w:b w:val="1"/>
          <w:bCs w:val="1"/>
          <w:color w:val="auto"/>
        </w:rPr>
        <w:t>Exhibit 31.01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Southwest Gas Holdings,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Karen S. Haller, certify that:</w:t>
      </w:r>
    </w:p>
    <w:p>
      <w:pPr>
        <w:spacing w:after="0" w:line="261" w:lineRule="exact"/>
        <w:rPr>
          <w:sz w:val="20"/>
          <w:szCs w:val="20"/>
          <w:color w:val="auto"/>
        </w:rPr>
      </w:pPr>
    </w:p>
    <w:p>
      <w:pPr>
        <w:ind w:left="680" w:hanging="655"/>
        <w:spacing w:after="0"/>
        <w:tabs>
          <w:tab w:leader="none" w:pos="680"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Southwest Gas Holdings, Inc.;</w:t>
      </w:r>
    </w:p>
    <w:p>
      <w:pPr>
        <w:spacing w:after="0" w:line="354" w:lineRule="exact"/>
        <w:rPr>
          <w:rFonts w:ascii="Times New Roman" w:cs="Times New Roman" w:eastAsia="Times New Roman" w:hAnsi="Times New Roman"/>
          <w:sz w:val="18"/>
          <w:szCs w:val="18"/>
          <w:color w:val="auto"/>
        </w:rPr>
      </w:pPr>
    </w:p>
    <w:p>
      <w:pPr>
        <w:jc w:val="both"/>
        <w:ind w:left="680" w:right="200" w:hanging="655"/>
        <w:spacing w:after="0" w:line="229" w:lineRule="auto"/>
        <w:tabs>
          <w:tab w:leader="none" w:pos="680"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0" w:lineRule="exact"/>
        <w:rPr>
          <w:rFonts w:ascii="Times New Roman" w:cs="Times New Roman" w:eastAsia="Times New Roman" w:hAnsi="Times New Roman"/>
          <w:sz w:val="18"/>
          <w:szCs w:val="18"/>
          <w:color w:val="auto"/>
        </w:rPr>
      </w:pPr>
    </w:p>
    <w:p>
      <w:pPr>
        <w:ind w:left="680" w:right="160" w:hanging="655"/>
        <w:spacing w:after="0" w:line="235" w:lineRule="auto"/>
        <w:tabs>
          <w:tab w:leader="none" w:pos="680"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43" w:lineRule="exact"/>
        <w:rPr>
          <w:rFonts w:ascii="Times New Roman" w:cs="Times New Roman" w:eastAsia="Times New Roman" w:hAnsi="Times New Roman"/>
          <w:sz w:val="18"/>
          <w:szCs w:val="18"/>
          <w:color w:val="auto"/>
        </w:rPr>
      </w:pPr>
    </w:p>
    <w:p>
      <w:pPr>
        <w:ind w:left="680" w:right="180" w:hanging="655"/>
        <w:spacing w:after="0" w:line="229" w:lineRule="auto"/>
        <w:tabs>
          <w:tab w:leader="none" w:pos="680"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6" w:lineRule="exact"/>
        <w:rPr>
          <w:rFonts w:ascii="Times New Roman" w:cs="Times New Roman" w:eastAsia="Times New Roman" w:hAnsi="Times New Roman"/>
          <w:sz w:val="18"/>
          <w:szCs w:val="18"/>
          <w:color w:val="auto"/>
        </w:rPr>
      </w:pPr>
    </w:p>
    <w:p>
      <w:pPr>
        <w:jc w:val="both"/>
        <w:ind w:left="920" w:right="240" w:hanging="311"/>
        <w:spacing w:after="0" w:line="255" w:lineRule="auto"/>
        <w:tabs>
          <w:tab w:leader="none" w:pos="917" w:val="left"/>
        </w:tabs>
        <w:numPr>
          <w:ilvl w:val="1"/>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920" w:right="520" w:hanging="311"/>
        <w:spacing w:after="0" w:line="248" w:lineRule="auto"/>
        <w:tabs>
          <w:tab w:leader="none" w:pos="914" w:val="left"/>
        </w:tabs>
        <w:numPr>
          <w:ilvl w:val="1"/>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jc w:val="both"/>
        <w:ind w:left="920" w:right="680" w:hanging="311"/>
        <w:spacing w:after="0" w:line="262" w:lineRule="auto"/>
        <w:tabs>
          <w:tab w:leader="none" w:pos="917" w:val="left"/>
        </w:tabs>
        <w:numPr>
          <w:ilvl w:val="1"/>
          <w:numId w:val="4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ind w:left="920" w:right="240" w:hanging="311"/>
        <w:spacing w:after="0" w:line="252" w:lineRule="auto"/>
        <w:tabs>
          <w:tab w:leader="none" w:pos="914" w:val="left"/>
        </w:tabs>
        <w:numPr>
          <w:ilvl w:val="1"/>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4" w:lineRule="exact"/>
        <w:rPr>
          <w:rFonts w:ascii="Times New Roman" w:cs="Times New Roman" w:eastAsia="Times New Roman" w:hAnsi="Times New Roman"/>
          <w:sz w:val="18"/>
          <w:szCs w:val="18"/>
          <w:color w:val="auto"/>
        </w:rPr>
      </w:pPr>
    </w:p>
    <w:p>
      <w:pPr>
        <w:ind w:left="680" w:right="80" w:hanging="655"/>
        <w:spacing w:after="0" w:line="235" w:lineRule="auto"/>
        <w:tabs>
          <w:tab w:leader="none" w:pos="680"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9" w:lineRule="exact"/>
        <w:rPr>
          <w:rFonts w:ascii="Times New Roman" w:cs="Times New Roman" w:eastAsia="Times New Roman" w:hAnsi="Times New Roman"/>
          <w:sz w:val="18"/>
          <w:szCs w:val="18"/>
          <w:color w:val="auto"/>
        </w:rPr>
      </w:pPr>
    </w:p>
    <w:p>
      <w:pPr>
        <w:ind w:left="920" w:right="160" w:hanging="311"/>
        <w:spacing w:after="0" w:line="259" w:lineRule="auto"/>
        <w:tabs>
          <w:tab w:leader="none" w:pos="917" w:val="left"/>
        </w:tabs>
        <w:numPr>
          <w:ilvl w:val="1"/>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20" w:right="120" w:hanging="311"/>
        <w:spacing w:after="0" w:line="256" w:lineRule="auto"/>
        <w:tabs>
          <w:tab w:leader="none" w:pos="914" w:val="left"/>
        </w:tabs>
        <w:numPr>
          <w:ilvl w:val="1"/>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26, 2025</w:t>
      </w:r>
    </w:p>
    <w:p>
      <w:pPr>
        <w:spacing w:after="0" w:line="26"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4446270</wp:posOffset>
            </wp:positionH>
            <wp:positionV relativeFrom="paragraph">
              <wp:posOffset>12700</wp:posOffset>
            </wp:positionV>
            <wp:extent cx="269240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93">
                      <a:extLst>
                        <a:ext uri="{28A0092B-C50C-407E-A947-70E740481C1C}"/>
                      </a:extLst>
                    </a:blip>
                    <a:srcRect/>
                    <a:stretch>
                      <a:fillRect/>
                    </a:stretch>
                  </pic:blipFill>
                  <pic:spPr bwMode="auto">
                    <a:xfrm>
                      <a:off x="0" y="0"/>
                      <a:ext cx="2692400" cy="8255"/>
                    </a:xfrm>
                    <a:prstGeom prst="rect">
                      <a:avLst/>
                    </a:prstGeom>
                    <a:noFill/>
                  </pic:spPr>
                </pic:pic>
              </a:graphicData>
            </a:graphic>
          </wp:anchor>
        </w:drawing>
      </w:r>
    </w:p>
    <w:p>
      <w:pPr>
        <w:spacing w:after="0" w:line="8"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Karen S. Haller</w:t>
      </w:r>
    </w:p>
    <w:p>
      <w:pPr>
        <w:spacing w:after="0" w:line="26"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Southwest Gas Holdings, Inc.</w:t>
      </w:r>
    </w:p>
    <w:p>
      <w:pPr>
        <w:sectPr>
          <w:pgSz w:w="11900" w:h="16838" w:orient="portrait"/>
          <w:cols w:equalWidth="0" w:num="1">
            <w:col w:w="11240"/>
          </w:cols>
          <w:pgMar w:left="320" w:top="879" w:right="339" w:bottom="1440" w:gutter="0" w:footer="0" w:header="0"/>
        </w:sectPr>
      </w:pPr>
    </w:p>
    <w:bookmarkStart w:id="526" w:name="page527"/>
    <w:bookmarkEnd w:id="526"/>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Certification of Southwest Gas Holdings,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J. Stefani, certify that:</w:t>
      </w:r>
    </w:p>
    <w:p>
      <w:pPr>
        <w:spacing w:after="0" w:line="274" w:lineRule="exact"/>
        <w:rPr>
          <w:sz w:val="20"/>
          <w:szCs w:val="20"/>
          <w:color w:val="auto"/>
        </w:rPr>
      </w:pPr>
    </w:p>
    <w:p>
      <w:pPr>
        <w:ind w:left="680" w:hanging="655"/>
        <w:spacing w:after="0"/>
        <w:tabs>
          <w:tab w:leader="none" w:pos="680"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Southwest Gas Holdings, Inc.;</w:t>
      </w:r>
    </w:p>
    <w:p>
      <w:pPr>
        <w:spacing w:after="0" w:line="341" w:lineRule="exact"/>
        <w:rPr>
          <w:rFonts w:ascii="Times New Roman" w:cs="Times New Roman" w:eastAsia="Times New Roman" w:hAnsi="Times New Roman"/>
          <w:sz w:val="18"/>
          <w:szCs w:val="18"/>
          <w:color w:val="auto"/>
        </w:rPr>
      </w:pPr>
    </w:p>
    <w:p>
      <w:pPr>
        <w:jc w:val="both"/>
        <w:ind w:left="680" w:right="120" w:hanging="655"/>
        <w:spacing w:after="0" w:line="229" w:lineRule="auto"/>
        <w:tabs>
          <w:tab w:leader="none" w:pos="680"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0" w:lineRule="exact"/>
        <w:rPr>
          <w:rFonts w:ascii="Times New Roman" w:cs="Times New Roman" w:eastAsia="Times New Roman" w:hAnsi="Times New Roman"/>
          <w:sz w:val="18"/>
          <w:szCs w:val="18"/>
          <w:color w:val="auto"/>
        </w:rPr>
      </w:pPr>
    </w:p>
    <w:p>
      <w:pPr>
        <w:ind w:left="680" w:right="80" w:hanging="655"/>
        <w:spacing w:after="0" w:line="247" w:lineRule="auto"/>
        <w:tabs>
          <w:tab w:leader="none" w:pos="680"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22" w:lineRule="exact"/>
        <w:rPr>
          <w:rFonts w:ascii="Times New Roman" w:cs="Times New Roman" w:eastAsia="Times New Roman" w:hAnsi="Times New Roman"/>
          <w:sz w:val="18"/>
          <w:szCs w:val="18"/>
          <w:color w:val="auto"/>
        </w:rPr>
      </w:pPr>
    </w:p>
    <w:p>
      <w:pPr>
        <w:ind w:left="680" w:right="100" w:hanging="655"/>
        <w:spacing w:after="0" w:line="229" w:lineRule="auto"/>
        <w:tabs>
          <w:tab w:leader="none" w:pos="680"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9" w:lineRule="exact"/>
        <w:rPr>
          <w:rFonts w:ascii="Times New Roman" w:cs="Times New Roman" w:eastAsia="Times New Roman" w:hAnsi="Times New Roman"/>
          <w:sz w:val="18"/>
          <w:szCs w:val="18"/>
          <w:color w:val="auto"/>
        </w:rPr>
      </w:pPr>
    </w:p>
    <w:p>
      <w:pPr>
        <w:jc w:val="both"/>
        <w:ind w:left="920" w:right="160" w:hanging="311"/>
        <w:spacing w:after="0" w:line="255" w:lineRule="auto"/>
        <w:tabs>
          <w:tab w:leader="none" w:pos="917" w:val="left"/>
        </w:tabs>
        <w:numPr>
          <w:ilvl w:val="1"/>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920" w:right="440" w:hanging="311"/>
        <w:spacing w:after="0" w:line="248" w:lineRule="auto"/>
        <w:tabs>
          <w:tab w:leader="none" w:pos="914" w:val="left"/>
        </w:tabs>
        <w:numPr>
          <w:ilvl w:val="1"/>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jc w:val="both"/>
        <w:ind w:left="920" w:right="600" w:hanging="311"/>
        <w:spacing w:after="0" w:line="262" w:lineRule="auto"/>
        <w:tabs>
          <w:tab w:leader="none" w:pos="917" w:val="left"/>
        </w:tabs>
        <w:numPr>
          <w:ilvl w:val="1"/>
          <w:numId w:val="4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ind w:left="920" w:right="160" w:hanging="311"/>
        <w:spacing w:after="0" w:line="252" w:lineRule="auto"/>
        <w:tabs>
          <w:tab w:leader="none" w:pos="914" w:val="left"/>
        </w:tabs>
        <w:numPr>
          <w:ilvl w:val="1"/>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1" w:lineRule="exact"/>
        <w:rPr>
          <w:rFonts w:ascii="Times New Roman" w:cs="Times New Roman" w:eastAsia="Times New Roman" w:hAnsi="Times New Roman"/>
          <w:sz w:val="18"/>
          <w:szCs w:val="18"/>
          <w:color w:val="auto"/>
        </w:rPr>
      </w:pPr>
    </w:p>
    <w:p>
      <w:pPr>
        <w:ind w:left="680" w:hanging="655"/>
        <w:spacing w:after="0" w:line="247" w:lineRule="auto"/>
        <w:tabs>
          <w:tab w:leader="none" w:pos="680"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ind w:left="920" w:right="80" w:hanging="311"/>
        <w:spacing w:after="0" w:line="259" w:lineRule="auto"/>
        <w:tabs>
          <w:tab w:leader="none" w:pos="917" w:val="left"/>
        </w:tabs>
        <w:numPr>
          <w:ilvl w:val="1"/>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20" w:right="40" w:hanging="311"/>
        <w:spacing w:after="0" w:line="256" w:lineRule="auto"/>
        <w:tabs>
          <w:tab w:leader="none" w:pos="914" w:val="left"/>
        </w:tabs>
        <w:numPr>
          <w:ilvl w:val="1"/>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26, 2025</w:t>
      </w:r>
    </w:p>
    <w:p>
      <w:pPr>
        <w:spacing w:after="0" w:line="26"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/s/ ROBERT J. STEFANI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4446270</wp:posOffset>
            </wp:positionH>
            <wp:positionV relativeFrom="paragraph">
              <wp:posOffset>12700</wp:posOffset>
            </wp:positionV>
            <wp:extent cx="269240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94">
                      <a:extLst>
                        <a:ext uri="{28A0092B-C50C-407E-A947-70E740481C1C}"/>
                      </a:extLst>
                    </a:blip>
                    <a:srcRect/>
                    <a:stretch>
                      <a:fillRect/>
                    </a:stretch>
                  </pic:blipFill>
                  <pic:spPr bwMode="auto">
                    <a:xfrm>
                      <a:off x="0" y="0"/>
                      <a:ext cx="2692400" cy="8255"/>
                    </a:xfrm>
                    <a:prstGeom prst="rect">
                      <a:avLst/>
                    </a:prstGeom>
                    <a:noFill/>
                  </pic:spPr>
                </pic:pic>
              </a:graphicData>
            </a:graphic>
          </wp:anchor>
        </w:drawing>
      </w:r>
    </w:p>
    <w:p>
      <w:pPr>
        <w:spacing w:after="0" w:line="8"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Robert J. Stefani</w:t>
      </w:r>
    </w:p>
    <w:p>
      <w:pPr>
        <w:spacing w:after="0" w:line="26"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Senior Vice President/Chief Financial Officer</w:t>
      </w:r>
    </w:p>
    <w:p>
      <w:pPr>
        <w:spacing w:after="0" w:line="20"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Southwest Gas Holdings, Inc.</w:t>
      </w:r>
    </w:p>
    <w:p>
      <w:pPr>
        <w:sectPr>
          <w:pgSz w:w="11900" w:h="16838" w:orient="portrait"/>
          <w:cols w:equalWidth="0" w:num="1">
            <w:col w:w="11160"/>
          </w:cols>
          <w:pgMar w:left="320" w:top="999" w:right="419" w:bottom="1440" w:gutter="0" w:footer="0" w:header="0"/>
        </w:sectPr>
      </w:pPr>
    </w:p>
    <w:bookmarkStart w:id="527" w:name="page528"/>
    <w:bookmarkEnd w:id="527"/>
    <w:p>
      <w:pPr>
        <w:jc w:val="right"/>
        <w:spacing w:after="0"/>
        <w:rPr>
          <w:sz w:val="20"/>
          <w:szCs w:val="20"/>
          <w:color w:val="auto"/>
        </w:rPr>
      </w:pPr>
      <w:r>
        <w:rPr>
          <w:rFonts w:ascii="Times New Roman" w:cs="Times New Roman" w:eastAsia="Times New Roman" w:hAnsi="Times New Roman"/>
          <w:sz w:val="18"/>
          <w:szCs w:val="18"/>
          <w:b w:val="1"/>
          <w:bCs w:val="1"/>
          <w:color w:val="auto"/>
        </w:rPr>
        <w:t>Exhibit 31.02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Southwest Gas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Karen S. Haller, certify that:</w:t>
      </w:r>
    </w:p>
    <w:p>
      <w:pPr>
        <w:spacing w:after="0" w:line="261" w:lineRule="exact"/>
        <w:rPr>
          <w:sz w:val="20"/>
          <w:szCs w:val="20"/>
          <w:color w:val="auto"/>
        </w:rPr>
      </w:pPr>
    </w:p>
    <w:p>
      <w:pPr>
        <w:ind w:left="680" w:hanging="655"/>
        <w:spacing w:after="0"/>
        <w:tabs>
          <w:tab w:leader="none" w:pos="680"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Southwest Gas Corporation;</w:t>
      </w:r>
    </w:p>
    <w:p>
      <w:pPr>
        <w:spacing w:after="0" w:line="354" w:lineRule="exact"/>
        <w:rPr>
          <w:rFonts w:ascii="Times New Roman" w:cs="Times New Roman" w:eastAsia="Times New Roman" w:hAnsi="Times New Roman"/>
          <w:sz w:val="18"/>
          <w:szCs w:val="18"/>
          <w:color w:val="auto"/>
        </w:rPr>
      </w:pPr>
    </w:p>
    <w:p>
      <w:pPr>
        <w:jc w:val="both"/>
        <w:ind w:left="680" w:right="200" w:hanging="655"/>
        <w:spacing w:after="0" w:line="229" w:lineRule="auto"/>
        <w:tabs>
          <w:tab w:leader="none" w:pos="680"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0" w:lineRule="exact"/>
        <w:rPr>
          <w:rFonts w:ascii="Times New Roman" w:cs="Times New Roman" w:eastAsia="Times New Roman" w:hAnsi="Times New Roman"/>
          <w:sz w:val="18"/>
          <w:szCs w:val="18"/>
          <w:color w:val="auto"/>
        </w:rPr>
      </w:pPr>
    </w:p>
    <w:p>
      <w:pPr>
        <w:ind w:left="680" w:right="160" w:hanging="655"/>
        <w:spacing w:after="0" w:line="235" w:lineRule="auto"/>
        <w:tabs>
          <w:tab w:leader="none" w:pos="680"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43" w:lineRule="exact"/>
        <w:rPr>
          <w:rFonts w:ascii="Times New Roman" w:cs="Times New Roman" w:eastAsia="Times New Roman" w:hAnsi="Times New Roman"/>
          <w:sz w:val="18"/>
          <w:szCs w:val="18"/>
          <w:color w:val="auto"/>
        </w:rPr>
      </w:pPr>
    </w:p>
    <w:p>
      <w:pPr>
        <w:ind w:left="680" w:right="180" w:hanging="655"/>
        <w:spacing w:after="0" w:line="229" w:lineRule="auto"/>
        <w:tabs>
          <w:tab w:leader="none" w:pos="680"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6" w:lineRule="exact"/>
        <w:rPr>
          <w:rFonts w:ascii="Times New Roman" w:cs="Times New Roman" w:eastAsia="Times New Roman" w:hAnsi="Times New Roman"/>
          <w:sz w:val="18"/>
          <w:szCs w:val="18"/>
          <w:color w:val="auto"/>
        </w:rPr>
      </w:pPr>
    </w:p>
    <w:p>
      <w:pPr>
        <w:jc w:val="both"/>
        <w:ind w:left="920" w:right="240" w:hanging="311"/>
        <w:spacing w:after="0" w:line="255" w:lineRule="auto"/>
        <w:tabs>
          <w:tab w:leader="none" w:pos="917" w:val="left"/>
        </w:tabs>
        <w:numPr>
          <w:ilvl w:val="1"/>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920" w:right="520" w:hanging="311"/>
        <w:spacing w:after="0" w:line="248" w:lineRule="auto"/>
        <w:tabs>
          <w:tab w:leader="none" w:pos="914" w:val="left"/>
        </w:tabs>
        <w:numPr>
          <w:ilvl w:val="1"/>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jc w:val="both"/>
        <w:ind w:left="920" w:right="680" w:hanging="311"/>
        <w:spacing w:after="0" w:line="262" w:lineRule="auto"/>
        <w:tabs>
          <w:tab w:leader="none" w:pos="917" w:val="left"/>
        </w:tabs>
        <w:numPr>
          <w:ilvl w:val="1"/>
          <w:numId w:val="4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ind w:left="920" w:right="240" w:hanging="311"/>
        <w:spacing w:after="0" w:line="252" w:lineRule="auto"/>
        <w:tabs>
          <w:tab w:leader="none" w:pos="914" w:val="left"/>
        </w:tabs>
        <w:numPr>
          <w:ilvl w:val="1"/>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4" w:lineRule="exact"/>
        <w:rPr>
          <w:rFonts w:ascii="Times New Roman" w:cs="Times New Roman" w:eastAsia="Times New Roman" w:hAnsi="Times New Roman"/>
          <w:sz w:val="18"/>
          <w:szCs w:val="18"/>
          <w:color w:val="auto"/>
        </w:rPr>
      </w:pPr>
    </w:p>
    <w:p>
      <w:pPr>
        <w:ind w:left="680" w:right="80" w:hanging="655"/>
        <w:spacing w:after="0" w:line="235" w:lineRule="auto"/>
        <w:tabs>
          <w:tab w:leader="none" w:pos="680"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9" w:lineRule="exact"/>
        <w:rPr>
          <w:rFonts w:ascii="Times New Roman" w:cs="Times New Roman" w:eastAsia="Times New Roman" w:hAnsi="Times New Roman"/>
          <w:sz w:val="18"/>
          <w:szCs w:val="18"/>
          <w:color w:val="auto"/>
        </w:rPr>
      </w:pPr>
    </w:p>
    <w:p>
      <w:pPr>
        <w:ind w:left="920" w:right="160" w:hanging="311"/>
        <w:spacing w:after="0" w:line="259" w:lineRule="auto"/>
        <w:tabs>
          <w:tab w:leader="none" w:pos="917" w:val="left"/>
        </w:tabs>
        <w:numPr>
          <w:ilvl w:val="1"/>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20" w:right="120" w:hanging="311"/>
        <w:spacing w:after="0" w:line="256" w:lineRule="auto"/>
        <w:tabs>
          <w:tab w:leader="none" w:pos="914" w:val="left"/>
        </w:tabs>
        <w:numPr>
          <w:ilvl w:val="1"/>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26, 2025</w:t>
      </w:r>
    </w:p>
    <w:p>
      <w:pPr>
        <w:spacing w:after="0" w:line="74"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4446270</wp:posOffset>
            </wp:positionH>
            <wp:positionV relativeFrom="paragraph">
              <wp:posOffset>15875</wp:posOffset>
            </wp:positionV>
            <wp:extent cx="269240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95">
                      <a:extLst>
                        <a:ext uri="{28A0092B-C50C-407E-A947-70E740481C1C}"/>
                      </a:extLst>
                    </a:blip>
                    <a:srcRect/>
                    <a:stretch>
                      <a:fillRect/>
                    </a:stretch>
                  </pic:blipFill>
                  <pic:spPr bwMode="auto">
                    <a:xfrm>
                      <a:off x="0" y="0"/>
                      <a:ext cx="2692400" cy="8255"/>
                    </a:xfrm>
                    <a:prstGeom prst="rect">
                      <a:avLst/>
                    </a:prstGeom>
                    <a:noFill/>
                  </pic:spPr>
                </pic:pic>
              </a:graphicData>
            </a:graphic>
          </wp:anchor>
        </w:drawing>
      </w:r>
    </w:p>
    <w:p>
      <w:pPr>
        <w:spacing w:after="0" w:line="14"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Karen S. Haller</w:t>
      </w:r>
    </w:p>
    <w:p>
      <w:pPr>
        <w:spacing w:after="0" w:line="26"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Southwest Gas Corporation</w:t>
      </w:r>
    </w:p>
    <w:p>
      <w:pPr>
        <w:sectPr>
          <w:pgSz w:w="11900" w:h="16838" w:orient="portrait"/>
          <w:cols w:equalWidth="0" w:num="1">
            <w:col w:w="11240"/>
          </w:cols>
          <w:pgMar w:left="320" w:top="879" w:right="339" w:bottom="1440" w:gutter="0" w:footer="0" w:header="0"/>
        </w:sectPr>
      </w:pPr>
    </w:p>
    <w:bookmarkStart w:id="528" w:name="page529"/>
    <w:bookmarkEnd w:id="528"/>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Certification of Southwest Gas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J. Stefani, certify that:</w:t>
      </w:r>
    </w:p>
    <w:p>
      <w:pPr>
        <w:spacing w:after="0" w:line="261" w:lineRule="exact"/>
        <w:rPr>
          <w:sz w:val="20"/>
          <w:szCs w:val="20"/>
          <w:color w:val="auto"/>
        </w:rPr>
      </w:pPr>
    </w:p>
    <w:p>
      <w:pPr>
        <w:ind w:left="680" w:hanging="655"/>
        <w:spacing w:after="0"/>
        <w:tabs>
          <w:tab w:leader="none" w:pos="680"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Southwest Gas Corporation;</w:t>
      </w:r>
    </w:p>
    <w:p>
      <w:pPr>
        <w:spacing w:after="0" w:line="354" w:lineRule="exact"/>
        <w:rPr>
          <w:rFonts w:ascii="Times New Roman" w:cs="Times New Roman" w:eastAsia="Times New Roman" w:hAnsi="Times New Roman"/>
          <w:sz w:val="18"/>
          <w:szCs w:val="18"/>
          <w:color w:val="auto"/>
        </w:rPr>
      </w:pPr>
    </w:p>
    <w:p>
      <w:pPr>
        <w:jc w:val="both"/>
        <w:ind w:left="680" w:right="120" w:hanging="655"/>
        <w:spacing w:after="0" w:line="229" w:lineRule="auto"/>
        <w:tabs>
          <w:tab w:leader="none" w:pos="680"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0" w:lineRule="exact"/>
        <w:rPr>
          <w:rFonts w:ascii="Times New Roman" w:cs="Times New Roman" w:eastAsia="Times New Roman" w:hAnsi="Times New Roman"/>
          <w:sz w:val="18"/>
          <w:szCs w:val="18"/>
          <w:color w:val="auto"/>
        </w:rPr>
      </w:pPr>
    </w:p>
    <w:p>
      <w:pPr>
        <w:ind w:left="680" w:right="80" w:hanging="655"/>
        <w:spacing w:after="0" w:line="235" w:lineRule="auto"/>
        <w:tabs>
          <w:tab w:leader="none" w:pos="680"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43" w:lineRule="exact"/>
        <w:rPr>
          <w:rFonts w:ascii="Times New Roman" w:cs="Times New Roman" w:eastAsia="Times New Roman" w:hAnsi="Times New Roman"/>
          <w:sz w:val="18"/>
          <w:szCs w:val="18"/>
          <w:color w:val="auto"/>
        </w:rPr>
      </w:pPr>
    </w:p>
    <w:p>
      <w:pPr>
        <w:ind w:left="680" w:right="100" w:hanging="655"/>
        <w:spacing w:after="0" w:line="229" w:lineRule="auto"/>
        <w:tabs>
          <w:tab w:leader="none" w:pos="680"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6" w:lineRule="exact"/>
        <w:rPr>
          <w:rFonts w:ascii="Times New Roman" w:cs="Times New Roman" w:eastAsia="Times New Roman" w:hAnsi="Times New Roman"/>
          <w:sz w:val="18"/>
          <w:szCs w:val="18"/>
          <w:color w:val="auto"/>
        </w:rPr>
      </w:pPr>
    </w:p>
    <w:p>
      <w:pPr>
        <w:jc w:val="both"/>
        <w:ind w:left="920" w:right="160" w:hanging="311"/>
        <w:spacing w:after="0" w:line="255" w:lineRule="auto"/>
        <w:tabs>
          <w:tab w:leader="none" w:pos="917" w:val="left"/>
        </w:tabs>
        <w:numPr>
          <w:ilvl w:val="1"/>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920" w:right="440" w:hanging="311"/>
        <w:spacing w:after="0" w:line="248" w:lineRule="auto"/>
        <w:tabs>
          <w:tab w:leader="none" w:pos="914" w:val="left"/>
        </w:tabs>
        <w:numPr>
          <w:ilvl w:val="1"/>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jc w:val="both"/>
        <w:ind w:left="920" w:right="600" w:hanging="311"/>
        <w:spacing w:after="0" w:line="262" w:lineRule="auto"/>
        <w:tabs>
          <w:tab w:leader="none" w:pos="917" w:val="left"/>
        </w:tabs>
        <w:numPr>
          <w:ilvl w:val="1"/>
          <w:numId w:val="4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ind w:left="920" w:right="160" w:hanging="311"/>
        <w:spacing w:after="0" w:line="252" w:lineRule="auto"/>
        <w:tabs>
          <w:tab w:leader="none" w:pos="914" w:val="left"/>
        </w:tabs>
        <w:numPr>
          <w:ilvl w:val="1"/>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4" w:lineRule="exact"/>
        <w:rPr>
          <w:rFonts w:ascii="Times New Roman" w:cs="Times New Roman" w:eastAsia="Times New Roman" w:hAnsi="Times New Roman"/>
          <w:sz w:val="18"/>
          <w:szCs w:val="18"/>
          <w:color w:val="auto"/>
        </w:rPr>
      </w:pPr>
    </w:p>
    <w:p>
      <w:pPr>
        <w:ind w:left="680" w:hanging="655"/>
        <w:spacing w:after="0" w:line="235" w:lineRule="auto"/>
        <w:tabs>
          <w:tab w:leader="none" w:pos="680"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9" w:lineRule="exact"/>
        <w:rPr>
          <w:rFonts w:ascii="Times New Roman" w:cs="Times New Roman" w:eastAsia="Times New Roman" w:hAnsi="Times New Roman"/>
          <w:sz w:val="18"/>
          <w:szCs w:val="18"/>
          <w:color w:val="auto"/>
        </w:rPr>
      </w:pPr>
    </w:p>
    <w:p>
      <w:pPr>
        <w:ind w:left="920" w:right="80" w:hanging="311"/>
        <w:spacing w:after="0" w:line="259" w:lineRule="auto"/>
        <w:tabs>
          <w:tab w:leader="none" w:pos="917" w:val="left"/>
        </w:tabs>
        <w:numPr>
          <w:ilvl w:val="1"/>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20" w:right="40" w:hanging="311"/>
        <w:spacing w:after="0" w:line="256" w:lineRule="auto"/>
        <w:tabs>
          <w:tab w:leader="none" w:pos="914" w:val="left"/>
        </w:tabs>
        <w:numPr>
          <w:ilvl w:val="1"/>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26, 2025</w:t>
      </w:r>
    </w:p>
    <w:p>
      <w:pPr>
        <w:spacing w:after="0" w:line="74"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/s/ ROBERT J. STEFANI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4446270</wp:posOffset>
            </wp:positionH>
            <wp:positionV relativeFrom="paragraph">
              <wp:posOffset>15875</wp:posOffset>
            </wp:positionV>
            <wp:extent cx="269240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96">
                      <a:extLst>
                        <a:ext uri="{28A0092B-C50C-407E-A947-70E740481C1C}"/>
                      </a:extLst>
                    </a:blip>
                    <a:srcRect/>
                    <a:stretch>
                      <a:fillRect/>
                    </a:stretch>
                  </pic:blipFill>
                  <pic:spPr bwMode="auto">
                    <a:xfrm>
                      <a:off x="0" y="0"/>
                      <a:ext cx="2692400" cy="8255"/>
                    </a:xfrm>
                    <a:prstGeom prst="rect">
                      <a:avLst/>
                    </a:prstGeom>
                    <a:noFill/>
                  </pic:spPr>
                </pic:pic>
              </a:graphicData>
            </a:graphic>
          </wp:anchor>
        </w:drawing>
      </w:r>
    </w:p>
    <w:p>
      <w:pPr>
        <w:spacing w:after="0" w:line="14"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Robert J. Stefani</w:t>
      </w:r>
    </w:p>
    <w:p>
      <w:pPr>
        <w:spacing w:after="0" w:line="26"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Senior Vice President/Chief Financial Officer</w:t>
      </w:r>
    </w:p>
    <w:p>
      <w:pPr>
        <w:spacing w:after="0" w:line="20"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Southwest Gas Corporation</w:t>
      </w:r>
    </w:p>
    <w:p>
      <w:pPr>
        <w:sectPr>
          <w:pgSz w:w="11900" w:h="16838" w:orient="portrait"/>
          <w:cols w:equalWidth="0" w:num="1">
            <w:col w:w="11160"/>
          </w:cols>
          <w:pgMar w:left="320" w:top="879" w:right="419" w:bottom="1440" w:gutter="0" w:footer="0" w:header="0"/>
        </w:sectPr>
      </w:pPr>
    </w:p>
    <w:bookmarkStart w:id="529" w:name="page530"/>
    <w:bookmarkEnd w:id="529"/>
    <w:p>
      <w:pPr>
        <w:jc w:val="right"/>
        <w:spacing w:after="0"/>
        <w:rPr>
          <w:sz w:val="20"/>
          <w:szCs w:val="20"/>
          <w:color w:val="auto"/>
        </w:rPr>
      </w:pPr>
      <w:r>
        <w:rPr>
          <w:rFonts w:ascii="Times New Roman" w:cs="Times New Roman" w:eastAsia="Times New Roman" w:hAnsi="Times New Roman"/>
          <w:sz w:val="18"/>
          <w:szCs w:val="18"/>
          <w:color w:val="auto"/>
        </w:rPr>
        <w:t>Exhibit 32.01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HOLDINGS, INC.</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connection with the periodic report of Southwest Gas Holdings, Inc. (the “Company”) on Form 10-K for the period ended December 31, 2024 as filed with the Securities and Exchange Commission (the “Report”), I, Karen S. Haller, the President and Chief Executive Officer of the Company, hereby certify as of the date hereof, solely for purposes of Title 18, Chapter 63, Section 1350 of the United States Code, that to the best of my knowledge:</w:t>
      </w:r>
    </w:p>
    <w:p>
      <w:pPr>
        <w:spacing w:after="0" w:line="95" w:lineRule="exact"/>
        <w:rPr>
          <w:sz w:val="20"/>
          <w:szCs w:val="20"/>
          <w:color w:val="auto"/>
        </w:rPr>
      </w:pPr>
    </w:p>
    <w:p>
      <w:pPr>
        <w:ind w:left="560" w:hanging="312"/>
        <w:spacing w:after="0"/>
        <w:tabs>
          <w:tab w:leader="none" w:pos="560"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5" w:lineRule="exact"/>
        <w:rPr>
          <w:rFonts w:ascii="Times New Roman" w:cs="Times New Roman" w:eastAsia="Times New Roman" w:hAnsi="Times New Roman"/>
          <w:sz w:val="18"/>
          <w:szCs w:val="18"/>
          <w:color w:val="auto"/>
        </w:rPr>
      </w:pPr>
    </w:p>
    <w:p>
      <w:pPr>
        <w:ind w:left="560" w:hanging="312"/>
        <w:spacing w:after="0" w:line="256" w:lineRule="auto"/>
        <w:tabs>
          <w:tab w:leader="none" w:pos="554"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3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February 26, 2025</w:t>
      </w:r>
    </w:p>
    <w:p>
      <w:pPr>
        <w:spacing w:after="0" w:line="26"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4827905</wp:posOffset>
            </wp:positionH>
            <wp:positionV relativeFrom="paragraph">
              <wp:posOffset>12700</wp:posOffset>
            </wp:positionV>
            <wp:extent cx="229298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97">
                      <a:extLst>
                        <a:ext uri="{28A0092B-C50C-407E-A947-70E740481C1C}"/>
                      </a:extLst>
                    </a:blip>
                    <a:srcRect/>
                    <a:stretch>
                      <a:fillRect/>
                    </a:stretch>
                  </pic:blipFill>
                  <pic:spPr bwMode="auto">
                    <a:xfrm>
                      <a:off x="0" y="0"/>
                      <a:ext cx="2292985" cy="8255"/>
                    </a:xfrm>
                    <a:prstGeom prst="rect">
                      <a:avLst/>
                    </a:prstGeom>
                    <a:noFill/>
                  </pic:spPr>
                </pic:pic>
              </a:graphicData>
            </a:graphic>
          </wp:anchor>
        </w:drawing>
      </w:r>
    </w:p>
    <w:p>
      <w:pPr>
        <w:spacing w:after="0" w:line="8"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Karen S. Haller</w:t>
      </w:r>
    </w:p>
    <w:p>
      <w:pPr>
        <w:ind w:left="7620"/>
        <w:spacing w:after="0" w:line="201" w:lineRule="auto"/>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Southwest Gas Holdings, Inc.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HOLDINGS, INC.</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connection with the periodic report of Southwest Gas Holdings, Inc. (the “Company”) on Form 10-K for the period ended December 31, 2024 as filed with the Securities and Exchange Commission (the “Report”), I, Robert J. Stefani, Senior Vice President/Chief Financial Officer of the Company, hereby certify as of the date hereof, solely for purposes of Title 18, Chapter 63, Section 1350 of the United States Code, that to the best of my knowledge:</w:t>
      </w:r>
    </w:p>
    <w:p>
      <w:pPr>
        <w:spacing w:after="0" w:line="95" w:lineRule="exact"/>
        <w:rPr>
          <w:sz w:val="20"/>
          <w:szCs w:val="20"/>
          <w:color w:val="auto"/>
        </w:rPr>
      </w:pPr>
    </w:p>
    <w:p>
      <w:pPr>
        <w:ind w:left="560" w:hanging="312"/>
        <w:spacing w:after="0"/>
        <w:tabs>
          <w:tab w:leader="none" w:pos="560"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5" w:lineRule="exact"/>
        <w:rPr>
          <w:rFonts w:ascii="Times New Roman" w:cs="Times New Roman" w:eastAsia="Times New Roman" w:hAnsi="Times New Roman"/>
          <w:sz w:val="18"/>
          <w:szCs w:val="18"/>
          <w:color w:val="auto"/>
        </w:rPr>
      </w:pPr>
    </w:p>
    <w:p>
      <w:pPr>
        <w:ind w:left="560" w:hanging="312"/>
        <w:spacing w:after="0" w:line="256" w:lineRule="auto"/>
        <w:tabs>
          <w:tab w:leader="none" w:pos="554"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3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February 26, 2025</w:t>
      </w:r>
    </w:p>
    <w:p>
      <w:pPr>
        <w:spacing w:after="0" w:line="26"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/s/ ROBERT J. STEFANI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4819650</wp:posOffset>
            </wp:positionH>
            <wp:positionV relativeFrom="paragraph">
              <wp:posOffset>12700</wp:posOffset>
            </wp:positionV>
            <wp:extent cx="230124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98">
                      <a:extLst>
                        <a:ext uri="{28A0092B-C50C-407E-A947-70E740481C1C}"/>
                      </a:extLst>
                    </a:blip>
                    <a:srcRect/>
                    <a:stretch>
                      <a:fillRect/>
                    </a:stretch>
                  </pic:blipFill>
                  <pic:spPr bwMode="auto">
                    <a:xfrm>
                      <a:off x="0" y="0"/>
                      <a:ext cx="2301240" cy="8255"/>
                    </a:xfrm>
                    <a:prstGeom prst="rect">
                      <a:avLst/>
                    </a:prstGeom>
                    <a:noFill/>
                  </pic:spPr>
                </pic:pic>
              </a:graphicData>
            </a:graphic>
          </wp:anchor>
        </w:drawing>
      </w:r>
    </w:p>
    <w:p>
      <w:pPr>
        <w:ind w:left="7600"/>
        <w:spacing w:after="0"/>
        <w:rPr>
          <w:sz w:val="20"/>
          <w:szCs w:val="20"/>
          <w:color w:val="auto"/>
        </w:rPr>
      </w:pPr>
      <w:r>
        <w:rPr>
          <w:rFonts w:ascii="Times New Roman" w:cs="Times New Roman" w:eastAsia="Times New Roman" w:hAnsi="Times New Roman"/>
          <w:sz w:val="18"/>
          <w:szCs w:val="18"/>
          <w:color w:val="auto"/>
        </w:rPr>
        <w:t>Robert J. Stefani</w:t>
      </w:r>
    </w:p>
    <w:p>
      <w:pPr>
        <w:ind w:left="7600"/>
        <w:spacing w:after="0" w:line="201" w:lineRule="auto"/>
        <w:rPr>
          <w:sz w:val="20"/>
          <w:szCs w:val="20"/>
          <w:color w:val="auto"/>
        </w:rPr>
      </w:pPr>
      <w:r>
        <w:rPr>
          <w:rFonts w:ascii="Times New Roman" w:cs="Times New Roman" w:eastAsia="Times New Roman" w:hAnsi="Times New Roman"/>
          <w:sz w:val="18"/>
          <w:szCs w:val="18"/>
          <w:color w:val="auto"/>
        </w:rPr>
        <w:t>Senior Vice President/Chief Financial Officer</w:t>
      </w:r>
    </w:p>
    <w:p>
      <w:pPr>
        <w:spacing w:after="0" w:line="1"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Southwest Gas Holdings, Inc.</w:t>
      </w:r>
    </w:p>
    <w:p>
      <w:pPr>
        <w:sectPr>
          <w:pgSz w:w="11900" w:h="16838" w:orient="portrait"/>
          <w:cols w:equalWidth="0" w:num="1">
            <w:col w:w="11240"/>
          </w:cols>
          <w:pgMar w:left="320" w:top="883" w:right="339" w:bottom="1440" w:gutter="0" w:footer="0" w:header="0"/>
        </w:sectPr>
      </w:pPr>
    </w:p>
    <w:bookmarkStart w:id="530" w:name="page531"/>
    <w:bookmarkEnd w:id="530"/>
    <w:p>
      <w:pPr>
        <w:jc w:val="right"/>
        <w:spacing w:after="0"/>
        <w:rPr>
          <w:sz w:val="20"/>
          <w:szCs w:val="20"/>
          <w:color w:val="auto"/>
        </w:rPr>
      </w:pPr>
      <w:r>
        <w:rPr>
          <w:rFonts w:ascii="Times New Roman" w:cs="Times New Roman" w:eastAsia="Times New Roman" w:hAnsi="Times New Roman"/>
          <w:sz w:val="18"/>
          <w:szCs w:val="18"/>
          <w:color w:val="auto"/>
        </w:rPr>
        <w:t>Exhibit 32.02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CORPORATION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connection with the periodic report of Southwest Gas Corporation on Form 10-K for the period ended December 31, 2024 as filed with the Securities and Exchange Commission (the “Report”), I, Karen S. Haller, the Chief Executive Officer of Southwest Gas Corporation, hereby certify as of the date hereof, solely for purposes of Title 18, Chapter 63, Section 1350 of the United States Code, that to the best of my knowledge:</w:t>
      </w:r>
    </w:p>
    <w:p>
      <w:pPr>
        <w:spacing w:after="0" w:line="95" w:lineRule="exact"/>
        <w:rPr>
          <w:sz w:val="20"/>
          <w:szCs w:val="20"/>
          <w:color w:val="auto"/>
        </w:rPr>
      </w:pPr>
    </w:p>
    <w:p>
      <w:pPr>
        <w:ind w:left="560" w:hanging="312"/>
        <w:spacing w:after="0"/>
        <w:tabs>
          <w:tab w:leader="none" w:pos="560"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5" w:lineRule="exact"/>
        <w:rPr>
          <w:rFonts w:ascii="Times New Roman" w:cs="Times New Roman" w:eastAsia="Times New Roman" w:hAnsi="Times New Roman"/>
          <w:sz w:val="18"/>
          <w:szCs w:val="18"/>
          <w:color w:val="auto"/>
        </w:rPr>
      </w:pPr>
    </w:p>
    <w:p>
      <w:pPr>
        <w:ind w:left="560" w:hanging="312"/>
        <w:spacing w:after="0" w:line="256" w:lineRule="auto"/>
        <w:tabs>
          <w:tab w:leader="none" w:pos="554"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3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February 26, 2025</w:t>
      </w:r>
    </w:p>
    <w:p>
      <w:pPr>
        <w:spacing w:after="0" w:line="74"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4853305</wp:posOffset>
            </wp:positionH>
            <wp:positionV relativeFrom="paragraph">
              <wp:posOffset>15875</wp:posOffset>
            </wp:positionV>
            <wp:extent cx="228473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99">
                      <a:extLst>
                        <a:ext uri="{28A0092B-C50C-407E-A947-70E740481C1C}"/>
                      </a:extLst>
                    </a:blip>
                    <a:srcRect/>
                    <a:stretch>
                      <a:fillRect/>
                    </a:stretch>
                  </pic:blipFill>
                  <pic:spPr bwMode="auto">
                    <a:xfrm>
                      <a:off x="0" y="0"/>
                      <a:ext cx="2284730" cy="8255"/>
                    </a:xfrm>
                    <a:prstGeom prst="rect">
                      <a:avLst/>
                    </a:prstGeom>
                    <a:noFill/>
                  </pic:spPr>
                </pic:pic>
              </a:graphicData>
            </a:graphic>
          </wp:anchor>
        </w:drawing>
      </w:r>
    </w:p>
    <w:p>
      <w:pPr>
        <w:spacing w:after="0" w:line="14"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Karen S. Haller</w:t>
      </w:r>
    </w:p>
    <w:p>
      <w:pPr>
        <w:ind w:left="7660"/>
        <w:spacing w:after="0" w:line="201" w:lineRule="auto"/>
        <w:rPr>
          <w:sz w:val="20"/>
          <w:szCs w:val="20"/>
          <w:color w:val="auto"/>
        </w:rPr>
      </w:pPr>
      <w:r>
        <w:rPr>
          <w:rFonts w:ascii="Times New Roman" w:cs="Times New Roman" w:eastAsia="Times New Roman" w:hAnsi="Times New Roman"/>
          <w:sz w:val="18"/>
          <w:szCs w:val="18"/>
          <w:color w:val="auto"/>
        </w:rPr>
        <w:t>Chief Executive Officer</w:t>
      </w:r>
    </w:p>
    <w:p>
      <w:pPr>
        <w:spacing w:after="0" w:line="1"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Southwest Gas Corporation</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CORPORATION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connection with the periodic report of Southwest Gas Corporation on Form 10-K for the period ended December 31, 2024 as filed with the Securities and Exchange Commission (the “Report”), I, Robert J. Stefani, Senior Vice President/Chief Financial Officer of Southwest Gas Corporation, hereby certify as of the date hereof, solely for purposes of Title 18, Chapter 63, Section 1350 of the United States Code, that to the best of my knowledge:</w:t>
      </w:r>
    </w:p>
    <w:p>
      <w:pPr>
        <w:spacing w:after="0" w:line="95" w:lineRule="exact"/>
        <w:rPr>
          <w:sz w:val="20"/>
          <w:szCs w:val="20"/>
          <w:color w:val="auto"/>
        </w:rPr>
      </w:pPr>
    </w:p>
    <w:p>
      <w:pPr>
        <w:ind w:left="560" w:hanging="312"/>
        <w:spacing w:after="0"/>
        <w:tabs>
          <w:tab w:leader="none" w:pos="560"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5" w:lineRule="exact"/>
        <w:rPr>
          <w:rFonts w:ascii="Times New Roman" w:cs="Times New Roman" w:eastAsia="Times New Roman" w:hAnsi="Times New Roman"/>
          <w:sz w:val="18"/>
          <w:szCs w:val="18"/>
          <w:color w:val="auto"/>
        </w:rPr>
      </w:pPr>
    </w:p>
    <w:p>
      <w:pPr>
        <w:ind w:left="560" w:hanging="312"/>
        <w:spacing w:after="0" w:line="256" w:lineRule="auto"/>
        <w:tabs>
          <w:tab w:leader="none" w:pos="554"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February 26, 2025</w:t>
      </w:r>
    </w:p>
    <w:p>
      <w:pPr>
        <w:spacing w:after="0" w:line="74"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/s/ ROBERT J. STEFANI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4853305</wp:posOffset>
            </wp:positionH>
            <wp:positionV relativeFrom="paragraph">
              <wp:posOffset>15875</wp:posOffset>
            </wp:positionV>
            <wp:extent cx="228473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700">
                      <a:extLst>
                        <a:ext uri="{28A0092B-C50C-407E-A947-70E740481C1C}"/>
                      </a:extLst>
                    </a:blip>
                    <a:srcRect/>
                    <a:stretch>
                      <a:fillRect/>
                    </a:stretch>
                  </pic:blipFill>
                  <pic:spPr bwMode="auto">
                    <a:xfrm>
                      <a:off x="0" y="0"/>
                      <a:ext cx="2284730" cy="8255"/>
                    </a:xfrm>
                    <a:prstGeom prst="rect">
                      <a:avLst/>
                    </a:prstGeom>
                    <a:noFill/>
                  </pic:spPr>
                </pic:pic>
              </a:graphicData>
            </a:graphic>
          </wp:anchor>
        </w:drawing>
      </w:r>
    </w:p>
    <w:p>
      <w:pPr>
        <w:spacing w:after="0" w:line="1"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Robert J. Stefani</w:t>
      </w:r>
    </w:p>
    <w:p>
      <w:pPr>
        <w:ind w:left="7660"/>
        <w:spacing w:after="0" w:line="201" w:lineRule="auto"/>
        <w:rPr>
          <w:sz w:val="20"/>
          <w:szCs w:val="20"/>
          <w:color w:val="auto"/>
        </w:rPr>
      </w:pPr>
      <w:r>
        <w:rPr>
          <w:rFonts w:ascii="Times New Roman" w:cs="Times New Roman" w:eastAsia="Times New Roman" w:hAnsi="Times New Roman"/>
          <w:sz w:val="18"/>
          <w:szCs w:val="18"/>
          <w:color w:val="auto"/>
        </w:rPr>
        <w:t>Senior Vice President/Chief Financial Officer</w:t>
      </w:r>
    </w:p>
    <w:p>
      <w:pPr>
        <w:spacing w:after="0" w:line="1"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Southwest Gas Corporation</w:t>
      </w:r>
    </w:p>
    <w:sectPr>
      <w:pgSz w:w="11900" w:h="16838" w:orient="portrait"/>
      <w:cols w:equalWidth="0" w:num="1">
        <w:col w:w="11240"/>
      </w:cols>
      <w:pgMar w:left="320" w:top="88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5B71329"/>
    <w:multiLevelType w:val="hybridMultilevel"/>
    <w:lvl w:ilvl="0">
      <w:lvlJc w:val="left"/>
      <w:lvlText w:val="☒"/>
      <w:numFmt w:val="bullet"/>
      <w:start w:val="1"/>
    </w:lvl>
  </w:abstractNum>
  <w:abstractNum w:abstractNumId="1">
    <w:nsid w:val="3DA97044"/>
    <w:multiLevelType w:val="hybridMultilevel"/>
    <w:lvl w:ilvl="0">
      <w:lvlJc w:val="left"/>
      <w:lvlText w:val="☐"/>
      <w:numFmt w:val="bullet"/>
      <w:start w:val="1"/>
    </w:lvl>
  </w:abstractNum>
  <w:abstractNum w:abstractNumId="2">
    <w:nsid w:val="1CDCE2DE"/>
    <w:multiLevelType w:val="hybridMultilevel"/>
    <w:lvl w:ilvl="0">
      <w:lvlJc w:val="left"/>
      <w:lvlText w:val="•"/>
      <w:numFmt w:val="bullet"/>
      <w:start w:val="1"/>
    </w:lvl>
  </w:abstractNum>
  <w:abstractNum w:abstractNumId="3">
    <w:nsid w:val="69D3947C"/>
    <w:multiLevelType w:val="hybridMultilevel"/>
    <w:lvl w:ilvl="0">
      <w:lvlJc w:val="left"/>
      <w:lvlText w:val="•"/>
      <w:numFmt w:val="bullet"/>
      <w:start w:val="1"/>
    </w:lvl>
  </w:abstractNum>
  <w:abstractNum w:abstractNumId="4">
    <w:nsid w:val="2539DFA5"/>
    <w:multiLevelType w:val="hybridMultilevel"/>
    <w:lvl w:ilvl="0">
      <w:lvlJc w:val="left"/>
      <w:lvlText w:val="•"/>
      <w:numFmt w:val="bullet"/>
      <w:start w:val="1"/>
    </w:lvl>
  </w:abstractNum>
  <w:abstractNum w:abstractNumId="5">
    <w:nsid w:val="2DB88089"/>
    <w:multiLevelType w:val="hybridMultilevel"/>
    <w:lvl w:ilvl="0">
      <w:lvlJc w:val="left"/>
      <w:lvlText w:val="•"/>
      <w:numFmt w:val="bullet"/>
      <w:start w:val="1"/>
    </w:lvl>
  </w:abstractNum>
  <w:abstractNum w:abstractNumId="6">
    <w:nsid w:val="706B674E"/>
    <w:multiLevelType w:val="hybridMultilevel"/>
    <w:lvl w:ilvl="0">
      <w:lvlJc w:val="left"/>
      <w:lvlText w:val="•"/>
      <w:numFmt w:val="bullet"/>
      <w:start w:val="1"/>
    </w:lvl>
  </w:abstractNum>
  <w:abstractNum w:abstractNumId="7">
    <w:nsid w:val="2C106A57"/>
    <w:multiLevelType w:val="hybridMultilevel"/>
    <w:lvl w:ilvl="0">
      <w:lvlJc w:val="left"/>
      <w:lvlText w:val="(%1)"/>
      <w:numFmt w:val="decimal"/>
      <w:start w:val="1"/>
    </w:lvl>
  </w:abstractNum>
  <w:abstractNum w:abstractNumId="8">
    <w:nsid w:val="684EED59"/>
    <w:multiLevelType w:val="hybridMultilevel"/>
    <w:lvl w:ilvl="0">
      <w:lvlJc w:val="left"/>
      <w:lvlText w:val="•"/>
      <w:numFmt w:val="bullet"/>
      <w:start w:val="1"/>
    </w:lvl>
  </w:abstractNum>
  <w:abstractNum w:abstractNumId="9">
    <w:nsid w:val="545EE5D3"/>
    <w:multiLevelType w:val="hybridMultilevel"/>
    <w:lvl w:ilvl="0">
      <w:lvlJc w:val="left"/>
      <w:lvlText w:val="(%1)"/>
      <w:numFmt w:val="decimal"/>
      <w:start w:val="1"/>
    </w:lvl>
  </w:abstractNum>
  <w:abstractNum w:abstractNumId="10">
    <w:nsid w:val="4A66051"/>
    <w:multiLevelType w:val="hybridMultilevel"/>
    <w:lvl w:ilvl="0">
      <w:lvlJc w:val="left"/>
      <w:lvlText w:val="(%1)"/>
      <w:numFmt w:val="decimal"/>
      <w:start w:val="1"/>
    </w:lvl>
  </w:abstractNum>
  <w:abstractNum w:abstractNumId="11">
    <w:nsid w:val="20F4BDAD"/>
    <w:multiLevelType w:val="hybridMultilevel"/>
    <w:lvl w:ilvl="0">
      <w:lvlJc w:val="left"/>
      <w:lvlText w:val="(%1)"/>
      <w:numFmt w:val="decimal"/>
      <w:start w:val="1"/>
    </w:lvl>
  </w:abstractNum>
  <w:abstractNum w:abstractNumId="12">
    <w:nsid w:val="639DEFAC"/>
    <w:multiLevelType w:val="hybridMultilevel"/>
    <w:lvl w:ilvl="0">
      <w:lvlJc w:val="left"/>
      <w:lvlText w:val="%1)"/>
      <w:numFmt w:val="lowerLetter"/>
      <w:start w:val="1"/>
    </w:lvl>
  </w:abstractNum>
  <w:abstractNum w:abstractNumId="13">
    <w:nsid w:val="501F9786"/>
    <w:multiLevelType w:val="hybridMultilevel"/>
    <w:lvl w:ilvl="0">
      <w:lvlJc w:val="left"/>
      <w:lvlText w:val="%1)"/>
      <w:numFmt w:val="lowerLetter"/>
      <w:start w:val="7"/>
    </w:lvl>
  </w:abstractNum>
  <w:abstractNum w:abstractNumId="14">
    <w:nsid w:val="6B057295"/>
    <w:multiLevelType w:val="hybridMultilevel"/>
    <w:lvl w:ilvl="0">
      <w:lvlJc w:val="left"/>
      <w:lvlText w:val="(%1)"/>
      <w:numFmt w:val="decimal"/>
      <w:start w:val="1"/>
    </w:lvl>
  </w:abstractNum>
  <w:abstractNum w:abstractNumId="15">
    <w:nsid w:val="2771AC80"/>
    <w:multiLevelType w:val="hybridMultilevel"/>
    <w:lvl w:ilvl="0">
      <w:lvlJc w:val="left"/>
      <w:lvlText w:val="(%1)"/>
      <w:numFmt w:val="decimal"/>
      <w:start w:val="1"/>
    </w:lvl>
  </w:abstractNum>
  <w:abstractNum w:abstractNumId="16">
    <w:nsid w:val="1C4A08EC"/>
    <w:multiLevelType w:val="hybridMultilevel"/>
    <w:lvl w:ilvl="0">
      <w:lvlJc w:val="left"/>
      <w:lvlText w:val="(%1)"/>
      <w:numFmt w:val="decimal"/>
      <w:start w:val="6"/>
    </w:lvl>
  </w:abstractNum>
  <w:abstractNum w:abstractNumId="17">
    <w:nsid w:val="1958BD17"/>
    <w:multiLevelType w:val="hybridMultilevel"/>
    <w:lvl w:ilvl="0">
      <w:lvlJc w:val="left"/>
      <w:lvlText w:val="(%1)"/>
      <w:numFmt w:val="decimal"/>
      <w:start w:val="7"/>
    </w:lvl>
  </w:abstractNum>
  <w:abstractNum w:abstractNumId="18">
    <w:nsid w:val="4E647FE4"/>
    <w:multiLevelType w:val="hybridMultilevel"/>
    <w:lvl w:ilvl="0">
      <w:lvlJc w:val="left"/>
      <w:lvlText w:val="(%1)"/>
      <w:numFmt w:val="decimal"/>
      <w:start w:val="1"/>
    </w:lvl>
  </w:abstractNum>
  <w:abstractNum w:abstractNumId="19">
    <w:nsid w:val="E0BB885"/>
    <w:multiLevelType w:val="hybridMultilevel"/>
    <w:lvl w:ilvl="0">
      <w:lvlJc w:val="left"/>
      <w:lvlText w:val="(%1)"/>
      <w:numFmt w:val="decimal"/>
      <w:start w:val="1"/>
    </w:lvl>
    <w:lvl w:ilvl="1">
      <w:lvlJc w:val="left"/>
      <w:lvlText w:val="▪"/>
      <w:numFmt w:val="bullet"/>
      <w:start w:val="1"/>
    </w:lvl>
  </w:abstractNum>
  <w:abstractNum w:abstractNumId="20">
    <w:nsid w:val="565976F1"/>
    <w:multiLevelType w:val="hybridMultilevel"/>
    <w:lvl w:ilvl="0">
      <w:lvlJc w:val="left"/>
      <w:lvlText w:val="(%1)"/>
      <w:numFmt w:val="decimal"/>
      <w:start w:val="3"/>
    </w:lvl>
  </w:abstractNum>
  <w:abstractNum w:abstractNumId="21">
    <w:nsid w:val="64212B8C"/>
    <w:multiLevelType w:val="hybridMultilevel"/>
    <w:lvl w:ilvl="0">
      <w:lvlJc w:val="left"/>
      <w:lvlText w:val="(%1)"/>
      <w:numFmt w:val="decimal"/>
      <w:start w:val="4"/>
    </w:lvl>
  </w:abstractNum>
  <w:abstractNum w:abstractNumId="22">
    <w:nsid w:val="5C17530C"/>
    <w:multiLevelType w:val="hybridMultilevel"/>
    <w:lvl w:ilvl="0">
      <w:lvlJc w:val="left"/>
      <w:lvlText w:val="(%1)"/>
      <w:numFmt w:val="decimal"/>
      <w:start w:val="1"/>
    </w:lvl>
    <w:lvl w:ilvl="1">
      <w:lvlJc w:val="left"/>
      <w:lvlText w:val="•"/>
      <w:numFmt w:val="bullet"/>
      <w:start w:val="1"/>
    </w:lvl>
  </w:abstractNum>
  <w:abstractNum w:abstractNumId="23">
    <w:nsid w:val="19A52566"/>
    <w:multiLevelType w:val="hybridMultilevel"/>
    <w:lvl w:ilvl="0">
      <w:lvlJc w:val="left"/>
      <w:lvlText w:val="(%1)"/>
      <w:numFmt w:val="decimal"/>
      <w:start w:val="1"/>
    </w:lvl>
    <w:lvl w:ilvl="1">
      <w:lvlJc w:val="left"/>
      <w:lvlText w:val="•"/>
      <w:numFmt w:val="bullet"/>
      <w:start w:val="1"/>
    </w:lvl>
  </w:abstractNum>
  <w:abstractNum w:abstractNumId="24">
    <w:nsid w:val="335A1DF1"/>
    <w:multiLevelType w:val="hybridMultilevel"/>
    <w:lvl w:ilvl="0">
      <w:lvlJc w:val="left"/>
      <w:lvlText w:val="(%1)"/>
      <w:numFmt w:val="decimal"/>
      <w:start w:val="1"/>
    </w:lvl>
  </w:abstractNum>
  <w:abstractNum w:abstractNumId="25">
    <w:nsid w:val="28677B7C"/>
    <w:multiLevelType w:val="hybridMultilevel"/>
    <w:lvl w:ilvl="0">
      <w:lvlJc w:val="left"/>
      <w:lvlText w:val="(%1)"/>
      <w:numFmt w:val="decimal"/>
      <w:start w:val="1"/>
    </w:lvl>
    <w:lvl w:ilvl="1">
      <w:lvlJc w:val="left"/>
      <w:lvlText w:val="•"/>
      <w:numFmt w:val="bullet"/>
      <w:start w:val="1"/>
    </w:lvl>
  </w:abstractNum>
  <w:abstractNum w:abstractNumId="26">
    <w:nsid w:val="378D97C0"/>
    <w:multiLevelType w:val="hybridMultilevel"/>
    <w:lvl w:ilvl="0">
      <w:lvlJc w:val="left"/>
      <w:lvlText w:val="(%1)"/>
      <w:numFmt w:val="lowerLetter"/>
      <w:start w:val="1"/>
    </w:lvl>
  </w:abstractNum>
  <w:abstractNum w:abstractNumId="27">
    <w:nsid w:val="1D91467C"/>
    <w:multiLevelType w:val="hybridMultilevel"/>
    <w:lvl w:ilvl="0">
      <w:lvlJc w:val="left"/>
      <w:lvlText w:val="(%1)"/>
      <w:numFmt w:val="decimal"/>
      <w:start w:val="1"/>
    </w:lvl>
  </w:abstractNum>
  <w:abstractNum w:abstractNumId="28">
    <w:nsid w:val="316032BB"/>
    <w:multiLevelType w:val="hybridMultilevel"/>
    <w:lvl w:ilvl="0">
      <w:lvlJc w:val="left"/>
      <w:lvlText w:val="(%1)"/>
      <w:numFmt w:val="decimal"/>
      <w:start w:val="2"/>
    </w:lvl>
  </w:abstractNum>
  <w:abstractNum w:abstractNumId="29">
    <w:nsid w:val="44344C22"/>
    <w:multiLevelType w:val="hybridMultilevel"/>
    <w:lvl w:ilvl="0">
      <w:lvlJc w:val="left"/>
      <w:lvlText w:val="(%1)"/>
      <w:numFmt w:val="lowerLetter"/>
      <w:start w:val="1"/>
    </w:lvl>
    <w:lvl w:ilvl="1">
      <w:lvlJc w:val="left"/>
      <w:lvlText w:val="(%2)"/>
      <w:numFmt w:val="decimal"/>
      <w:start w:val="1"/>
    </w:lvl>
  </w:abstractNum>
  <w:abstractNum w:abstractNumId="30">
    <w:nsid w:val="13CDFCFC"/>
    <w:multiLevelType w:val="hybridMultilevel"/>
    <w:lvl w:ilvl="0">
      <w:lvlJc w:val="left"/>
      <w:lvlText w:val="*"/>
      <w:numFmt w:val="bullet"/>
      <w:start w:val="1"/>
    </w:lvl>
  </w:abstractNum>
  <w:abstractNum w:abstractNumId="31">
    <w:nsid w:val="471745E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2">
    <w:nsid w:val="1DDBC66"/>
    <w:multiLevelType w:val="hybridMultilevel"/>
    <w:lvl w:ilvl="0">
      <w:lvlJc w:val="left"/>
      <w:lvlText w:val="1"/>
      <w:numFmt w:val="bullet"/>
      <w:start w:val="1"/>
    </w:lvl>
  </w:abstractNum>
  <w:abstractNum w:abstractNumId="33">
    <w:nsid w:val="30AADFDA"/>
    <w:multiLevelType w:val="hybridMultilevel"/>
    <w:lvl w:ilvl="0">
      <w:lvlJc w:val="left"/>
      <w:lvlText w:val="%1"/>
      <w:numFmt w:val="upperLetter"/>
      <w:start w:val="1"/>
    </w:lvl>
    <w:lvl w:ilvl="1">
      <w:lvlJc w:val="left"/>
      <w:lvlText w:val="(%2)"/>
      <w:numFmt w:val="lowerLetter"/>
      <w:start w:val="2"/>
    </w:lvl>
  </w:abstractNum>
  <w:abstractNum w:abstractNumId="34">
    <w:nsid w:val="30EADA61"/>
    <w:multiLevelType w:val="hybridMultilevel"/>
    <w:lvl w:ilvl="0">
      <w:lvlJc w:val="left"/>
      <w:lvlText w:val="(%1)"/>
      <w:numFmt w:val="upperLetter"/>
      <w:start w:val="1"/>
    </w:lvl>
    <w:lvl w:ilvl="1">
      <w:lvlJc w:val="left"/>
      <w:lvlText w:val="%2"/>
      <w:numFmt w:val="lowerLetter"/>
      <w:start w:val="1"/>
    </w:lvl>
  </w:abstractNum>
  <w:abstractNum w:abstractNumId="35">
    <w:nsid w:val="27179C0B"/>
    <w:multiLevelType w:val="hybridMultilevel"/>
    <w:lvl w:ilvl="0">
      <w:lvlJc w:val="left"/>
      <w:lvlText w:val="%1."/>
      <w:numFmt w:val="decimal"/>
      <w:start w:val="4"/>
    </w:lvl>
  </w:abstractNum>
  <w:abstractNum w:abstractNumId="36">
    <w:nsid w:val="5E636063"/>
    <w:multiLevelType w:val="hybridMultilevel"/>
    <w:lvl w:ilvl="0">
      <w:lvlJc w:val="left"/>
      <w:lvlText w:val="(%1)"/>
      <w:numFmt w:val="lowerLetter"/>
      <w:start w:val="1"/>
    </w:lvl>
  </w:abstractNum>
  <w:abstractNum w:abstractNumId="37">
    <w:nsid w:val="215641AF"/>
    <w:multiLevelType w:val="hybridMultilevel"/>
    <w:lvl w:ilvl="0">
      <w:lvlJc w:val="left"/>
      <w:lvlText w:val="2"/>
      <w:numFmt w:val="bullet"/>
      <w:start w:val="1"/>
    </w:lvl>
  </w:abstractNum>
  <w:abstractNum w:abstractNumId="38">
    <w:nsid w:val="5328066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39">
    <w:nsid w:val="46B24DBC"/>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40">
    <w:nsid w:val="75B52783"/>
    <w:multiLevelType w:val="hybridMultilevel"/>
    <w:lvl w:ilvl="0">
      <w:lvlJc w:val="left"/>
      <w:lvlText w:val="(%1)"/>
      <w:numFmt w:val="lowerLetter"/>
      <w:start w:val="3"/>
    </w:lvl>
    <w:lvl w:ilvl="1">
      <w:lvlJc w:val="left"/>
      <w:lvlText w:val="%2."/>
      <w:numFmt w:val="decimal"/>
      <w:start w:val="7"/>
    </w:lvl>
    <w:lvl w:ilvl="2">
      <w:lvlJc w:val="left"/>
      <w:lvlText w:val="%3"/>
      <w:numFmt w:val="lowerLetter"/>
      <w:start w:val="1"/>
    </w:lvl>
  </w:abstractNum>
  <w:abstractNum w:abstractNumId="41">
    <w:nsid w:val="57CE66B4"/>
    <w:multiLevelType w:val="hybridMultilevel"/>
    <w:lvl w:ilvl="0">
      <w:lvlJc w:val="left"/>
      <w:lvlText w:val="4"/>
      <w:numFmt w:val="bullet"/>
      <w:start w:val="1"/>
    </w:lvl>
  </w:abstractNum>
  <w:abstractNum w:abstractNumId="42">
    <w:nsid w:val="67A70B69"/>
    <w:multiLevelType w:val="hybridMultilevel"/>
    <w:lvl w:ilvl="0">
      <w:lvlJc w:val="left"/>
      <w:lvlText w:val="5"/>
      <w:numFmt w:val="bullet"/>
      <w:start w:val="1"/>
    </w:lvl>
  </w:abstractNum>
  <w:abstractNum w:abstractNumId="43">
    <w:nsid w:val="5953172F"/>
    <w:multiLevelType w:val="hybridMultilevel"/>
    <w:lvl w:ilvl="0">
      <w:lvlJc w:val="left"/>
      <w:lvlText w:val="%1."/>
      <w:numFmt w:val="decimal"/>
      <w:start w:val="8"/>
    </w:lvl>
  </w:abstractNum>
  <w:abstractNum w:abstractNumId="44">
    <w:nsid w:val="27EDFE3A"/>
    <w:multiLevelType w:val="hybridMultilevel"/>
    <w:lvl w:ilvl="0">
      <w:lvlJc w:val="left"/>
      <w:lvlText w:val="6"/>
      <w:numFmt w:val="bullet"/>
      <w:start w:val="1"/>
    </w:lvl>
  </w:abstractNum>
  <w:abstractNum w:abstractNumId="45">
    <w:nsid w:val="52AC7DFF"/>
    <w:multiLevelType w:val="hybridMultilevel"/>
    <w:lvl w:ilvl="0">
      <w:lvlJc w:val="left"/>
      <w:lvlText w:val="-"/>
      <w:numFmt w:val="bullet"/>
      <w:start w:val="1"/>
    </w:lvl>
  </w:abstractNum>
  <w:abstractNum w:abstractNumId="46">
    <w:nsid w:val="C4C3AF"/>
    <w:multiLevelType w:val="hybridMultilevel"/>
    <w:lvl w:ilvl="0">
      <w:lvlJc w:val="left"/>
      <w:lvlText w:val="(%1)"/>
      <w:numFmt w:val="lowerLetter"/>
      <w:start w:val="3"/>
    </w:lvl>
  </w:abstractNum>
  <w:abstractNum w:abstractNumId="47">
    <w:nsid w:val="44380727"/>
    <w:multiLevelType w:val="hybridMultilevel"/>
    <w:lvl w:ilvl="0">
      <w:lvlJc w:val="left"/>
      <w:lvlText w:val="(%1)"/>
      <w:numFmt w:val="lowerLetter"/>
      <w:start w:val="1"/>
    </w:lvl>
  </w:abstractNum>
  <w:abstractNum w:abstractNumId="48">
    <w:nsid w:val="6C053B16"/>
    <w:multiLevelType w:val="hybridMultilevel"/>
    <w:lvl w:ilvl="0">
      <w:lvlJc w:val="left"/>
      <w:lvlText w:val="(%1)"/>
      <w:numFmt w:val="lowerLetter"/>
      <w:start w:val="1"/>
    </w:lvl>
  </w:abstractNum>
  <w:abstractNum w:abstractNumId="49">
    <w:nsid w:val="4F294393"/>
    <w:multiLevelType w:val="hybridMultilevel"/>
    <w:lvl w:ilvl="0">
      <w:lvlJc w:val="left"/>
      <w:lvlText w:val="(%1)"/>
      <w:numFmt w:val="lowerLetter"/>
      <w:start w:val="1"/>
    </w:lvl>
  </w:abstractNum>
  <w:abstractNum w:abstractNumId="50">
    <w:nsid w:val="5243BFAC"/>
    <w:multiLevelType w:val="hybridMultilevel"/>
    <w:lvl w:ilvl="0">
      <w:lvlJc w:val="left"/>
      <w:lvlText w:val="(%1)"/>
      <w:numFmt w:val="lowerLetter"/>
      <w:start w:val="2"/>
    </w:lvl>
  </w:abstractNum>
  <w:abstractNum w:abstractNumId="51">
    <w:nsid w:val="425EB207"/>
    <w:multiLevelType w:val="hybridMultilevel"/>
    <w:lvl w:ilvl="0">
      <w:lvlJc w:val="left"/>
      <w:lvlText w:val="(%1)"/>
      <w:numFmt w:val="lowerLetter"/>
      <w:start w:val="1"/>
    </w:lvl>
    <w:lvl w:ilvl="1">
      <w:lvlJc w:val="left"/>
      <w:lvlText w:val="(%2)"/>
      <w:numFmt w:val="decimal"/>
      <w:start w:val="1"/>
    </w:lvl>
  </w:abstractNum>
  <w:abstractNum w:abstractNumId="52">
    <w:nsid w:val="334A6F1F"/>
    <w:multiLevelType w:val="hybridMultilevel"/>
    <w:lvl w:ilvl="0">
      <w:lvlJc w:val="left"/>
      <w:lvlText w:val="(%1)"/>
      <w:numFmt w:val="decimal"/>
      <w:start w:val="1"/>
    </w:lvl>
  </w:abstractNum>
  <w:abstractNum w:abstractNumId="53">
    <w:nsid w:val="2E5B12B8"/>
    <w:multiLevelType w:val="hybridMultilevel"/>
    <w:lvl w:ilvl="0">
      <w:lvlJc w:val="left"/>
      <w:lvlText w:val="(%1)"/>
      <w:numFmt w:val="lowerLetter"/>
      <w:start w:val="1"/>
    </w:lvl>
  </w:abstractNum>
  <w:abstractNum w:abstractNumId="54">
    <w:nsid w:val="5C03D76D"/>
    <w:multiLevelType w:val="hybridMultilevel"/>
    <w:lvl w:ilvl="0">
      <w:lvlJc w:val="left"/>
      <w:lvlText w:val="(%1)"/>
      <w:numFmt w:val="lowerLetter"/>
      <w:start w:val="1"/>
    </w:lvl>
  </w:abstractNum>
  <w:abstractNum w:abstractNumId="55">
    <w:nsid w:val="66A48D11"/>
    <w:multiLevelType w:val="hybridMultilevel"/>
    <w:lvl w:ilvl="0">
      <w:lvlJc w:val="left"/>
      <w:lvlText w:val="(%1)"/>
      <w:numFmt w:val="lowerLetter"/>
      <w:start w:val="2"/>
    </w:lvl>
  </w:abstractNum>
  <w:abstractNum w:abstractNumId="56">
    <w:nsid w:val="56C28E34"/>
    <w:multiLevelType w:val="hybridMultilevel"/>
    <w:lvl w:ilvl="0">
      <w:lvlJc w:val="left"/>
      <w:lvlText w:val="(%1)"/>
      <w:numFmt w:val="lowerLetter"/>
      <w:start w:val="3"/>
    </w:lvl>
  </w:abstractNum>
  <w:abstractNum w:abstractNumId="57">
    <w:nsid w:val="13916F2D"/>
    <w:multiLevelType w:val="hybridMultilevel"/>
    <w:lvl w:ilvl="0">
      <w:lvlJc w:val="left"/>
      <w:lvlText w:val="(%1)"/>
      <w:numFmt w:val="lowerLetter"/>
      <w:start w:val="1"/>
    </w:lvl>
  </w:abstractNum>
  <w:abstractNum w:abstractNumId="58">
    <w:nsid w:val="435D38D"/>
    <w:multiLevelType w:val="hybridMultilevel"/>
    <w:lvl w:ilvl="0">
      <w:lvlJc w:val="left"/>
      <w:lvlText w:val="(%1)"/>
      <w:numFmt w:val="lowerLetter"/>
      <w:start w:val="1"/>
    </w:lvl>
  </w:abstractNum>
  <w:abstractNum w:abstractNumId="59">
    <w:nsid w:val="822C0EF"/>
    <w:multiLevelType w:val="hybridMultilevel"/>
    <w:lvl w:ilvl="0">
      <w:lvlJc w:val="left"/>
      <w:lvlText w:val="(%1)"/>
      <w:numFmt w:val="lowerLetter"/>
      <w:start w:val="3"/>
    </w:lvl>
  </w:abstractNum>
  <w:abstractNum w:abstractNumId="60">
    <w:nsid w:val="57C5BB4F"/>
    <w:multiLevelType w:val="hybridMultilevel"/>
    <w:lvl w:ilvl="0">
      <w:lvlJc w:val="left"/>
      <w:lvlText w:val="(%1)"/>
      <w:numFmt w:val="lowerLetter"/>
      <w:start w:val="1"/>
    </w:lvl>
  </w:abstractNum>
  <w:abstractNum w:abstractNumId="61">
    <w:nsid w:val="1803D089"/>
    <w:multiLevelType w:val="hybridMultilevel"/>
    <w:lvl w:ilvl="0">
      <w:lvlJc w:val="left"/>
      <w:lvlText w:val="(%1)"/>
      <w:numFmt w:val="lowerLetter"/>
      <w:start w:val="2"/>
    </w:lvl>
  </w:abstractNum>
  <w:abstractNum w:abstractNumId="62">
    <w:nsid w:val="4F3A06D4"/>
    <w:multiLevelType w:val="hybridMultilevel"/>
    <w:lvl w:ilvl="0">
      <w:lvlJc w:val="left"/>
      <w:lvlText w:val="(%1)"/>
      <w:numFmt w:val="lowerLetter"/>
      <w:start w:val="1"/>
    </w:lvl>
  </w:abstractNum>
  <w:abstractNum w:abstractNumId="63">
    <w:nsid w:val="59A377B6"/>
    <w:multiLevelType w:val="hybridMultilevel"/>
    <w:lvl w:ilvl="0">
      <w:lvlJc w:val="left"/>
      <w:lvlText w:val="(%1)"/>
      <w:numFmt w:val="decimal"/>
      <w:start w:val="1"/>
    </w:lvl>
    <w:lvl w:ilvl="1">
      <w:lvlJc w:val="left"/>
      <w:lvlText w:val="(%2)"/>
      <w:numFmt w:val="lowerRoman"/>
      <w:start w:val="2"/>
    </w:lvl>
  </w:abstractNum>
  <w:abstractNum w:abstractNumId="64">
    <w:nsid w:val="48AEB063"/>
    <w:multiLevelType w:val="hybridMultilevel"/>
    <w:lvl w:ilvl="0">
      <w:lvlJc w:val="left"/>
      <w:lvlText w:val="%1"/>
      <w:numFmt w:val="lowerLetter"/>
      <w:start w:val="1"/>
    </w:lvl>
    <w:lvl w:ilvl="1">
      <w:lvlJc w:val="left"/>
      <w:lvlText w:val="(%2)"/>
      <w:numFmt w:val="lowerLetter"/>
      <w:start w:val="1"/>
    </w:lvl>
  </w:abstractNum>
  <w:abstractNum w:abstractNumId="65">
    <w:nsid w:val="24E135"/>
    <w:multiLevelType w:val="hybridMultilevel"/>
    <w:lvl w:ilvl="0">
      <w:lvlJc w:val="left"/>
      <w:lvlText w:val="(%1)"/>
      <w:numFmt w:val="lowerLetter"/>
      <w:start w:val="2"/>
    </w:lvl>
    <w:lvl w:ilvl="1">
      <w:lvlJc w:val="left"/>
      <w:lvlText w:val="(%2)"/>
      <w:numFmt w:val="lowerLetter"/>
      <w:start w:val="9"/>
    </w:lvl>
  </w:abstractNum>
  <w:abstractNum w:abstractNumId="66">
    <w:nsid w:val="BB13C1"/>
    <w:multiLevelType w:val="hybridMultilevel"/>
    <w:lvl w:ilvl="0">
      <w:lvlJc w:val="left"/>
      <w:lvlText w:val="(%1)"/>
      <w:numFmt w:val="lowerRoman"/>
      <w:start w:val="2"/>
    </w:lvl>
  </w:abstractNum>
  <w:abstractNum w:abstractNumId="67">
    <w:nsid w:val="271210C7"/>
    <w:multiLevelType w:val="hybridMultilevel"/>
    <w:lvl w:ilvl="0">
      <w:lvlJc w:val="left"/>
      <w:lvlText w:val="%1"/>
      <w:numFmt w:val="lowerRoman"/>
      <w:start w:val="1"/>
    </w:lvl>
    <w:lvl w:ilvl="1">
      <w:lvlJc w:val="left"/>
      <w:lvlText w:val="(%2)"/>
      <w:numFmt w:val="lowerRoman"/>
      <w:start w:val="6"/>
    </w:lvl>
  </w:abstractNum>
  <w:abstractNum w:abstractNumId="68">
    <w:nsid w:val="217B22E4"/>
    <w:multiLevelType w:val="hybridMultilevel"/>
    <w:lvl w:ilvl="0">
      <w:lvlJc w:val="left"/>
      <w:lvlText w:val="(%1)"/>
      <w:numFmt w:val="lowerRoman"/>
      <w:start w:val="1"/>
    </w:lvl>
    <w:lvl w:ilvl="1">
      <w:lvlJc w:val="left"/>
      <w:lvlText w:val="%2"/>
      <w:numFmt w:val="lowerRoman"/>
      <w:start w:val="1"/>
    </w:lvl>
  </w:abstractNum>
  <w:abstractNum w:abstractNumId="69">
    <w:nsid w:val="53E31A24"/>
    <w:multiLevelType w:val="hybridMultilevel"/>
    <w:lvl w:ilvl="0">
      <w:lvlJc w:val="left"/>
      <w:lvlText w:val="(%1)"/>
      <w:numFmt w:val="lowerLetter"/>
      <w:start w:val="3"/>
    </w:lvl>
    <w:lvl w:ilvl="1">
      <w:lvlJc w:val="left"/>
      <w:lvlText w:val="(%2)"/>
      <w:numFmt w:val="lowerRoman"/>
      <w:start w:val="1"/>
    </w:lvl>
  </w:abstractNum>
  <w:abstractNum w:abstractNumId="70">
    <w:nsid w:val="6DC45E83"/>
    <w:multiLevelType w:val="hybridMultilevel"/>
    <w:lvl w:ilvl="0">
      <w:lvlJc w:val="left"/>
      <w:lvlText w:val="(%1)"/>
      <w:numFmt w:val="lowerLetter"/>
      <w:start w:val="2"/>
    </w:lvl>
  </w:abstractNum>
  <w:abstractNum w:abstractNumId="71">
    <w:nsid w:val="17304A67"/>
    <w:multiLevelType w:val="hybridMultilevel"/>
    <w:lvl w:ilvl="0">
      <w:lvlJc w:val="left"/>
      <w:lvlText w:val="(%1)"/>
      <w:numFmt w:val="lowerLetter"/>
      <w:start w:val="1"/>
    </w:lvl>
  </w:abstractNum>
  <w:abstractNum w:abstractNumId="72">
    <w:nsid w:val="2BB180D8"/>
    <w:multiLevelType w:val="hybridMultilevel"/>
    <w:lvl w:ilvl="0">
      <w:lvlJc w:val="left"/>
      <w:lvlText w:val="(%1)"/>
      <w:numFmt w:val="lowerLetter"/>
      <w:start w:val="2"/>
    </w:lvl>
  </w:abstractNum>
  <w:abstractNum w:abstractNumId="73">
    <w:nsid w:val="556B69ED"/>
    <w:multiLevelType w:val="hybridMultilevel"/>
    <w:lvl w:ilvl="0">
      <w:lvlJc w:val="left"/>
      <w:lvlText w:val="(%1)"/>
      <w:numFmt w:val="lowerLetter"/>
      <w:start w:val="5"/>
    </w:lvl>
  </w:abstractNum>
  <w:abstractNum w:abstractNumId="74">
    <w:nsid w:val="70836196"/>
    <w:multiLevelType w:val="hybridMultilevel"/>
    <w:lvl w:ilvl="0">
      <w:lvlJc w:val="left"/>
      <w:lvlText w:val="(%1)"/>
      <w:numFmt w:val="lowerLetter"/>
      <w:start w:val="1"/>
    </w:lvl>
    <w:lvl w:ilvl="1">
      <w:lvlJc w:val="left"/>
      <w:lvlText w:val="(%2)"/>
      <w:numFmt w:val="lowerRoman"/>
      <w:start w:val="1"/>
    </w:lvl>
  </w:abstractNum>
  <w:abstractNum w:abstractNumId="75">
    <w:nsid w:val="539F7F12"/>
    <w:multiLevelType w:val="hybridMultilevel"/>
    <w:lvl w:ilvl="0">
      <w:lvlJc w:val="left"/>
      <w:lvlText w:val="(%1)"/>
      <w:numFmt w:val="lowerRoman"/>
      <w:start w:val="3"/>
    </w:lvl>
  </w:abstractNum>
  <w:abstractNum w:abstractNumId="76">
    <w:nsid w:val="2817E7EC"/>
    <w:multiLevelType w:val="hybridMultilevel"/>
    <w:lvl w:ilvl="0">
      <w:lvlJc w:val="left"/>
      <w:lvlText w:val="(%1)"/>
      <w:numFmt w:val="lowerLetter"/>
      <w:start w:val="2"/>
    </w:lvl>
    <w:lvl w:ilvl="1">
      <w:lvlJc w:val="left"/>
      <w:lvlText w:val="(%2)"/>
      <w:numFmt w:val="lowerRoman"/>
      <w:start w:val="1"/>
    </w:lvl>
  </w:abstractNum>
  <w:abstractNum w:abstractNumId="77">
    <w:nsid w:val="71482545"/>
    <w:multiLevelType w:val="hybridMultilevel"/>
    <w:lvl w:ilvl="0">
      <w:lvlJc w:val="left"/>
      <w:lvlText w:val="(%1)"/>
      <w:numFmt w:val="lowerRoman"/>
      <w:start w:val="4"/>
    </w:lvl>
  </w:abstractNum>
  <w:abstractNum w:abstractNumId="78">
    <w:nsid w:val="17D78639"/>
    <w:multiLevelType w:val="hybridMultilevel"/>
    <w:lvl w:ilvl="0">
      <w:lvlJc w:val="left"/>
      <w:lvlText w:val="(%1)"/>
      <w:numFmt w:val="lowerLetter"/>
      <w:start w:val="9"/>
    </w:lvl>
    <w:lvl w:ilvl="1">
      <w:lvlJc w:val="left"/>
      <w:lvlText w:val="%2"/>
      <w:numFmt w:val="lowerRoman"/>
      <w:start w:val="1"/>
    </w:lvl>
  </w:abstractNum>
  <w:abstractNum w:abstractNumId="79">
    <w:nsid w:val="141D2302"/>
    <w:multiLevelType w:val="hybridMultilevel"/>
    <w:lvl w:ilvl="0">
      <w:lvlJc w:val="left"/>
      <w:lvlText w:val="(%1)"/>
      <w:numFmt w:val="lowerLetter"/>
      <w:start w:val="35"/>
    </w:lvl>
    <w:lvl w:ilvl="1">
      <w:lvlJc w:val="left"/>
      <w:lvlText w:val="%2"/>
      <w:numFmt w:val="lowerRoman"/>
      <w:start w:val="1"/>
    </w:lvl>
  </w:abstractNum>
  <w:abstractNum w:abstractNumId="80">
    <w:nsid w:val="407168D8"/>
    <w:multiLevelType w:val="hybridMultilevel"/>
    <w:lvl w:ilvl="0">
      <w:lvlJc w:val="left"/>
      <w:lvlText w:val="(%1)"/>
      <w:numFmt w:val="lowerLetter"/>
      <w:start w:val="61"/>
    </w:lvl>
    <w:lvl w:ilvl="1">
      <w:lvlJc w:val="left"/>
      <w:lvlText w:val="%2"/>
      <w:numFmt w:val="lowerRoman"/>
      <w:start w:val="1"/>
    </w:lvl>
  </w:abstractNum>
  <w:abstractNum w:abstractNumId="81">
    <w:nsid w:val="6A1B45E5"/>
    <w:multiLevelType w:val="hybridMultilevel"/>
    <w:lvl w:ilvl="0">
      <w:lvlJc w:val="left"/>
      <w:lvlText w:val="(%1)"/>
      <w:numFmt w:val="lowerLetter"/>
      <w:start w:val="2"/>
    </w:lvl>
    <w:lvl w:ilvl="1">
      <w:lvlJc w:val="left"/>
      <w:lvlText w:val="%2"/>
      <w:numFmt w:val="lowerRoman"/>
      <w:start w:val="1"/>
    </w:lvl>
  </w:abstractNum>
  <w:abstractNum w:abstractNumId="82">
    <w:nsid w:val="567BD50A"/>
    <w:multiLevelType w:val="hybridMultilevel"/>
    <w:lvl w:ilvl="0">
      <w:lvlJc w:val="left"/>
      <w:lvlText w:val="(%1)"/>
      <w:numFmt w:val="lowerLetter"/>
      <w:start w:val="7"/>
    </w:lvl>
  </w:abstractNum>
  <w:abstractNum w:abstractNumId="83">
    <w:nsid w:val="73BBD7F8"/>
    <w:multiLevelType w:val="hybridMultilevel"/>
    <w:lvl w:ilvl="0">
      <w:lvlJc w:val="left"/>
      <w:lvlText w:val="(%1)"/>
      <w:numFmt w:val="lowerLetter"/>
      <w:start w:val="2"/>
    </w:lvl>
  </w:abstractNum>
  <w:abstractNum w:abstractNumId="84">
    <w:nsid w:val="1876589D"/>
    <w:multiLevelType w:val="hybridMultilevel"/>
    <w:lvl w:ilvl="0">
      <w:lvlJc w:val="left"/>
      <w:lvlText w:val="(%1)"/>
      <w:numFmt w:val="upperLetter"/>
      <w:start w:val="3"/>
    </w:lvl>
  </w:abstractNum>
  <w:abstractNum w:abstractNumId="85">
    <w:nsid w:val="327FAC77"/>
    <w:multiLevelType w:val="hybridMultilevel"/>
    <w:lvl w:ilvl="0">
      <w:lvlJc w:val="left"/>
      <w:lvlText w:val="(%1)"/>
      <w:numFmt w:val="lowerLetter"/>
      <w:start w:val="1"/>
    </w:lvl>
    <w:lvl w:ilvl="1">
      <w:lvlJc w:val="left"/>
      <w:lvlText w:val="(%2)"/>
      <w:numFmt w:val="lowerLetter"/>
      <w:start w:val="2"/>
    </w:lvl>
  </w:abstractNum>
  <w:abstractNum w:abstractNumId="86">
    <w:nsid w:val="5A606509"/>
    <w:multiLevelType w:val="hybridMultilevel"/>
    <w:lvl w:ilvl="0">
      <w:lvlJc w:val="left"/>
      <w:lvlText w:val="(%1)"/>
      <w:numFmt w:val="lowerLetter"/>
      <w:start w:val="6"/>
    </w:lvl>
  </w:abstractNum>
  <w:abstractNum w:abstractNumId="87">
    <w:nsid w:val="6F38E6D1"/>
    <w:multiLevelType w:val="hybridMultilevel"/>
    <w:lvl w:ilvl="0">
      <w:lvlJc w:val="left"/>
      <w:lvlText w:val="(%1)"/>
      <w:numFmt w:val="lowerLetter"/>
      <w:start w:val="1"/>
    </w:lvl>
  </w:abstractNum>
  <w:abstractNum w:abstractNumId="88">
    <w:nsid w:val="46111BA5"/>
    <w:multiLevelType w:val="hybridMultilevel"/>
    <w:lvl w:ilvl="0">
      <w:lvlJc w:val="left"/>
      <w:lvlText w:val="(%1)"/>
      <w:numFmt w:val="lowerLetter"/>
      <w:start w:val="2"/>
    </w:lvl>
  </w:abstractNum>
  <w:abstractNum w:abstractNumId="89">
    <w:nsid w:val="5E963896"/>
    <w:multiLevelType w:val="hybridMultilevel"/>
    <w:lvl w:ilvl="0">
      <w:lvlJc w:val="left"/>
      <w:lvlText w:val="(%1)"/>
      <w:numFmt w:val="lowerLetter"/>
      <w:start w:val="3"/>
    </w:lvl>
  </w:abstractNum>
  <w:abstractNum w:abstractNumId="90">
    <w:nsid w:val="775BA7C1"/>
    <w:multiLevelType w:val="hybridMultilevel"/>
    <w:lvl w:ilvl="0">
      <w:lvlJc w:val="left"/>
      <w:lvlText w:val="(%1)"/>
      <w:numFmt w:val="lowerLetter"/>
      <w:start w:val="2"/>
    </w:lvl>
  </w:abstractNum>
  <w:abstractNum w:abstractNumId="91">
    <w:nsid w:val="1DD6D6F4"/>
    <w:multiLevelType w:val="hybridMultilevel"/>
    <w:lvl w:ilvl="0">
      <w:lvlJc w:val="left"/>
      <w:lvlText w:val="(%1)"/>
      <w:numFmt w:val="lowerLetter"/>
      <w:start w:val="1"/>
    </w:lvl>
  </w:abstractNum>
  <w:abstractNum w:abstractNumId="92">
    <w:nsid w:val="769A091F"/>
    <w:multiLevelType w:val="hybridMultilevel"/>
    <w:lvl w:ilvl="0">
      <w:lvlJc w:val="left"/>
      <w:lvlText w:val="(%1)"/>
      <w:numFmt w:val="lowerLetter"/>
      <w:start w:val="7"/>
    </w:lvl>
  </w:abstractNum>
  <w:abstractNum w:abstractNumId="93">
    <w:nsid w:val="4695AE95"/>
    <w:multiLevelType w:val="hybridMultilevel"/>
    <w:lvl w:ilvl="0">
      <w:lvlJc w:val="left"/>
      <w:lvlText w:val="(%1)"/>
      <w:numFmt w:val="lowerLetter"/>
      <w:start w:val="8"/>
    </w:lvl>
  </w:abstractNum>
  <w:abstractNum w:abstractNumId="94">
    <w:nsid w:val="777A4EAA"/>
    <w:multiLevelType w:val="hybridMultilevel"/>
    <w:lvl w:ilvl="0">
      <w:lvlJc w:val="left"/>
      <w:lvlText w:val="(%1)"/>
      <w:numFmt w:val="lowerLetter"/>
      <w:start w:val="2"/>
    </w:lvl>
  </w:abstractNum>
  <w:abstractNum w:abstractNumId="95">
    <w:nsid w:val="3F48B982"/>
    <w:multiLevelType w:val="hybridMultilevel"/>
    <w:lvl w:ilvl="0">
      <w:lvlJc w:val="left"/>
      <w:lvlText w:val="(%1)"/>
      <w:numFmt w:val="lowerLetter"/>
      <w:start w:val="2"/>
    </w:lvl>
  </w:abstractNum>
  <w:abstractNum w:abstractNumId="96">
    <w:nsid w:val="46BA8FCA"/>
    <w:multiLevelType w:val="hybridMultilevel"/>
    <w:lvl w:ilvl="0">
      <w:lvlJc w:val="left"/>
      <w:lvlText w:val="(%1)"/>
      <w:numFmt w:val="lowerLetter"/>
      <w:start w:val="2"/>
    </w:lvl>
  </w:abstractNum>
  <w:abstractNum w:abstractNumId="97">
    <w:nsid w:val="7835626C"/>
    <w:multiLevelType w:val="hybridMultilevel"/>
    <w:lvl w:ilvl="0">
      <w:lvlJc w:val="left"/>
      <w:lvlText w:val="(%1)"/>
      <w:numFmt w:val="lowerLetter"/>
      <w:start w:val="1"/>
    </w:lvl>
  </w:abstractNum>
  <w:abstractNum w:abstractNumId="98">
    <w:nsid w:val="665ACA49"/>
    <w:multiLevelType w:val="hybridMultilevel"/>
    <w:lvl w:ilvl="0">
      <w:lvlJc w:val="left"/>
      <w:lvlText w:val="(%1)"/>
      <w:numFmt w:val="lowerLetter"/>
      <w:start w:val="2"/>
    </w:lvl>
  </w:abstractNum>
  <w:abstractNum w:abstractNumId="99">
    <w:nsid w:val="6835B2AE"/>
    <w:multiLevelType w:val="hybridMultilevel"/>
    <w:lvl w:ilvl="0">
      <w:lvlJc w:val="left"/>
      <w:lvlText w:val="(%1)"/>
      <w:numFmt w:val="lowerLetter"/>
      <w:start w:val="5"/>
    </w:lvl>
  </w:abstractNum>
  <w:abstractNum w:abstractNumId="100">
    <w:nsid w:val="4C187C90"/>
    <w:multiLevelType w:val="hybridMultilevel"/>
    <w:lvl w:ilvl="0">
      <w:lvlJc w:val="left"/>
      <w:lvlText w:val="(%1)"/>
      <w:numFmt w:val="lowerLetter"/>
      <w:start w:val="1"/>
    </w:lvl>
  </w:abstractNum>
  <w:abstractNum w:abstractNumId="101">
    <w:nsid w:val="541F28CD"/>
    <w:multiLevelType w:val="hybridMultilevel"/>
    <w:lvl w:ilvl="0">
      <w:lvlJc w:val="left"/>
      <w:lvlText w:val="(%1)"/>
      <w:numFmt w:val="lowerLetter"/>
      <w:start w:val="2"/>
    </w:lvl>
  </w:abstractNum>
  <w:abstractNum w:abstractNumId="102">
    <w:nsid w:val="7F65FD16"/>
    <w:multiLevelType w:val="hybridMultilevel"/>
    <w:lvl w:ilvl="0">
      <w:lvlJc w:val="left"/>
      <w:lvlText w:val="(%1)"/>
      <w:numFmt w:val="lowerLetter"/>
      <w:start w:val="1"/>
    </w:lvl>
  </w:abstractNum>
  <w:abstractNum w:abstractNumId="103">
    <w:nsid w:val="77C9FD68"/>
    <w:multiLevelType w:val="hybridMultilevel"/>
    <w:lvl w:ilvl="0">
      <w:lvlJc w:val="left"/>
      <w:lvlText w:val="(%1)"/>
      <w:numFmt w:val="lowerLetter"/>
      <w:start w:val="2"/>
    </w:lvl>
  </w:abstractNum>
  <w:abstractNum w:abstractNumId="104">
    <w:nsid w:val="298A92BA"/>
    <w:multiLevelType w:val="hybridMultilevel"/>
    <w:lvl w:ilvl="0">
      <w:lvlJc w:val="left"/>
      <w:lvlText w:val="(%1)"/>
      <w:numFmt w:val="lowerRoman"/>
      <w:start w:val="1"/>
    </w:lvl>
  </w:abstractNum>
  <w:abstractNum w:abstractNumId="105">
    <w:nsid w:val="6FE95EAC"/>
    <w:multiLevelType w:val="hybridMultilevel"/>
    <w:lvl w:ilvl="0">
      <w:lvlJc w:val="left"/>
      <w:lvlText w:val="(%1)"/>
      <w:numFmt w:val="lowerLetter"/>
      <w:start w:val="2"/>
    </w:lvl>
  </w:abstractNum>
  <w:abstractNum w:abstractNumId="106">
    <w:nsid w:val="4B697C7A"/>
    <w:multiLevelType w:val="hybridMultilevel"/>
    <w:lvl w:ilvl="0">
      <w:lvlJc w:val="left"/>
      <w:lvlText w:val="(%1)"/>
      <w:numFmt w:val="lowerLetter"/>
      <w:start w:val="10"/>
    </w:lvl>
  </w:abstractNum>
  <w:abstractNum w:abstractNumId="107">
    <w:nsid w:val="51A27AA6"/>
    <w:multiLevelType w:val="hybridMultilevel"/>
    <w:lvl w:ilvl="0">
      <w:lvlJc w:val="left"/>
      <w:lvlText w:val="(%1)"/>
      <w:numFmt w:val="lowerLetter"/>
      <w:start w:val="1"/>
    </w:lvl>
  </w:abstractNum>
  <w:abstractNum w:abstractNumId="108">
    <w:nsid w:val="613183F2"/>
    <w:multiLevelType w:val="hybridMultilevel"/>
    <w:lvl w:ilvl="0">
      <w:lvlJc w:val="left"/>
      <w:lvlText w:val="(%1)"/>
      <w:numFmt w:val="lowerLetter"/>
      <w:start w:val="1"/>
    </w:lvl>
  </w:abstractNum>
  <w:abstractNum w:abstractNumId="109">
    <w:nsid w:val="634102B4"/>
    <w:multiLevelType w:val="hybridMultilevel"/>
    <w:lvl w:ilvl="0">
      <w:lvlJc w:val="left"/>
      <w:lvlText w:val="(%1)"/>
      <w:numFmt w:val="lowerLetter"/>
      <w:start w:val="1"/>
    </w:lvl>
  </w:abstractNum>
  <w:abstractNum w:abstractNumId="110">
    <w:nsid w:val="65BF9DA8"/>
    <w:multiLevelType w:val="hybridMultilevel"/>
    <w:lvl w:ilvl="0">
      <w:lvlJc w:val="left"/>
      <w:lvlText w:val="%1"/>
      <w:numFmt w:val="lowerLetter"/>
      <w:start w:val="1"/>
    </w:lvl>
    <w:lvl w:ilvl="1">
      <w:lvlJc w:val="left"/>
      <w:lvlText w:val="(%2)"/>
      <w:numFmt w:val="lowerLetter"/>
      <w:start w:val="1"/>
    </w:lvl>
  </w:abstractNum>
  <w:abstractNum w:abstractNumId="111">
    <w:nsid w:val="21A2ECCA"/>
    <w:multiLevelType w:val="hybridMultilevel"/>
    <w:lvl w:ilvl="0">
      <w:lvlJc w:val="left"/>
      <w:lvlText w:val="(%1)"/>
      <w:numFmt w:val="lowerLetter"/>
      <w:start w:val="9"/>
    </w:lvl>
    <w:lvl w:ilvl="1">
      <w:lvlJc w:val="left"/>
      <w:lvlText w:val="(%2)"/>
      <w:numFmt w:val="lowerLetter"/>
      <w:start w:val="2"/>
    </w:lvl>
  </w:abstractNum>
  <w:abstractNum w:abstractNumId="112">
    <w:nsid w:val="4D5C4899"/>
    <w:multiLevelType w:val="hybridMultilevel"/>
    <w:lvl w:ilvl="0">
      <w:lvlJc w:val="left"/>
      <w:lvlText w:val="(%1)"/>
      <w:numFmt w:val="lowerLetter"/>
      <w:start w:val="4"/>
    </w:lvl>
  </w:abstractNum>
  <w:abstractNum w:abstractNumId="113">
    <w:nsid w:val="3C3B72B2"/>
    <w:multiLevelType w:val="hybridMultilevel"/>
    <w:lvl w:ilvl="0">
      <w:lvlJc w:val="left"/>
      <w:lvlText w:val="(%1)"/>
      <w:numFmt w:val="lowerLetter"/>
      <w:start w:val="1"/>
    </w:lvl>
    <w:lvl w:ilvl="1">
      <w:lvlJc w:val="left"/>
      <w:lvlText w:val="(%2)"/>
      <w:numFmt w:val="lowerRoman"/>
      <w:start w:val="1"/>
    </w:lvl>
  </w:abstractNum>
  <w:abstractNum w:abstractNumId="114">
    <w:nsid w:val="155EC4C2"/>
    <w:multiLevelType w:val="hybridMultilevel"/>
    <w:lvl w:ilvl="0">
      <w:lvlJc w:val="left"/>
      <w:lvlText w:val="%1"/>
      <w:numFmt w:val="lowerLetter"/>
      <w:start w:val="1"/>
    </w:lvl>
    <w:lvl w:ilvl="1">
      <w:lvlJc w:val="left"/>
      <w:lvlText w:val="(%2)"/>
      <w:numFmt w:val="lowerLetter"/>
      <w:start w:val="61"/>
    </w:lvl>
  </w:abstractNum>
  <w:abstractNum w:abstractNumId="115">
    <w:nsid w:val="65D2A137"/>
    <w:multiLevelType w:val="hybridMultilevel"/>
    <w:lvl w:ilvl="0">
      <w:lvlJc w:val="left"/>
      <w:lvlText w:val="(%1)"/>
      <w:numFmt w:val="lowerLetter"/>
      <w:start w:val="3"/>
    </w:lvl>
    <w:lvl w:ilvl="1">
      <w:lvlJc w:val="left"/>
      <w:lvlText w:val="%2"/>
      <w:numFmt w:val="lowerLetter"/>
      <w:start w:val="1"/>
    </w:lvl>
  </w:abstractNum>
  <w:abstractNum w:abstractNumId="116">
    <w:nsid w:val="6EBB1F2A"/>
    <w:multiLevelType w:val="hybridMultilevel"/>
    <w:lvl w:ilvl="0">
      <w:lvlJc w:val="left"/>
      <w:lvlText w:val="(%1)"/>
      <w:numFmt w:val="lowerLetter"/>
      <w:start w:val="1"/>
    </w:lvl>
  </w:abstractNum>
  <w:abstractNum w:abstractNumId="117">
    <w:nsid w:val="6FBF29CB"/>
    <w:multiLevelType w:val="hybridMultilevel"/>
    <w:lvl w:ilvl="0">
      <w:lvlJc w:val="left"/>
      <w:lvlText w:val="(%1)"/>
      <w:numFmt w:val="upperLetter"/>
      <w:start w:val="2"/>
    </w:lvl>
    <w:lvl w:ilvl="1">
      <w:lvlJc w:val="left"/>
      <w:lvlText w:val="(%2)"/>
      <w:numFmt w:val="lowerLetter"/>
      <w:start w:val="2"/>
    </w:lvl>
  </w:abstractNum>
  <w:abstractNum w:abstractNumId="118">
    <w:nsid w:val="550B8808"/>
    <w:multiLevelType w:val="hybridMultilevel"/>
    <w:lvl w:ilvl="0">
      <w:lvlJc w:val="left"/>
      <w:lvlText w:val="(%1)"/>
      <w:numFmt w:val="lowerLetter"/>
      <w:start w:val="1"/>
    </w:lvl>
  </w:abstractNum>
  <w:abstractNum w:abstractNumId="119">
    <w:nsid w:val="34CC3ACF"/>
    <w:multiLevelType w:val="hybridMultilevel"/>
    <w:lvl w:ilvl="0">
      <w:lvlJc w:val="left"/>
      <w:lvlText w:val="(%1)"/>
      <w:numFmt w:val="lowerLetter"/>
      <w:start w:val="2"/>
    </w:lvl>
    <w:lvl w:ilvl="1">
      <w:lvlJc w:val="left"/>
      <w:lvlText w:val="(%2)"/>
      <w:numFmt w:val="lowerRoman"/>
      <w:start w:val="1"/>
    </w:lvl>
  </w:abstractNum>
  <w:abstractNum w:abstractNumId="120">
    <w:nsid w:val="4E556261"/>
    <w:multiLevelType w:val="hybridMultilevel"/>
    <w:lvl w:ilvl="0">
      <w:lvlJc w:val="left"/>
      <w:lvlText w:val="(%1)"/>
      <w:numFmt w:val="lowerLetter"/>
      <w:start w:val="4"/>
    </w:lvl>
  </w:abstractNum>
  <w:abstractNum w:abstractNumId="121">
    <w:nsid w:val="4C672FC9"/>
    <w:multiLevelType w:val="hybridMultilevel"/>
    <w:lvl w:ilvl="0">
      <w:lvlJc w:val="left"/>
      <w:lvlText w:val="(%1)"/>
      <w:numFmt w:val="lowerLetter"/>
      <w:start w:val="1"/>
    </w:lvl>
  </w:abstractNum>
  <w:abstractNum w:abstractNumId="122">
    <w:nsid w:val="52A311C3"/>
    <w:multiLevelType w:val="hybridMultilevel"/>
    <w:lvl w:ilvl="0">
      <w:lvlJc w:val="left"/>
      <w:lvlText w:val="%1"/>
      <w:numFmt w:val="lowerLetter"/>
      <w:start w:val="1"/>
    </w:lvl>
    <w:lvl w:ilvl="1">
      <w:lvlJc w:val="left"/>
      <w:lvlText w:val="(%2)"/>
      <w:numFmt w:val="lowerLetter"/>
      <w:start w:val="1"/>
    </w:lvl>
  </w:abstractNum>
  <w:abstractNum w:abstractNumId="123">
    <w:nsid w:val="44EF6B80"/>
    <w:multiLevelType w:val="hybridMultilevel"/>
    <w:lvl w:ilvl="0">
      <w:lvlJc w:val="left"/>
      <w:lvlText w:val="(%1)"/>
      <w:numFmt w:val="lowerLetter"/>
      <w:start w:val="9"/>
    </w:lvl>
    <w:lvl w:ilvl="1">
      <w:lvlJc w:val="left"/>
      <w:lvlText w:val="%2"/>
      <w:numFmt w:val="lowerLetter"/>
      <w:start w:val="1"/>
    </w:lvl>
  </w:abstractNum>
  <w:abstractNum w:abstractNumId="124">
    <w:nsid w:val="12FCDE5E"/>
    <w:multiLevelType w:val="hybridMultilevel"/>
    <w:lvl w:ilvl="0">
      <w:lvlJc w:val="left"/>
      <w:lvlText w:val="(%1)"/>
      <w:numFmt w:val="lowerLetter"/>
      <w:start w:val="2"/>
    </w:lvl>
  </w:abstractNum>
  <w:abstractNum w:abstractNumId="125">
    <w:nsid w:val="4A1D606E"/>
    <w:multiLevelType w:val="hybridMultilevel"/>
    <w:lvl w:ilvl="0">
      <w:lvlJc w:val="left"/>
      <w:lvlText w:val="(%1)"/>
      <w:numFmt w:val="lowerLetter"/>
      <w:start w:val="1"/>
    </w:lvl>
  </w:abstractNum>
  <w:abstractNum w:abstractNumId="126">
    <w:nsid w:val="4382503"/>
    <w:multiLevelType w:val="hybridMultilevel"/>
    <w:lvl w:ilvl="0">
      <w:lvlJc w:val="left"/>
      <w:lvlText w:val="(%1)"/>
      <w:numFmt w:val="lowerLetter"/>
      <w:start w:val="2"/>
    </w:lvl>
  </w:abstractNum>
  <w:abstractNum w:abstractNumId="127">
    <w:nsid w:val="59B76E28"/>
    <w:multiLevelType w:val="hybridMultilevel"/>
    <w:lvl w:ilvl="0">
      <w:lvlJc w:val="left"/>
      <w:lvlText w:val="(%1)"/>
      <w:numFmt w:val="lowerLetter"/>
      <w:start w:val="1"/>
    </w:lvl>
  </w:abstractNum>
  <w:abstractNum w:abstractNumId="128">
    <w:nsid w:val="4252C2DA"/>
    <w:multiLevelType w:val="hybridMultilevel"/>
    <w:lvl w:ilvl="0">
      <w:lvlJc w:val="left"/>
      <w:lvlText w:val="(%1)"/>
      <w:numFmt w:val="lowerLetter"/>
      <w:start w:val="3"/>
    </w:lvl>
  </w:abstractNum>
  <w:abstractNum w:abstractNumId="129">
    <w:nsid w:val="6A92EF4C"/>
    <w:multiLevelType w:val="hybridMultilevel"/>
    <w:lvl w:ilvl="0">
      <w:lvlJc w:val="left"/>
      <w:lvlText w:val="(%1)"/>
      <w:numFmt w:val="lowerLetter"/>
      <w:start w:val="1"/>
    </w:lvl>
  </w:abstractNum>
  <w:abstractNum w:abstractNumId="130">
    <w:nsid w:val="41ED20D7"/>
    <w:multiLevelType w:val="hybridMultilevel"/>
    <w:lvl w:ilvl="0">
      <w:lvlJc w:val="left"/>
      <w:lvlText w:val="(%1)"/>
      <w:numFmt w:val="lowerLetter"/>
      <w:start w:val="1"/>
    </w:lvl>
  </w:abstractNum>
  <w:abstractNum w:abstractNumId="131">
    <w:nsid w:val="E6B3F6A"/>
    <w:multiLevelType w:val="hybridMultilevel"/>
    <w:lvl w:ilvl="0">
      <w:lvlJc w:val="left"/>
      <w:lvlText w:val="(%1)"/>
      <w:numFmt w:val="lowerLetter"/>
      <w:start w:val="1"/>
    </w:lvl>
  </w:abstractNum>
  <w:abstractNum w:abstractNumId="132">
    <w:nsid w:val="3EB21819"/>
    <w:multiLevelType w:val="hybridMultilevel"/>
    <w:lvl w:ilvl="0">
      <w:lvlJc w:val="left"/>
      <w:lvlText w:val="(%1)"/>
      <w:numFmt w:val="lowerLetter"/>
      <w:start w:val="2"/>
    </w:lvl>
  </w:abstractNum>
  <w:abstractNum w:abstractNumId="133">
    <w:nsid w:val="41531DED"/>
    <w:multiLevelType w:val="hybridMultilevel"/>
    <w:lvl w:ilvl="0">
      <w:lvlJc w:val="left"/>
      <w:lvlText w:val="(%1)"/>
      <w:numFmt w:val="lowerLetter"/>
      <w:start w:val="1"/>
    </w:lvl>
    <w:lvl w:ilvl="1">
      <w:lvlJc w:val="left"/>
      <w:lvlText w:val="(%2)"/>
      <w:numFmt w:val="upperLetter"/>
    </w:lvl>
    <w:lvl w:ilvl="2">
      <w:lvlJc w:val="left"/>
      <w:lvlText w:val="(%3)"/>
      <w:numFmt w:val="lowerRoman"/>
      <w:start w:val="1"/>
    </w:lvl>
  </w:abstractNum>
  <w:abstractNum w:abstractNumId="134">
    <w:nsid w:val="6353CD2"/>
    <w:multiLevelType w:val="hybridMultilevel"/>
    <w:lvl w:ilvl="0">
      <w:lvlJc w:val="left"/>
      <w:lvlText w:val="(%1)"/>
      <w:numFmt w:val="lowerRoman"/>
      <w:start w:val="3"/>
    </w:lvl>
  </w:abstractNum>
  <w:abstractNum w:abstractNumId="135">
    <w:nsid w:val="683CAAD3"/>
    <w:multiLevelType w:val="hybridMultilevel"/>
    <w:lvl w:ilvl="0">
      <w:lvlJc w:val="left"/>
      <w:lvlText w:val="%1"/>
      <w:numFmt w:val="lowerLetter"/>
      <w:start w:val="1"/>
    </w:lvl>
    <w:lvl w:ilvl="1">
      <w:lvlJc w:val="left"/>
      <w:lvlText w:val="(%2)"/>
      <w:numFmt w:val="lowerRoman"/>
      <w:start w:val="6"/>
    </w:lvl>
  </w:abstractNum>
  <w:abstractNum w:abstractNumId="136">
    <w:nsid w:val="313C7C99"/>
    <w:multiLevelType w:val="hybridMultilevel"/>
    <w:lvl w:ilvl="0">
      <w:lvlJc w:val="left"/>
      <w:lvlText w:val="(%1)"/>
      <w:numFmt w:val="lowerLetter"/>
      <w:start w:val="3"/>
    </w:lvl>
    <w:lvl w:ilvl="1">
      <w:lvlJc w:val="left"/>
      <w:lvlText w:val="%2"/>
      <w:numFmt w:val="lowerRoman"/>
      <w:start w:val="1"/>
    </w:lvl>
  </w:abstractNum>
  <w:abstractNum w:abstractNumId="137">
    <w:nsid w:val="519EB94C"/>
    <w:multiLevelType w:val="hybridMultilevel"/>
    <w:lvl w:ilvl="0">
      <w:lvlJc w:val="left"/>
      <w:lvlText w:val="(%1)"/>
      <w:numFmt w:val="lowerLetter"/>
      <w:start w:val="2"/>
    </w:lvl>
  </w:abstractNum>
  <w:abstractNum w:abstractNumId="138">
    <w:nsid w:val="39DF2579"/>
    <w:multiLevelType w:val="hybridMultilevel"/>
    <w:lvl w:ilvl="0">
      <w:lvlJc w:val="left"/>
      <w:lvlText w:val="(%1)"/>
      <w:numFmt w:val="lowerLetter"/>
      <w:start w:val="1"/>
    </w:lvl>
    <w:lvl w:ilvl="1">
      <w:lvlJc w:val="left"/>
      <w:lvlText w:val="(%2)"/>
      <w:numFmt w:val="upperLetter"/>
    </w:lvl>
    <w:lvl w:ilvl="2">
      <w:lvlJc w:val="left"/>
      <w:lvlText w:val="(%3)"/>
      <w:numFmt w:val="lowerRoman"/>
      <w:start w:val="1"/>
    </w:lvl>
  </w:abstractNum>
  <w:abstractNum w:abstractNumId="139">
    <w:nsid w:val="126E008B"/>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3"/>
    </w:lvl>
  </w:abstractNum>
  <w:abstractNum w:abstractNumId="140">
    <w:nsid w:val="34DFBC00"/>
    <w:multiLevelType w:val="hybridMultilevel"/>
    <w:lvl w:ilvl="0">
      <w:lvlJc w:val="left"/>
      <w:lvlText w:val="(%1)"/>
      <w:numFmt w:val="lowerLetter"/>
      <w:start w:val="2"/>
    </w:lvl>
  </w:abstractNum>
  <w:abstractNum w:abstractNumId="141">
    <w:nsid w:val="1F9EC322"/>
    <w:multiLevelType w:val="hybridMultilevel"/>
    <w:lvl w:ilvl="0">
      <w:lvlJc w:val="left"/>
      <w:lvlText w:val="(%1)"/>
      <w:numFmt w:val="lowerLetter"/>
      <w:start w:val="3"/>
    </w:lvl>
    <w:lvl w:ilvl="1">
      <w:lvlJc w:val="left"/>
      <w:lvlText w:val="(%2)"/>
      <w:numFmt w:val="lowerLetter"/>
      <w:start w:val="9"/>
    </w:lvl>
  </w:abstractNum>
  <w:abstractNum w:abstractNumId="142">
    <w:nsid w:val="3410ED56"/>
    <w:multiLevelType w:val="hybridMultilevel"/>
    <w:lvl w:ilvl="0">
      <w:lvlJc w:val="left"/>
      <w:lvlText w:val="(%1)"/>
      <w:numFmt w:val="lowerRoman"/>
      <w:start w:val="2"/>
    </w:lvl>
  </w:abstractNum>
  <w:abstractNum w:abstractNumId="143">
    <w:nsid w:val="23C049A"/>
    <w:multiLevelType w:val="hybridMultilevel"/>
    <w:lvl w:ilvl="0">
      <w:lvlJc w:val="left"/>
      <w:lvlText w:val="%1"/>
      <w:numFmt w:val="lowerLetter"/>
      <w:start w:val="1"/>
    </w:lvl>
    <w:lvl w:ilvl="1">
      <w:lvlJc w:val="left"/>
      <w:lvlText w:val="(%2)"/>
      <w:numFmt w:val="lowerRoman"/>
      <w:start w:val="3"/>
    </w:lvl>
    <w:lvl w:ilvl="2">
      <w:lvlJc w:val="left"/>
      <w:lvlText w:val="%3"/>
      <w:numFmt w:val="lowerLetter"/>
      <w:start w:val="1"/>
    </w:lvl>
  </w:abstractNum>
  <w:abstractNum w:abstractNumId="144">
    <w:nsid w:val="5BDA35D4"/>
    <w:multiLevelType w:val="hybridMultilevel"/>
    <w:lvl w:ilvl="0">
      <w:lvlJc w:val="left"/>
      <w:lvlText w:val="(%1)"/>
      <w:numFmt w:val="lowerLetter"/>
      <w:start w:val="4"/>
    </w:lvl>
    <w:lvl w:ilvl="1">
      <w:lvlJc w:val="left"/>
      <w:lvlText w:val="(%2)"/>
      <w:numFmt w:val="lowerLetter"/>
      <w:start w:val="9"/>
    </w:lvl>
    <w:lvl w:ilvl="2">
      <w:lvlJc w:val="left"/>
      <w:lvlText w:val="%3"/>
      <w:numFmt w:val="lowerLetter"/>
      <w:start w:val="1"/>
    </w:lvl>
  </w:abstractNum>
  <w:abstractNum w:abstractNumId="145">
    <w:nsid w:val="496FB218"/>
    <w:multiLevelType w:val="hybridMultilevel"/>
    <w:lvl w:ilvl="0">
      <w:lvlJc w:val="left"/>
      <w:lvlText w:val="%1"/>
      <w:numFmt w:val="lowerLetter"/>
      <w:start w:val="1"/>
    </w:lvl>
    <w:lvl w:ilvl="1">
      <w:lvlJc w:val="left"/>
      <w:lvlText w:val="(%2)"/>
      <w:numFmt w:val="lowerLetter"/>
      <w:start w:val="35"/>
    </w:lvl>
    <w:lvl w:ilvl="2">
      <w:lvlJc w:val="left"/>
      <w:lvlText w:val="%3"/>
      <w:numFmt w:val="lowerLetter"/>
      <w:start w:val="1"/>
    </w:lvl>
  </w:abstractNum>
  <w:abstractNum w:abstractNumId="146">
    <w:nsid w:val="680EA5D1"/>
    <w:multiLevelType w:val="hybridMultilevel"/>
    <w:lvl w:ilvl="0">
      <w:lvlJc w:val="left"/>
      <w:lvlText w:val="(%1)"/>
      <w:numFmt w:val="upperLetter"/>
      <w:start w:val="1"/>
    </w:lvl>
  </w:abstractNum>
  <w:abstractNum w:abstractNumId="147">
    <w:nsid w:val="4A9554FE"/>
    <w:multiLevelType w:val="hybridMultilevel"/>
    <w:lvl w:ilvl="0">
      <w:lvlJc w:val="left"/>
      <w:lvlText w:val="(%1)"/>
      <w:numFmt w:val="lowerLetter"/>
      <w:start w:val="5"/>
    </w:lvl>
  </w:abstractNum>
  <w:abstractNum w:abstractNumId="148">
    <w:nsid w:val="392EDBE4"/>
    <w:multiLevelType w:val="hybridMultilevel"/>
    <w:lvl w:ilvl="0">
      <w:lvlJc w:val="left"/>
      <w:lvlText w:val="%1"/>
      <w:numFmt w:val="lowerLetter"/>
      <w:start w:val="1"/>
    </w:lvl>
    <w:lvl w:ilvl="1">
      <w:lvlJc w:val="left"/>
      <w:lvlText w:val="(%2)"/>
      <w:numFmt w:val="lowerLetter"/>
      <w:start w:val="1"/>
    </w:lvl>
  </w:abstractNum>
  <w:abstractNum w:abstractNumId="149">
    <w:nsid w:val="3D1A2DD9"/>
    <w:multiLevelType w:val="hybridMultilevel"/>
    <w:lvl w:ilvl="0">
      <w:lvlJc w:val="left"/>
      <w:lvlText w:val="(%1)"/>
      <w:numFmt w:val="lowerLetter"/>
      <w:start w:val="35"/>
    </w:lvl>
    <w:lvl w:ilvl="1">
      <w:lvlJc w:val="left"/>
      <w:lvlText w:val="(%2)"/>
      <w:numFmt w:val="lowerLetter"/>
      <w:start w:val="2"/>
    </w:lvl>
  </w:abstractNum>
  <w:abstractNum w:abstractNumId="150">
    <w:nsid w:val="7F618FCD"/>
    <w:multiLevelType w:val="hybridMultilevel"/>
    <w:lvl w:ilvl="0">
      <w:lvlJc w:val="left"/>
      <w:lvlText w:val="(%1)"/>
      <w:numFmt w:val="decimal"/>
      <w:start w:val="3"/>
    </w:lvl>
  </w:abstractNum>
  <w:abstractNum w:abstractNumId="151">
    <w:nsid w:val="7843E45"/>
    <w:multiLevelType w:val="hybridMultilevel"/>
    <w:lvl w:ilvl="0">
      <w:lvlJc w:val="left"/>
      <w:lvlText w:val="(%1)"/>
      <w:numFmt w:val="upperLetter"/>
      <w:start w:val="2"/>
    </w:lvl>
  </w:abstractNum>
  <w:abstractNum w:abstractNumId="152">
    <w:nsid w:val="9815DA3"/>
    <w:multiLevelType w:val="hybridMultilevel"/>
    <w:lvl w:ilvl="0">
      <w:lvlJc w:val="left"/>
      <w:lvlText w:val="(%1)"/>
      <w:numFmt w:val="lowerLetter"/>
      <w:start w:val="1"/>
    </w:lvl>
  </w:abstractNum>
  <w:abstractNum w:abstractNumId="153">
    <w:nsid w:val="5204A191"/>
    <w:multiLevelType w:val="hybridMultilevel"/>
    <w:lvl w:ilvl="0">
      <w:lvlJc w:val="left"/>
      <w:lvlText w:val="(%1)"/>
      <w:numFmt w:val="lowerLetter"/>
      <w:start w:val="1"/>
    </w:lvl>
  </w:abstractNum>
  <w:abstractNum w:abstractNumId="154">
    <w:nsid w:val="4C73A9C6"/>
    <w:multiLevelType w:val="hybridMultilevel"/>
    <w:lvl w:ilvl="0">
      <w:lvlJc w:val="left"/>
      <w:lvlText w:val="(%1)"/>
      <w:numFmt w:val="lowerLetter"/>
      <w:start w:val="2"/>
    </w:lvl>
  </w:abstractNum>
  <w:abstractNum w:abstractNumId="155">
    <w:nsid w:val="1C7E3C01"/>
    <w:multiLevelType w:val="hybridMultilevel"/>
    <w:lvl w:ilvl="0">
      <w:lvlJc w:val="left"/>
      <w:lvlText w:val="(%1)"/>
      <w:numFmt w:val="lowerLetter"/>
      <w:start w:val="1"/>
    </w:lvl>
  </w:abstractNum>
  <w:abstractNum w:abstractNumId="156">
    <w:nsid w:val="1C2201FF"/>
    <w:multiLevelType w:val="hybridMultilevel"/>
    <w:lvl w:ilvl="0">
      <w:lvlJc w:val="left"/>
      <w:lvlText w:val="(%1)"/>
      <w:numFmt w:val="lowerRoman"/>
      <w:start w:val="1"/>
    </w:lvl>
  </w:abstractNum>
  <w:abstractNum w:abstractNumId="157">
    <w:nsid w:val="50ABCEC9"/>
    <w:multiLevelType w:val="hybridMultilevel"/>
    <w:lvl w:ilvl="0">
      <w:lvlJc w:val="left"/>
      <w:lvlText w:val="(%1)"/>
      <w:numFmt w:val="lowerRoman"/>
      <w:start w:val="2"/>
    </w:lvl>
  </w:abstractNum>
  <w:abstractNum w:abstractNumId="158">
    <w:nsid w:val="7635AA2A"/>
    <w:multiLevelType w:val="hybridMultilevel"/>
    <w:lvl w:ilvl="0">
      <w:lvlJc w:val="left"/>
      <w:lvlText w:val="(%1)"/>
      <w:numFmt w:val="lowerLetter"/>
      <w:start w:val="1"/>
    </w:lvl>
  </w:abstractNum>
  <w:abstractNum w:abstractNumId="159">
    <w:nsid w:val="5E74C4D9"/>
    <w:multiLevelType w:val="hybridMultilevel"/>
    <w:lvl w:ilvl="0">
      <w:lvlJc w:val="left"/>
      <w:lvlText w:val="(%1)"/>
      <w:numFmt w:val="lowerLetter"/>
      <w:start w:val="3"/>
    </w:lvl>
  </w:abstractNum>
  <w:abstractNum w:abstractNumId="160">
    <w:nsid w:val="3B3EBE15"/>
    <w:multiLevelType w:val="hybridMultilevel"/>
    <w:lvl w:ilvl="0">
      <w:lvlJc w:val="left"/>
      <w:lvlText w:val="(%1)"/>
      <w:numFmt w:val="lowerLetter"/>
      <w:start w:val="1"/>
    </w:lvl>
    <w:lvl w:ilvl="1">
      <w:lvlJc w:val="left"/>
      <w:lvlText w:val="(%2)"/>
      <w:numFmt w:val="lowerRoman"/>
      <w:start w:val="1"/>
    </w:lvl>
  </w:abstractNum>
  <w:abstractNum w:abstractNumId="161">
    <w:nsid w:val="3822CB01"/>
    <w:multiLevelType w:val="hybridMultilevel"/>
    <w:lvl w:ilvl="0">
      <w:lvlJc w:val="left"/>
      <w:lvlText w:val="(%1)"/>
      <w:numFmt w:val="lowerLetter"/>
      <w:start w:val="2"/>
    </w:lvl>
    <w:lvl w:ilvl="1">
      <w:lvlJc w:val="left"/>
      <w:lvlText w:val="(%2)"/>
      <w:numFmt w:val="lowerRoman"/>
      <w:start w:val="1"/>
    </w:lvl>
  </w:abstractNum>
  <w:abstractNum w:abstractNumId="162">
    <w:nsid w:val="6CE00443"/>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163">
    <w:nsid w:val="79F0D62F"/>
    <w:multiLevelType w:val="hybridMultilevel"/>
    <w:lvl w:ilvl="0">
      <w:lvlJc w:val="left"/>
      <w:lvlText w:val="(%1)"/>
      <w:numFmt w:val="lowerLetter"/>
      <w:start w:val="3"/>
    </w:lvl>
    <w:lvl w:ilvl="1">
      <w:lvlJc w:val="left"/>
      <w:lvlText w:val="(%2)"/>
      <w:numFmt w:val="lowerLetter"/>
      <w:start w:val="9"/>
    </w:lvl>
    <w:lvl w:ilvl="2">
      <w:lvlJc w:val="left"/>
      <w:lvlText w:val="(%3)"/>
      <w:numFmt w:val="upperLetter"/>
      <w:start w:val="2"/>
    </w:lvl>
  </w:abstractNum>
  <w:abstractNum w:abstractNumId="164">
    <w:nsid w:val="7975E8EE"/>
    <w:multiLevelType w:val="hybridMultilevel"/>
    <w:lvl w:ilvl="0">
      <w:lvlJc w:val="left"/>
      <w:lvlText w:val="(%1)"/>
      <w:numFmt w:val="lowerRoman"/>
      <w:start w:val="2"/>
    </w:lvl>
  </w:abstractNum>
  <w:abstractNum w:abstractNumId="165">
    <w:nsid w:val="73154115"/>
    <w:multiLevelType w:val="hybridMultilevel"/>
    <w:lvl w:ilvl="0">
      <w:lvlJc w:val="left"/>
      <w:lvlText w:val="%1"/>
      <w:numFmt w:val="lowerLetter"/>
      <w:start w:val="1"/>
    </w:lvl>
    <w:lvl w:ilvl="1">
      <w:lvlJc w:val="left"/>
      <w:lvlText w:val="(%2)"/>
      <w:numFmt w:val="lowerRoman"/>
      <w:start w:val="6"/>
    </w:lvl>
  </w:abstractNum>
  <w:abstractNum w:abstractNumId="166">
    <w:nsid w:val="622D8102"/>
    <w:multiLevelType w:val="hybridMultilevel"/>
    <w:lvl w:ilvl="0">
      <w:lvlJc w:val="left"/>
      <w:lvlText w:val="(%1)"/>
      <w:numFmt w:val="lowerLetter"/>
      <w:start w:val="4"/>
    </w:lvl>
    <w:lvl w:ilvl="1">
      <w:lvlJc w:val="left"/>
      <w:lvlText w:val="%2"/>
      <w:numFmt w:val="lowerRoman"/>
      <w:start w:val="1"/>
    </w:lvl>
  </w:abstractNum>
  <w:abstractNum w:abstractNumId="167">
    <w:nsid w:val="2AB26587"/>
    <w:multiLevelType w:val="hybridMultilevel"/>
    <w:lvl w:ilvl="0">
      <w:lvlJc w:val="left"/>
      <w:lvlText w:val="(%1)"/>
      <w:numFmt w:val="lowerLetter"/>
      <w:start w:val="1"/>
    </w:lvl>
    <w:lvl w:ilvl="1">
      <w:lvlJc w:val="left"/>
      <w:lvlText w:val="(%2)"/>
      <w:numFmt w:val="lowerRoman"/>
      <w:start w:val="1"/>
    </w:lvl>
  </w:abstractNum>
  <w:abstractNum w:abstractNumId="168">
    <w:nsid w:val="44B3FA61"/>
    <w:multiLevelType w:val="hybridMultilevel"/>
    <w:lvl w:ilvl="0">
      <w:lvlJc w:val="left"/>
      <w:lvlText w:val="(%1)"/>
      <w:numFmt w:val="lowerLetter"/>
      <w:start w:val="2"/>
    </w:lvl>
  </w:abstractNum>
  <w:abstractNum w:abstractNumId="169">
    <w:nsid w:val="1C0CA67C"/>
    <w:multiLevelType w:val="hybridMultilevel"/>
    <w:lvl w:ilvl="0">
      <w:lvlJc w:val="left"/>
      <w:lvlText w:val="(%1)"/>
      <w:numFmt w:val="lowerLetter"/>
      <w:start w:val="3"/>
    </w:lvl>
  </w:abstractNum>
  <w:abstractNum w:abstractNumId="170">
    <w:nsid w:val="3D206613"/>
    <w:multiLevelType w:val="hybridMultilevel"/>
    <w:lvl w:ilvl="0">
      <w:lvlJc w:val="left"/>
      <w:lvlText w:val="%1"/>
      <w:numFmt w:val="decimal"/>
      <w:start w:val="1"/>
    </w:lvl>
    <w:lvl w:ilvl="1">
      <w:lvlJc w:val="left"/>
      <w:lvlText w:val="(%2)"/>
      <w:numFmt w:val="lowerLetter"/>
      <w:start w:val="4"/>
    </w:lvl>
  </w:abstractNum>
  <w:abstractNum w:abstractNumId="171">
    <w:nsid w:val="7993B662"/>
    <w:multiLevelType w:val="hybridMultilevel"/>
    <w:lvl w:ilvl="0">
      <w:lvlJc w:val="left"/>
      <w:lvlText w:val="(%1)"/>
      <w:numFmt w:val="decimal"/>
      <w:start w:val="6"/>
    </w:lvl>
    <w:lvl w:ilvl="1">
      <w:lvlJc w:val="left"/>
      <w:lvlText w:val="%2"/>
      <w:numFmt w:val="lowerLetter"/>
      <w:start w:val="1"/>
    </w:lvl>
  </w:abstractNum>
  <w:abstractNum w:abstractNumId="172">
    <w:nsid w:val="3BAB699E"/>
    <w:multiLevelType w:val="hybridMultilevel"/>
    <w:lvl w:ilvl="0">
      <w:lvlJc w:val="left"/>
      <w:lvlText w:val="(%1)"/>
      <w:numFmt w:val="lowerLetter"/>
      <w:start w:val="1"/>
    </w:lvl>
  </w:abstractNum>
  <w:abstractNum w:abstractNumId="173">
    <w:nsid w:val="71315369"/>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174">
    <w:nsid w:val="7BCFBAFC"/>
    <w:multiLevelType w:val="hybridMultilevel"/>
    <w:lvl w:ilvl="0">
      <w:lvlJc w:val="left"/>
      <w:lvlText w:val="(%1)"/>
      <w:numFmt w:val="upperLetter"/>
      <w:start w:val="2"/>
    </w:lvl>
    <w:lvl w:ilvl="1">
      <w:lvlJc w:val="left"/>
      <w:lvlText w:val="(%2)"/>
      <w:numFmt w:val="decimal"/>
      <w:start w:val="1"/>
    </w:lvl>
  </w:abstractNum>
  <w:abstractNum w:abstractNumId="175">
    <w:nsid w:val="17859F72"/>
    <w:multiLevelType w:val="hybridMultilevel"/>
    <w:lvl w:ilvl="0">
      <w:lvlJc w:val="left"/>
      <w:lvlText w:val="(%1)"/>
      <w:numFmt w:val="upperLetter"/>
      <w:start w:val="4"/>
    </w:lvl>
  </w:abstractNum>
  <w:abstractNum w:abstractNumId="176">
    <w:nsid w:val="3AA10581"/>
    <w:multiLevelType w:val="hybridMultilevel"/>
    <w:lvl w:ilvl="0">
      <w:lvlJc w:val="left"/>
      <w:lvlText w:val="%1"/>
      <w:numFmt w:val="lowerLetter"/>
      <w:start w:val="1"/>
    </w:lvl>
    <w:lvl w:ilvl="1">
      <w:lvlJc w:val="left"/>
      <w:lvlText w:val="(%2)"/>
      <w:numFmt w:val="lowerLetter"/>
      <w:start w:val="8"/>
    </w:lvl>
  </w:abstractNum>
  <w:abstractNum w:abstractNumId="177">
    <w:nsid w:val="63DE60CD"/>
    <w:multiLevelType w:val="hybridMultilevel"/>
    <w:lvl w:ilvl="0">
      <w:lvlJc w:val="left"/>
      <w:lvlText w:val="(%1)"/>
      <w:numFmt w:val="lowerLetter"/>
      <w:start w:val="8"/>
    </w:lvl>
    <w:lvl w:ilvl="1">
      <w:lvlJc w:val="left"/>
      <w:lvlText w:val="%2"/>
      <w:numFmt w:val="lowerLetter"/>
      <w:start w:val="1"/>
    </w:lvl>
  </w:abstractNum>
  <w:abstractNum w:abstractNumId="178">
    <w:nsid w:val="621AF471"/>
    <w:multiLevelType w:val="hybridMultilevel"/>
    <w:lvl w:ilvl="0">
      <w:lvlJc w:val="left"/>
      <w:lvlText w:val="(%1)"/>
      <w:numFmt w:val="lowerRoman"/>
      <w:start w:val="1"/>
    </w:lvl>
  </w:abstractNum>
  <w:abstractNum w:abstractNumId="179">
    <w:nsid w:val="73CFE165"/>
    <w:multiLevelType w:val="hybridMultilevel"/>
    <w:lvl w:ilvl="0">
      <w:lvlJc w:val="left"/>
      <w:lvlText w:val="(%1)"/>
      <w:numFmt w:val="lowerLetter"/>
      <w:start w:val="1"/>
    </w:lvl>
    <w:lvl w:ilvl="1">
      <w:lvlJc w:val="left"/>
      <w:lvlText w:val="(%2)"/>
      <w:numFmt w:val="lowerRoman"/>
      <w:start w:val="1"/>
    </w:lvl>
  </w:abstractNum>
  <w:abstractNum w:abstractNumId="180">
    <w:nsid w:val="20F88EA6"/>
    <w:multiLevelType w:val="hybridMultilevel"/>
    <w:lvl w:ilvl="0">
      <w:lvlJc w:val="left"/>
      <w:lvlText w:val="%1"/>
      <w:numFmt w:val="decimal"/>
      <w:start w:val="1"/>
    </w:lvl>
    <w:lvl w:ilvl="1">
      <w:lvlJc w:val="left"/>
      <w:lvlText w:val="(%2)"/>
      <w:numFmt w:val="lowerLetter"/>
      <w:start w:val="1"/>
    </w:lvl>
  </w:abstractNum>
  <w:abstractNum w:abstractNumId="181">
    <w:nsid w:val="617C843E"/>
    <w:multiLevelType w:val="hybridMultilevel"/>
    <w:lvl w:ilvl="0">
      <w:lvlJc w:val="left"/>
      <w:lvlText w:val="(%1)"/>
      <w:numFmt w:val="decimal"/>
      <w:start w:val="2"/>
    </w:lvl>
    <w:lvl w:ilvl="1">
      <w:lvlJc w:val="left"/>
      <w:lvlText w:val="(%2)"/>
      <w:numFmt w:val="lowerLetter"/>
      <w:start w:val="2"/>
    </w:lvl>
  </w:abstractNum>
  <w:abstractNum w:abstractNumId="182">
    <w:nsid w:val="7B541FAB"/>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83">
    <w:nsid w:val="2A79EC49"/>
    <w:multiLevelType w:val="hybridMultilevel"/>
    <w:lvl w:ilvl="0">
      <w:lvlJc w:val="left"/>
      <w:lvlText w:val="(%1)"/>
      <w:numFmt w:val="upperLetter"/>
      <w:start w:val="3"/>
    </w:lvl>
  </w:abstractNum>
  <w:abstractNum w:abstractNumId="184">
    <w:nsid w:val="338125C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4"/>
    </w:lvl>
  </w:abstractNum>
  <w:abstractNum w:abstractNumId="185">
    <w:nsid w:val="47C7C971"/>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86">
    <w:nsid w:val="46F8284B"/>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187">
    <w:nsid w:val="4FA327CE"/>
    <w:multiLevelType w:val="hybridMultilevel"/>
    <w:lvl w:ilvl="0">
      <w:lvlJc w:val="left"/>
      <w:lvlText w:val="%1"/>
      <w:numFmt w:val="lowerLetter"/>
      <w:start w:val="1"/>
    </w:lvl>
    <w:lvl w:ilvl="1">
      <w:lvlJc w:val="left"/>
      <w:lvlText w:val="(%2)"/>
      <w:numFmt w:val="lowerRoman"/>
      <w:start w:val="1"/>
    </w:lvl>
  </w:abstractNum>
  <w:abstractNum w:abstractNumId="188">
    <w:nsid w:val="1873983A"/>
    <w:multiLevelType w:val="hybridMultilevel"/>
    <w:lvl w:ilvl="0">
      <w:lvlJc w:val="left"/>
      <w:lvlText w:val="(%1)"/>
      <w:numFmt w:val="lowerLetter"/>
      <w:start w:val="6"/>
    </w:lvl>
    <w:lvl w:ilvl="1">
      <w:lvlJc w:val="left"/>
      <w:lvlText w:val="%2"/>
      <w:numFmt w:val="lowerRoman"/>
      <w:start w:val="1"/>
    </w:lvl>
  </w:abstractNum>
  <w:abstractNum w:abstractNumId="189">
    <w:nsid w:val="3D2DD275"/>
    <w:multiLevelType w:val="hybridMultilevel"/>
    <w:lvl w:ilvl="0">
      <w:lvlJc w:val="left"/>
      <w:lvlText w:val="(%1)"/>
      <w:numFmt w:val="lowerLetter"/>
      <w:start w:val="1"/>
    </w:lvl>
  </w:abstractNum>
  <w:abstractNum w:abstractNumId="190">
    <w:nsid w:val="2E17ECA7"/>
    <w:multiLevelType w:val="hybridMultilevel"/>
    <w:lvl w:ilvl="0">
      <w:lvlJc w:val="left"/>
      <w:lvlText w:val="(%1)"/>
      <w:numFmt w:val="lowerLetter"/>
      <w:start w:val="1"/>
    </w:lvl>
    <w:lvl w:ilvl="1">
      <w:lvlJc w:val="left"/>
      <w:lvlText w:val="(%2)"/>
      <w:numFmt w:val="lowerRoman"/>
      <w:start w:val="1"/>
    </w:lvl>
  </w:abstractNum>
  <w:abstractNum w:abstractNumId="191">
    <w:nsid w:val="53B2564F"/>
    <w:multiLevelType w:val="hybridMultilevel"/>
    <w:lvl w:ilvl="0">
      <w:lvlJc w:val="left"/>
      <w:lvlText w:val="(%1)"/>
      <w:numFmt w:val="lowerRoman"/>
      <w:start w:val="3"/>
    </w:lvl>
    <w:lvl w:ilvl="1">
      <w:lvlJc w:val="left"/>
      <w:lvlText w:val="(%2)"/>
      <w:numFmt w:val="upperLetter"/>
      <w:start w:val="1"/>
    </w:lvl>
  </w:abstractNum>
  <w:abstractNum w:abstractNumId="192">
    <w:nsid w:val="75509D76"/>
    <w:multiLevelType w:val="hybridMultilevel"/>
    <w:lvl w:ilvl="0">
      <w:lvlJc w:val="left"/>
      <w:lvlText w:val="%1"/>
      <w:numFmt w:val="lowerLetter"/>
      <w:start w:val="1"/>
    </w:lvl>
    <w:lvl w:ilvl="1">
      <w:lvlJc w:val="left"/>
      <w:lvlText w:val="(%2)"/>
      <w:numFmt w:val="lowerRoman"/>
      <w:start w:val="4"/>
    </w:lvl>
  </w:abstractNum>
  <w:abstractNum w:abstractNumId="193">
    <w:nsid w:val="1AF7F0EA"/>
    <w:multiLevelType w:val="hybridMultilevel"/>
    <w:lvl w:ilvl="0">
      <w:lvlJc w:val="left"/>
      <w:lvlText w:val="(%1)"/>
      <w:numFmt w:val="lowerLetter"/>
      <w:start w:val="2"/>
    </w:lvl>
    <w:lvl w:ilvl="1">
      <w:lvlJc w:val="left"/>
      <w:lvlText w:val="%2"/>
      <w:numFmt w:val="lowerRoman"/>
      <w:start w:val="1"/>
    </w:lvl>
  </w:abstractNum>
  <w:abstractNum w:abstractNumId="194">
    <w:nsid w:val="4DA32C7E"/>
    <w:multiLevelType w:val="hybridMultilevel"/>
    <w:lvl w:ilvl="0">
      <w:lvlJc w:val="left"/>
      <w:lvlText w:val="%1"/>
      <w:numFmt w:val="lowerLetter"/>
      <w:start w:val="1"/>
    </w:lvl>
    <w:lvl w:ilvl="1">
      <w:lvlJc w:val="left"/>
      <w:lvlText w:val="(%2)"/>
      <w:numFmt w:val="lowerLetter"/>
      <w:start w:val="1"/>
    </w:lvl>
  </w:abstractNum>
  <w:abstractNum w:abstractNumId="195">
    <w:nsid w:val="6EC68664"/>
    <w:multiLevelType w:val="hybridMultilevel"/>
    <w:lvl w:ilvl="0">
      <w:lvlJc w:val="left"/>
      <w:lvlText w:val="(%1)"/>
      <w:numFmt w:val="lowerLetter"/>
      <w:start w:val="2"/>
    </w:lvl>
    <w:lvl w:ilvl="1">
      <w:lvlJc w:val="left"/>
      <w:lvlText w:val="%2"/>
      <w:numFmt w:val="lowerLetter"/>
      <w:start w:val="1"/>
    </w:lvl>
  </w:abstractNum>
  <w:abstractNum w:abstractNumId="196">
    <w:nsid w:val="E0D31FF"/>
    <w:multiLevelType w:val="hybridMultilevel"/>
    <w:lvl w:ilvl="0">
      <w:lvlJc w:val="left"/>
      <w:lvlText w:val="(%1)"/>
      <w:numFmt w:val="lowerLetter"/>
      <w:start w:val="2"/>
    </w:lvl>
  </w:abstractNum>
  <w:abstractNum w:abstractNumId="197">
    <w:nsid w:val="2FD0AD81"/>
    <w:multiLevelType w:val="hybridMultilevel"/>
    <w:lvl w:ilvl="0">
      <w:lvlJc w:val="left"/>
      <w:lvlText w:val="(%1)"/>
      <w:numFmt w:val="lowerLetter"/>
      <w:start w:val="1"/>
    </w:lvl>
  </w:abstractNum>
  <w:abstractNum w:abstractNumId="198">
    <w:nsid w:val="1978EBEB"/>
    <w:multiLevelType w:val="hybridMultilevel"/>
    <w:lvl w:ilvl="0">
      <w:lvlJc w:val="left"/>
      <w:lvlText w:val="(%1)"/>
      <w:numFmt w:val="lowerRoman"/>
      <w:start w:val="1"/>
    </w:lvl>
  </w:abstractNum>
  <w:abstractNum w:abstractNumId="199">
    <w:nsid w:val="52C12C61"/>
    <w:multiLevelType w:val="hybridMultilevel"/>
    <w:lvl w:ilvl="0">
      <w:lvlJc w:val="left"/>
      <w:lvlText w:val="%1"/>
      <w:numFmt w:val="lowerLetter"/>
      <w:start w:val="1"/>
    </w:lvl>
    <w:lvl w:ilvl="1">
      <w:lvlJc w:val="left"/>
      <w:lvlText w:val="(%2)"/>
      <w:numFmt w:val="lowerRoman"/>
      <w:start w:val="9"/>
    </w:lvl>
  </w:abstractNum>
  <w:abstractNum w:abstractNumId="200">
    <w:nsid w:val="4BDD53FD"/>
    <w:multiLevelType w:val="hybridMultilevel"/>
    <w:lvl w:ilvl="0">
      <w:lvlJc w:val="left"/>
      <w:lvlText w:val="(%1)"/>
      <w:numFmt w:val="lowerLetter"/>
      <w:start w:val="2"/>
    </w:lvl>
    <w:lvl w:ilvl="1">
      <w:lvlJc w:val="left"/>
      <w:lvlText w:val="%2"/>
      <w:numFmt w:val="lowerRoman"/>
      <w:start w:val="1"/>
    </w:lvl>
  </w:abstractNum>
  <w:abstractNum w:abstractNumId="201">
    <w:nsid w:val="569951FE"/>
    <w:multiLevelType w:val="hybridMultilevel"/>
    <w:lvl w:ilvl="0">
      <w:lvlJc w:val="left"/>
      <w:lvlText w:val="(%1)"/>
      <w:numFmt w:val="lowerLetter"/>
      <w:start w:val="5"/>
    </w:lvl>
  </w:abstractNum>
  <w:abstractNum w:abstractNumId="202">
    <w:nsid w:val="4C54E2C3"/>
    <w:multiLevelType w:val="hybridMultilevel"/>
    <w:lvl w:ilvl="0">
      <w:lvlJc w:val="left"/>
      <w:lvlText w:val="(%1)"/>
      <w:numFmt w:val="lowerLetter"/>
      <w:start w:val="7"/>
    </w:lvl>
  </w:abstractNum>
  <w:abstractNum w:abstractNumId="203">
    <w:nsid w:val="788BD9B"/>
    <w:multiLevelType w:val="hybridMultilevel"/>
    <w:lvl w:ilvl="0">
      <w:lvlJc w:val="left"/>
      <w:lvlText w:val="(%1)"/>
      <w:numFmt w:val="lowerLetter"/>
      <w:start w:val="1"/>
    </w:lvl>
  </w:abstractNum>
  <w:abstractNum w:abstractNumId="204">
    <w:nsid w:val="47CAA567"/>
    <w:multiLevelType w:val="hybridMultilevel"/>
    <w:lvl w:ilvl="0">
      <w:lvlJc w:val="left"/>
      <w:lvlText w:val="(%1)"/>
      <w:numFmt w:val="upperLetter"/>
      <w:start w:val="1"/>
    </w:lvl>
  </w:abstractNum>
  <w:abstractNum w:abstractNumId="205">
    <w:nsid w:val="48249DBF"/>
    <w:multiLevelType w:val="hybridMultilevel"/>
    <w:lvl w:ilvl="0">
      <w:lvlJc w:val="left"/>
      <w:lvlText w:val="(%1)"/>
      <w:numFmt w:val="lowerLetter"/>
      <w:start w:val="4"/>
    </w:lvl>
  </w:abstractNum>
  <w:abstractNum w:abstractNumId="206">
    <w:nsid w:val="1F0E5D0D"/>
    <w:multiLevelType w:val="hybridMultilevel"/>
    <w:lvl w:ilvl="0">
      <w:lvlJc w:val="left"/>
      <w:lvlText w:val="(%1)"/>
      <w:numFmt w:val="lowerLetter"/>
      <w:start w:val="1"/>
    </w:lvl>
  </w:abstractNum>
  <w:abstractNum w:abstractNumId="207">
    <w:nsid w:val="26BAAE9"/>
    <w:multiLevelType w:val="hybridMultilevel"/>
    <w:lvl w:ilvl="0">
      <w:lvlJc w:val="left"/>
      <w:lvlText w:val="(%1)"/>
      <w:numFmt w:val="lowerLetter"/>
      <w:start w:val="2"/>
    </w:lvl>
    <w:lvl w:ilvl="1">
      <w:lvlJc w:val="left"/>
      <w:lvlText w:val="(%2)"/>
      <w:numFmt w:val="lowerRoman"/>
      <w:start w:val="1"/>
    </w:lvl>
  </w:abstractNum>
  <w:abstractNum w:abstractNumId="208">
    <w:nsid w:val="2C02FE8C"/>
    <w:multiLevelType w:val="hybridMultilevel"/>
    <w:lvl w:ilvl="0">
      <w:lvlJc w:val="left"/>
      <w:lvlText w:val="%1"/>
      <w:numFmt w:val="upperLetter"/>
      <w:start w:val="1"/>
    </w:lvl>
    <w:lvl w:ilvl="1">
      <w:lvlJc w:val="left"/>
      <w:lvlText w:val="(%2)"/>
      <w:numFmt w:val="lowerRoman"/>
      <w:start w:val="2"/>
    </w:lvl>
  </w:abstractNum>
  <w:abstractNum w:abstractNumId="209">
    <w:nsid w:val="129517E"/>
    <w:multiLevelType w:val="hybridMultilevel"/>
    <w:lvl w:ilvl="0">
      <w:lvlJc w:val="left"/>
      <w:lvlText w:val="(%1)"/>
      <w:numFmt w:val="upperLetter"/>
      <w:start w:val="2"/>
    </w:lvl>
    <w:lvl w:ilvl="1">
      <w:lvlJc w:val="left"/>
      <w:lvlText w:val="(%2)"/>
      <w:numFmt w:val="lowerRoman"/>
      <w:start w:val="3"/>
    </w:lvl>
  </w:abstractNum>
  <w:abstractNum w:abstractNumId="210">
    <w:nsid w:val="763B8C4E"/>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4"/>
    </w:lvl>
    <w:lvl w:ilvl="3">
      <w:lvlJc w:val="left"/>
      <w:lvlText w:val="(%4)"/>
      <w:numFmt w:val="lowerRoman"/>
      <w:start w:val="1"/>
    </w:lvl>
  </w:abstractNum>
  <w:abstractNum w:abstractNumId="211">
    <w:nsid w:val="4CFB8D32"/>
    <w:multiLevelType w:val="hybridMultilevel"/>
    <w:lvl w:ilvl="0">
      <w:lvlJc w:val="left"/>
      <w:lvlText w:val="%1"/>
      <w:numFmt w:val="decimal"/>
      <w:start w:val="1"/>
    </w:lvl>
    <w:lvl w:ilvl="1">
      <w:lvlJc w:val="left"/>
      <w:lvlText w:val="(%2)"/>
      <w:numFmt w:val="upperLetter"/>
      <w:start w:val="2"/>
    </w:lvl>
    <w:lvl w:ilvl="2">
      <w:lvlJc w:val="left"/>
      <w:lvlText w:val="%3"/>
      <w:numFmt w:val="lowerLetter"/>
      <w:start w:val="1"/>
    </w:lvl>
    <w:lvl w:ilvl="3">
      <w:lvlJc w:val="left"/>
      <w:lvlText w:val="(%4)"/>
      <w:numFmt w:val="lowerRoman"/>
      <w:start w:val="3"/>
    </w:lvl>
  </w:abstractNum>
  <w:abstractNum w:abstractNumId="212">
    <w:nsid w:val="62A5D5BD"/>
    <w:multiLevelType w:val="hybridMultilevel"/>
    <w:lvl w:ilvl="0">
      <w:lvlJc w:val="left"/>
      <w:lvlText w:val="(%1)"/>
      <w:numFmt w:val="decimal"/>
      <w:start w:val="2"/>
    </w:lvl>
    <w:lvl w:ilvl="1">
      <w:lvlJc w:val="left"/>
      <w:lvlText w:val="%2"/>
      <w:numFmt w:val="upperLetter"/>
      <w:start w:val="1"/>
    </w:lvl>
    <w:lvl w:ilvl="2">
      <w:lvlJc w:val="left"/>
      <w:lvlText w:val="%3"/>
      <w:numFmt w:val="lowerLetter"/>
      <w:start w:val="1"/>
    </w:lvl>
    <w:lvl w:ilvl="3">
      <w:lvlJc w:val="left"/>
      <w:lvlText w:val="%4"/>
      <w:numFmt w:val="lowerRoman"/>
      <w:start w:val="1"/>
    </w:lvl>
  </w:abstractNum>
  <w:abstractNum w:abstractNumId="213">
    <w:nsid w:val="718FABF9"/>
    <w:multiLevelType w:val="hybridMultilevel"/>
    <w:lvl w:ilvl="0">
      <w:lvlJc w:val="left"/>
      <w:lvlText w:val="(%1)"/>
      <w:numFmt w:val="upperLetter"/>
      <w:start w:val="2"/>
    </w:lvl>
  </w:abstractNum>
  <w:abstractNum w:abstractNumId="214">
    <w:nsid w:val="7775797C"/>
    <w:multiLevelType w:val="hybridMultilevel"/>
    <w:lvl w:ilvl="0">
      <w:lvlJc w:val="left"/>
      <w:lvlText w:val="(%1)"/>
      <w:numFmt w:val="lowerLetter"/>
      <w:start w:val="6"/>
    </w:lvl>
    <w:lvl w:ilvl="1">
      <w:lvlJc w:val="left"/>
      <w:lvlText w:val="(%2)"/>
      <w:numFmt w:val="lowerRoman"/>
      <w:start w:val="1"/>
    </w:lvl>
  </w:abstractNum>
  <w:abstractNum w:abstractNumId="215">
    <w:nsid w:val="1626FB8C"/>
    <w:multiLevelType w:val="hybridMultilevel"/>
    <w:lvl w:ilvl="0">
      <w:lvlJc w:val="left"/>
      <w:lvlText w:val="(%1)"/>
      <w:numFmt w:val="lowerRoman"/>
      <w:start w:val="3"/>
    </w:lvl>
  </w:abstractNum>
  <w:abstractNum w:abstractNumId="216">
    <w:nsid w:val="3957756A"/>
    <w:multiLevelType w:val="hybridMultilevel"/>
    <w:lvl w:ilvl="0">
      <w:lvlJc w:val="left"/>
      <w:lvlText w:val="(%1)"/>
      <w:numFmt w:val="lowerLetter"/>
      <w:start w:val="1"/>
    </w:lvl>
  </w:abstractNum>
  <w:abstractNum w:abstractNumId="217">
    <w:nsid w:val="3E6DA1C7"/>
    <w:multiLevelType w:val="hybridMultilevel"/>
    <w:lvl w:ilvl="0">
      <w:lvlJc w:val="left"/>
      <w:lvlText w:val="(%1)"/>
      <w:numFmt w:val="lowerLetter"/>
      <w:start w:val="2"/>
    </w:lvl>
  </w:abstractNum>
  <w:abstractNum w:abstractNumId="218">
    <w:nsid w:val="65CA235B"/>
    <w:multiLevelType w:val="hybridMultilevel"/>
    <w:lvl w:ilvl="0">
      <w:lvlJc w:val="left"/>
      <w:lvlText w:val="%1"/>
      <w:numFmt w:val="lowerLetter"/>
      <w:start w:val="1"/>
    </w:lvl>
    <w:lvl w:ilvl="1">
      <w:lvlJc w:val="left"/>
      <w:lvlText w:val="(%2)"/>
      <w:numFmt w:val="lowerLetter"/>
      <w:start w:val="3"/>
    </w:lvl>
  </w:abstractNum>
  <w:abstractNum w:abstractNumId="219">
    <w:nsid w:val="51CB0DA4"/>
    <w:multiLevelType w:val="hybridMultilevel"/>
    <w:lvl w:ilvl="0">
      <w:lvlJc w:val="left"/>
      <w:lvlText w:val="(%1)"/>
      <w:numFmt w:val="lowerLetter"/>
      <w:start w:val="9"/>
    </w:lvl>
    <w:lvl w:ilvl="1">
      <w:lvlJc w:val="left"/>
      <w:lvlText w:val="%2"/>
      <w:numFmt w:val="lowerLetter"/>
      <w:start w:val="1"/>
    </w:lvl>
  </w:abstractNum>
  <w:abstractNum w:abstractNumId="220">
    <w:nsid w:val="7B9B743C"/>
    <w:multiLevelType w:val="hybridMultilevel"/>
    <w:lvl w:ilvl="0">
      <w:lvlJc w:val="left"/>
      <w:lvlText w:val="(%1)"/>
      <w:numFmt w:val="lowerLetter"/>
      <w:start w:val="1"/>
    </w:lvl>
  </w:abstractNum>
  <w:abstractNum w:abstractNumId="221">
    <w:nsid w:val="13E21002"/>
    <w:multiLevelType w:val="hybridMultilevel"/>
    <w:lvl w:ilvl="0">
      <w:lvlJc w:val="left"/>
      <w:lvlText w:val="(%1)"/>
      <w:numFmt w:val="lowerLetter"/>
      <w:start w:val="5"/>
    </w:lvl>
  </w:abstractNum>
  <w:abstractNum w:abstractNumId="222">
    <w:nsid w:val="257D63F4"/>
    <w:multiLevelType w:val="hybridMultilevel"/>
    <w:lvl w:ilvl="0">
      <w:lvlJc w:val="left"/>
      <w:lvlText w:val="(%1)"/>
      <w:numFmt w:val="lowerLetter"/>
      <w:start w:val="1"/>
    </w:lvl>
  </w:abstractNum>
  <w:abstractNum w:abstractNumId="223">
    <w:nsid w:val="70EC11B2"/>
    <w:multiLevelType w:val="hybridMultilevel"/>
    <w:lvl w:ilvl="0">
      <w:lvlJc w:val="left"/>
      <w:lvlText w:val="(%1)"/>
      <w:numFmt w:val="lowerLetter"/>
      <w:start w:val="4"/>
    </w:lvl>
  </w:abstractNum>
  <w:abstractNum w:abstractNumId="224">
    <w:nsid w:val="2EDA00ED"/>
    <w:multiLevelType w:val="hybridMultilevel"/>
    <w:lvl w:ilvl="0">
      <w:lvlJc w:val="left"/>
      <w:lvlText w:val="(%1)"/>
      <w:numFmt w:val="lowerLetter"/>
      <w:start w:val="1"/>
    </w:lvl>
  </w:abstractNum>
  <w:abstractNum w:abstractNumId="225">
    <w:nsid w:val="73209072"/>
    <w:multiLevelType w:val="hybridMultilevel"/>
    <w:lvl w:ilvl="0">
      <w:lvlJc w:val="left"/>
      <w:lvlText w:val="(%1)"/>
      <w:numFmt w:val="lowerLetter"/>
      <w:start w:val="1"/>
    </w:lvl>
  </w:abstractNum>
  <w:abstractNum w:abstractNumId="226">
    <w:nsid w:val="5FB29816"/>
    <w:multiLevelType w:val="hybridMultilevel"/>
    <w:lvl w:ilvl="0">
      <w:lvlJc w:val="left"/>
      <w:lvlText w:val="(%1)"/>
      <w:numFmt w:val="lowerLetter"/>
      <w:start w:val="2"/>
    </w:lvl>
  </w:abstractNum>
  <w:abstractNum w:abstractNumId="227">
    <w:nsid w:val="3CE732EC"/>
    <w:multiLevelType w:val="hybridMultilevel"/>
    <w:lvl w:ilvl="0">
      <w:lvlJc w:val="left"/>
      <w:lvlText w:val="(%1)"/>
      <w:numFmt w:val="lowerLetter"/>
      <w:start w:val="1"/>
    </w:lvl>
  </w:abstractNum>
  <w:abstractNum w:abstractNumId="228">
    <w:nsid w:val="22F13DF3"/>
    <w:multiLevelType w:val="hybridMultilevel"/>
    <w:lvl w:ilvl="0">
      <w:lvlJc w:val="left"/>
      <w:lvlText w:val="%1"/>
      <w:numFmt w:val="lowerLetter"/>
      <w:start w:val="1"/>
    </w:lvl>
    <w:lvl w:ilvl="1">
      <w:lvlJc w:val="left"/>
      <w:lvlText w:val="(%2)"/>
      <w:numFmt w:val="lowerLetter"/>
      <w:start w:val="4"/>
    </w:lvl>
  </w:abstractNum>
  <w:abstractNum w:abstractNumId="229">
    <w:nsid w:val="792B8401"/>
    <w:multiLevelType w:val="hybridMultilevel"/>
    <w:lvl w:ilvl="0">
      <w:lvlJc w:val="left"/>
      <w:lvlText w:val="(%1)"/>
      <w:numFmt w:val="lowerLetter"/>
      <w:start w:val="35"/>
    </w:lvl>
    <w:lvl w:ilvl="1">
      <w:lvlJc w:val="left"/>
      <w:lvlText w:val="(%2)"/>
      <w:numFmt w:val="lowerLetter"/>
      <w:start w:val="10"/>
    </w:lvl>
  </w:abstractNum>
  <w:abstractNum w:abstractNumId="230">
    <w:nsid w:val="FA85F4D"/>
    <w:multiLevelType w:val="hybridMultilevel"/>
    <w:lvl w:ilvl="0">
      <w:lvlJc w:val="left"/>
      <w:lvlText w:val="(%1)"/>
      <w:numFmt w:val="lowerLetter"/>
      <w:start w:val="2"/>
    </w:lvl>
  </w:abstractNum>
  <w:abstractNum w:abstractNumId="231">
    <w:nsid w:val="6ECE91F0"/>
    <w:multiLevelType w:val="hybridMultilevel"/>
    <w:lvl w:ilvl="0">
      <w:lvlJc w:val="left"/>
      <w:lvlText w:val="(%1)"/>
      <w:numFmt w:val="lowerLetter"/>
      <w:start w:val="1"/>
    </w:lvl>
  </w:abstractNum>
  <w:abstractNum w:abstractNumId="232">
    <w:nsid w:val="4FC4D600"/>
    <w:multiLevelType w:val="hybridMultilevel"/>
    <w:lvl w:ilvl="0">
      <w:lvlJc w:val="left"/>
      <w:lvlText w:val="(%1)"/>
      <w:numFmt w:val="lowerLetter"/>
      <w:start w:val="8"/>
    </w:lvl>
  </w:abstractNum>
  <w:abstractNum w:abstractNumId="233">
    <w:nsid w:val="5BFD4210"/>
    <w:multiLevelType w:val="hybridMultilevel"/>
    <w:lvl w:ilvl="0">
      <w:lvlJc w:val="left"/>
      <w:lvlText w:val="(%1)"/>
      <w:numFmt w:val="lowerLetter"/>
      <w:start w:val="1"/>
    </w:lvl>
  </w:abstractNum>
  <w:abstractNum w:abstractNumId="234">
    <w:nsid w:val="76574F8B"/>
    <w:multiLevelType w:val="hybridMultilevel"/>
    <w:lvl w:ilvl="0">
      <w:lvlJc w:val="left"/>
      <w:lvlText w:val="(%1)"/>
      <w:numFmt w:val="lowerRoman"/>
      <w:start w:val="4"/>
    </w:lvl>
  </w:abstractNum>
  <w:abstractNum w:abstractNumId="235">
    <w:nsid w:val="178F7B67"/>
    <w:multiLevelType w:val="hybridMultilevel"/>
    <w:lvl w:ilvl="0">
      <w:lvlJc w:val="left"/>
      <w:lvlText w:val="(%1)"/>
      <w:numFmt w:val="lowerLetter"/>
      <w:start w:val="3"/>
    </w:lvl>
  </w:abstractNum>
  <w:abstractNum w:abstractNumId="236">
    <w:nsid w:val="2421DFCF"/>
    <w:multiLevelType w:val="hybridMultilevel"/>
    <w:lvl w:ilvl="0">
      <w:lvlJc w:val="left"/>
      <w:lvlText w:val="%1"/>
      <w:numFmt w:val="lowerLetter"/>
      <w:start w:val="1"/>
    </w:lvl>
    <w:lvl w:ilvl="1">
      <w:lvlJc w:val="left"/>
      <w:lvlText w:val="(%2)"/>
      <w:numFmt w:val="lowerLetter"/>
      <w:start w:val="1"/>
    </w:lvl>
  </w:abstractNum>
  <w:abstractNum w:abstractNumId="237">
    <w:nsid w:val="1565AC99"/>
    <w:multiLevelType w:val="hybridMultilevel"/>
    <w:lvl w:ilvl="0">
      <w:lvlJc w:val="left"/>
      <w:lvlText w:val="(%1)"/>
      <w:numFmt w:val="lowerLetter"/>
      <w:start w:val="61"/>
    </w:lvl>
    <w:lvl w:ilvl="1">
      <w:lvlJc w:val="left"/>
      <w:lvlText w:val="%2"/>
      <w:numFmt w:val="lowerLetter"/>
      <w:start w:val="1"/>
    </w:lvl>
  </w:abstractNum>
  <w:abstractNum w:abstractNumId="238">
    <w:nsid w:val="19FB2650"/>
    <w:multiLevelType w:val="hybridMultilevel"/>
    <w:lvl w:ilvl="0">
      <w:lvlJc w:val="left"/>
      <w:lvlText w:val="(%1)"/>
      <w:numFmt w:val="lowerLetter"/>
      <w:start w:val="22"/>
    </w:lvl>
    <w:lvl w:ilvl="1">
      <w:lvlJc w:val="left"/>
      <w:lvlText w:val="%2"/>
      <w:numFmt w:val="lowerLetter"/>
      <w:start w:val="1"/>
    </w:lvl>
  </w:abstractNum>
  <w:abstractNum w:abstractNumId="239">
    <w:nsid w:val="5024DE5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240">
    <w:nsid w:val="168EFE17"/>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1"/>
    </w:lvl>
  </w:abstractNum>
  <w:abstractNum w:abstractNumId="241">
    <w:nsid w:val="1036B29F"/>
    <w:multiLevelType w:val="hybridMultilevel"/>
    <w:lvl w:ilvl="0">
      <w:lvlJc w:val="left"/>
      <w:lvlText w:val="%1"/>
      <w:numFmt w:val="lowerLetter"/>
      <w:start w:val="1"/>
    </w:lvl>
    <w:lvl w:ilvl="1">
      <w:lvlJc w:val="left"/>
      <w:lvlText w:val="(%2)"/>
      <w:numFmt w:val="lowerLetter"/>
      <w:start w:val="61"/>
    </w:lvl>
    <w:lvl w:ilvl="2">
      <w:lvlJc w:val="left"/>
      <w:lvlText w:val="%3"/>
      <w:numFmt w:val="lowerLetter"/>
      <w:start w:val="1"/>
    </w:lvl>
  </w:abstractNum>
  <w:abstractNum w:abstractNumId="242">
    <w:nsid w:val="1D206B8E"/>
    <w:multiLevelType w:val="hybridMultilevel"/>
    <w:lvl w:ilvl="0">
      <w:lvlJc w:val="left"/>
      <w:lvlText w:val="%1"/>
      <w:numFmt w:val="lowerLetter"/>
      <w:start w:val="1"/>
    </w:lvl>
    <w:lvl w:ilvl="1">
      <w:lvlJc w:val="left"/>
      <w:lvlText w:val="(%2)"/>
      <w:numFmt w:val="lowerLetter"/>
      <w:start w:val="3"/>
    </w:lvl>
  </w:abstractNum>
  <w:abstractNum w:abstractNumId="243">
    <w:nsid w:val="7934D3D4"/>
    <w:multiLevelType w:val="hybridMultilevel"/>
    <w:lvl w:ilvl="0">
      <w:lvlJc w:val="left"/>
      <w:lvlText w:val="(%1)"/>
      <w:numFmt w:val="lowerLetter"/>
      <w:start w:val="61"/>
    </w:lvl>
    <w:lvl w:ilvl="1">
      <w:lvlJc w:val="left"/>
      <w:lvlText w:val="%2"/>
      <w:numFmt w:val="lowerLetter"/>
      <w:start w:val="1"/>
    </w:lvl>
  </w:abstractNum>
  <w:abstractNum w:abstractNumId="244">
    <w:nsid w:val="1C65E98"/>
    <w:multiLevelType w:val="hybridMultilevel"/>
    <w:lvl w:ilvl="0">
      <w:lvlJc w:val="left"/>
      <w:lvlText w:val="(%1)"/>
      <w:numFmt w:val="lowerLetter"/>
      <w:start w:val="4"/>
    </w:lvl>
  </w:abstractNum>
  <w:abstractNum w:abstractNumId="245">
    <w:nsid w:val="1495E50A"/>
    <w:multiLevelType w:val="hybridMultilevel"/>
    <w:lvl w:ilvl="0">
      <w:lvlJc w:val="left"/>
      <w:lvlText w:val="%1"/>
      <w:numFmt w:val="lowerLetter"/>
      <w:start w:val="1"/>
    </w:lvl>
    <w:lvl w:ilvl="1">
      <w:lvlJc w:val="left"/>
      <w:lvlText w:val="(%2)"/>
      <w:numFmt w:val="lowerLetter"/>
      <w:start w:val="5"/>
    </w:lvl>
  </w:abstractNum>
  <w:abstractNum w:abstractNumId="246">
    <w:nsid w:val="F5BCF61"/>
    <w:multiLevelType w:val="hybridMultilevel"/>
    <w:lvl w:ilvl="0">
      <w:lvlJc w:val="left"/>
      <w:lvlText w:val="(%1)"/>
      <w:numFmt w:val="lowerLetter"/>
      <w:start w:val="9"/>
    </w:lvl>
    <w:lvl w:ilvl="1">
      <w:lvlJc w:val="left"/>
      <w:lvlText w:val="%2"/>
      <w:numFmt w:val="lowerLetter"/>
      <w:start w:val="1"/>
    </w:lvl>
  </w:abstractNum>
  <w:abstractNum w:abstractNumId="247">
    <w:nsid w:val="3B1DD403"/>
    <w:multiLevelType w:val="hybridMultilevel"/>
    <w:lvl w:ilvl="0">
      <w:lvlJc w:val="left"/>
      <w:lvlText w:val="%1"/>
      <w:numFmt w:val="lowerLetter"/>
      <w:start w:val="1"/>
    </w:lvl>
    <w:lvl w:ilvl="1">
      <w:lvlJc w:val="left"/>
      <w:lvlText w:val="(%2)"/>
      <w:numFmt w:val="lowerLetter"/>
      <w:start w:val="1"/>
    </w:lvl>
  </w:abstractNum>
  <w:abstractNum w:abstractNumId="248">
    <w:nsid w:val="530386D1"/>
    <w:multiLevelType w:val="hybridMultilevel"/>
    <w:lvl w:ilvl="0">
      <w:lvlJc w:val="left"/>
      <w:lvlText w:val="(%1)"/>
      <w:numFmt w:val="lowerLetter"/>
      <w:start w:val="61"/>
    </w:lvl>
    <w:lvl w:ilvl="1">
      <w:lvlJc w:val="left"/>
      <w:lvlText w:val="(%2)"/>
      <w:numFmt w:val="lowerLetter"/>
      <w:start w:val="4"/>
    </w:lvl>
  </w:abstractNum>
  <w:abstractNum w:abstractNumId="249">
    <w:nsid w:val="7525F2BC"/>
    <w:multiLevelType w:val="hybridMultilevel"/>
    <w:lvl w:ilvl="0">
      <w:lvlJc w:val="left"/>
      <w:lvlText w:val="(%1)"/>
      <w:numFmt w:val="lowerLetter"/>
      <w:start w:val="6"/>
    </w:lvl>
  </w:abstractNum>
  <w:abstractNum w:abstractNumId="250">
    <w:nsid w:val="CE8E1A7"/>
    <w:multiLevelType w:val="hybridMultilevel"/>
    <w:lvl w:ilvl="0">
      <w:lvlJc w:val="left"/>
      <w:lvlText w:val="(%1)"/>
      <w:numFmt w:val="upperLetter"/>
      <w:start w:val="3"/>
    </w:lvl>
    <w:lvl w:ilvl="1">
      <w:lvlJc w:val="left"/>
      <w:lvlText w:val="(%2)"/>
      <w:numFmt w:val="lowerLetter"/>
      <w:start w:val="10"/>
    </w:lvl>
  </w:abstractNum>
  <w:abstractNum w:abstractNumId="251">
    <w:nsid w:val="4E9EFB0D"/>
    <w:multiLevelType w:val="hybridMultilevel"/>
    <w:lvl w:ilvl="0">
      <w:lvlJc w:val="left"/>
      <w:lvlText w:val="(%1)"/>
      <w:numFmt w:val="upperLetter"/>
      <w:start w:val="1"/>
    </w:lvl>
    <w:lvl w:ilvl="1">
      <w:lvlJc w:val="left"/>
      <w:lvlText w:val="%2"/>
      <w:numFmt w:val="lowerLetter"/>
      <w:start w:val="1"/>
    </w:lvl>
  </w:abstractNum>
  <w:abstractNum w:abstractNumId="252">
    <w:nsid w:val="90802BE"/>
    <w:multiLevelType w:val="hybridMultilevel"/>
    <w:lvl w:ilvl="0">
      <w:lvlJc w:val="left"/>
      <w:lvlText w:val="(%1)"/>
      <w:numFmt w:val="lowerLetter"/>
      <w:start w:val="11"/>
    </w:lvl>
    <w:lvl w:ilvl="1">
      <w:lvlJc w:val="left"/>
      <w:lvlText w:val="(%2)"/>
      <w:numFmt w:val="lowerLetter"/>
      <w:start w:val="12"/>
    </w:lvl>
    <w:lvl w:ilvl="2">
      <w:lvlJc w:val="left"/>
      <w:lvlText w:val="(%3)"/>
      <w:numFmt w:val="lowerRoman"/>
      <w:start w:val="1"/>
    </w:lvl>
    <w:lvl w:ilvl="3">
      <w:lvlJc w:val="left"/>
      <w:lvlText w:val="%4"/>
      <w:numFmt w:val="lowerLetter"/>
      <w:start w:val="1"/>
    </w:lvl>
  </w:abstractNum>
  <w:abstractNum w:abstractNumId="253">
    <w:nsid w:val="3266459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lvl w:ilvl="3">
      <w:lvlJc w:val="left"/>
      <w:lvlText w:val="%4"/>
      <w:numFmt w:val="lowerLetter"/>
      <w:start w:val="1"/>
    </w:lvl>
  </w:abstractNum>
  <w:abstractNum w:abstractNumId="254">
    <w:nsid w:val="3F8B0CBF"/>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lvl w:ilvl="3">
      <w:lvlJc w:val="left"/>
      <w:lvlText w:val="%4"/>
      <w:numFmt w:val="lowerLetter"/>
      <w:start w:val="1"/>
    </w:lvl>
  </w:abstractNum>
  <w:abstractNum w:abstractNumId="255">
    <w:nsid w:val="37E203AB"/>
    <w:multiLevelType w:val="hybridMultilevel"/>
    <w:lvl w:ilvl="0">
      <w:lvlJc w:val="left"/>
      <w:lvlText w:val="%1"/>
      <w:numFmt w:val="lowerLetter"/>
      <w:start w:val="1"/>
    </w:lvl>
    <w:lvl w:ilvl="1">
      <w:lvlJc w:val="left"/>
      <w:lvlText w:val="(%2)"/>
      <w:numFmt w:val="lowerLetter"/>
      <w:start w:val="61"/>
    </w:lvl>
    <w:lvl w:ilvl="2">
      <w:lvlJc w:val="left"/>
      <w:lvlText w:val="%3"/>
      <w:numFmt w:val="lowerLetter"/>
      <w:start w:val="1"/>
    </w:lvl>
    <w:lvl w:ilvl="3">
      <w:lvlJc w:val="left"/>
      <w:lvlText w:val="%4"/>
      <w:numFmt w:val="lowerLetter"/>
      <w:start w:val="1"/>
    </w:lvl>
  </w:abstractNum>
  <w:abstractNum w:abstractNumId="256">
    <w:nsid w:val="2586D60E"/>
    <w:multiLevelType w:val="hybridMultilevel"/>
    <w:lvl w:ilvl="0">
      <w:lvlJc w:val="left"/>
      <w:lvlText w:val="(%1)"/>
      <w:numFmt w:val="lowerRoman"/>
      <w:start w:val="4"/>
    </w:lvl>
  </w:abstractNum>
  <w:abstractNum w:abstractNumId="257">
    <w:nsid w:val="1F3DA4D5"/>
    <w:multiLevelType w:val="hybridMultilevel"/>
    <w:lvl w:ilvl="0">
      <w:lvlJc w:val="left"/>
      <w:lvlText w:val="(%1)"/>
      <w:numFmt w:val="lowerRoman"/>
      <w:start w:val="5"/>
    </w:lvl>
  </w:abstractNum>
  <w:abstractNum w:abstractNumId="258">
    <w:nsid w:val="74C93698"/>
    <w:multiLevelType w:val="hybridMultilevel"/>
    <w:lvl w:ilvl="0">
      <w:lvlJc w:val="left"/>
      <w:lvlText w:val="(%1)"/>
      <w:numFmt w:val="lowerRoman"/>
      <w:start w:val="1"/>
    </w:lvl>
  </w:abstractNum>
  <w:abstractNum w:abstractNumId="259">
    <w:nsid w:val="48781401"/>
    <w:multiLevelType w:val="hybridMultilevel"/>
    <w:lvl w:ilvl="0">
      <w:lvlJc w:val="left"/>
      <w:lvlText w:val="(%1)"/>
      <w:numFmt w:val="lowerLetter"/>
      <w:start w:val="1"/>
    </w:lvl>
  </w:abstractNum>
  <w:abstractNum w:abstractNumId="260">
    <w:nsid w:val="186928D6"/>
    <w:multiLevelType w:val="hybridMultilevel"/>
    <w:lvl w:ilvl="0">
      <w:lvlJc w:val="left"/>
      <w:lvlText w:val="%1"/>
      <w:numFmt w:val="lowerLetter"/>
      <w:start w:val="1"/>
    </w:lvl>
    <w:lvl w:ilvl="1">
      <w:lvlJc w:val="left"/>
      <w:lvlText w:val="(%2)"/>
      <w:numFmt w:val="lowerLetter"/>
      <w:start w:val="9"/>
    </w:lvl>
  </w:abstractNum>
  <w:abstractNum w:abstractNumId="261">
    <w:nsid w:val="47195E5"/>
    <w:multiLevelType w:val="hybridMultilevel"/>
    <w:lvl w:ilvl="0">
      <w:lvlJc w:val="left"/>
      <w:lvlText w:val="(%1)"/>
      <w:numFmt w:val="lowerLetter"/>
      <w:start w:val="35"/>
    </w:lvl>
    <w:lvl w:ilvl="1">
      <w:lvlJc w:val="left"/>
      <w:lvlText w:val="(%2)"/>
      <w:numFmt w:val="lowerLetter"/>
      <w:start w:val="11"/>
    </w:lvl>
  </w:abstractNum>
  <w:abstractNum w:abstractNumId="262">
    <w:nsid w:val="3746A5F2"/>
    <w:multiLevelType w:val="hybridMultilevel"/>
    <w:lvl w:ilvl="0">
      <w:lvlJc w:val="left"/>
      <w:lvlText w:val="(%1)"/>
      <w:numFmt w:val="lowerLetter"/>
      <w:start w:val="9"/>
    </w:lvl>
    <w:lvl w:ilvl="1">
      <w:lvlJc w:val="left"/>
      <w:lvlText w:val="(%2)"/>
      <w:numFmt w:val="lowerLetter"/>
      <w:start w:val="14"/>
    </w:lvl>
  </w:abstractNum>
  <w:abstractNum w:abstractNumId="263">
    <w:nsid w:val="682DFED6"/>
    <w:multiLevelType w:val="hybridMultilevel"/>
    <w:lvl w:ilvl="0">
      <w:lvlJc w:val="left"/>
      <w:lvlText w:val="(%1)"/>
      <w:numFmt w:val="lowerLetter"/>
      <w:start w:val="35"/>
    </w:lvl>
    <w:lvl w:ilvl="1">
      <w:lvlJc w:val="left"/>
      <w:lvlText w:val="(%2)"/>
      <w:numFmt w:val="lowerLetter"/>
      <w:start w:val="16"/>
    </w:lvl>
  </w:abstractNum>
  <w:abstractNum w:abstractNumId="264">
    <w:nsid w:val="606ED7F6"/>
    <w:multiLevelType w:val="hybridMultilevel"/>
    <w:lvl w:ilvl="0">
      <w:lvlJc w:val="left"/>
      <w:lvlText w:val="(%1)"/>
      <w:numFmt w:val="lowerLetter"/>
      <w:start w:val="1"/>
    </w:lvl>
    <w:lvl w:ilvl="1">
      <w:lvlJc w:val="left"/>
      <w:lvlText w:val="(%2)"/>
      <w:numFmt w:val="lowerRoman"/>
      <w:start w:val="2"/>
    </w:lvl>
  </w:abstractNum>
  <w:abstractNum w:abstractNumId="265">
    <w:nsid w:val="2D9DF57D"/>
    <w:multiLevelType w:val="hybridMultilevel"/>
    <w:lvl w:ilvl="0">
      <w:lvlJc w:val="left"/>
      <w:lvlText w:val="(%1)"/>
      <w:numFmt w:val="lowerLetter"/>
      <w:start w:val="8"/>
    </w:lvl>
  </w:abstractNum>
  <w:abstractNum w:abstractNumId="266">
    <w:nsid w:val="7FBD7A3E"/>
    <w:multiLevelType w:val="hybridMultilevel"/>
    <w:lvl w:ilvl="0">
      <w:lvlJc w:val="left"/>
      <w:lvlText w:val="(%1)"/>
      <w:numFmt w:val="lowerLetter"/>
      <w:start w:val="9"/>
    </w:lvl>
  </w:abstractNum>
  <w:abstractNum w:abstractNumId="267">
    <w:nsid w:val="490B7C5"/>
    <w:multiLevelType w:val="hybridMultilevel"/>
    <w:lvl w:ilvl="0">
      <w:lvlJc w:val="left"/>
      <w:lvlText w:val="%1"/>
      <w:numFmt w:val="lowerLetter"/>
      <w:start w:val="1"/>
    </w:lvl>
    <w:lvl w:ilvl="1">
      <w:lvlJc w:val="left"/>
      <w:lvlText w:val="(%2)"/>
      <w:numFmt w:val="lowerLetter"/>
      <w:start w:val="1"/>
    </w:lvl>
  </w:abstractNum>
  <w:abstractNum w:abstractNumId="268">
    <w:nsid w:val="4303A216"/>
    <w:multiLevelType w:val="hybridMultilevel"/>
    <w:lvl w:ilvl="0">
      <w:lvlJc w:val="left"/>
      <w:lvlText w:val="(%1)"/>
      <w:numFmt w:val="lowerLetter"/>
      <w:start w:val="9"/>
    </w:lvl>
    <w:lvl w:ilvl="1">
      <w:lvlJc w:val="left"/>
      <w:lvlText w:val="(%2)"/>
      <w:numFmt w:val="lowerLetter"/>
      <w:start w:val="8"/>
    </w:lvl>
  </w:abstractNum>
  <w:abstractNum w:abstractNumId="269">
    <w:nsid w:val="19B8A08E"/>
    <w:multiLevelType w:val="hybridMultilevel"/>
    <w:lvl w:ilvl="0">
      <w:lvlJc w:val="left"/>
      <w:lvlText w:val="(%1)"/>
      <w:numFmt w:val="lowerLetter"/>
      <w:start w:val="1"/>
    </w:lvl>
  </w:abstractNum>
  <w:abstractNum w:abstractNumId="270">
    <w:nsid w:val="54B59621"/>
    <w:multiLevelType w:val="hybridMultilevel"/>
    <w:lvl w:ilvl="0">
      <w:lvlJc w:val="left"/>
      <w:lvlText w:val="(%1)"/>
      <w:numFmt w:val="lowerLetter"/>
      <w:start w:val="4"/>
    </w:lvl>
  </w:abstractNum>
  <w:abstractNum w:abstractNumId="271">
    <w:nsid w:val="5992A02E"/>
    <w:multiLevelType w:val="hybridMultilevel"/>
    <w:lvl w:ilvl="0">
      <w:lvlJc w:val="left"/>
      <w:lvlText w:val="(%1)"/>
      <w:numFmt w:val="lowerLetter"/>
      <w:start w:val="5"/>
    </w:lvl>
  </w:abstractNum>
  <w:abstractNum w:abstractNumId="272">
    <w:nsid w:val="29EF532D"/>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273">
    <w:nsid w:val="71D601AF"/>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abstractNum>
  <w:abstractNum w:abstractNumId="274">
    <w:nsid w:val="52C77402"/>
    <w:multiLevelType w:val="hybridMultilevel"/>
    <w:lvl w:ilvl="0">
      <w:lvlJc w:val="left"/>
      <w:lvlText w:val="(%1)"/>
      <w:numFmt w:val="lowerLetter"/>
      <w:start w:val="2"/>
    </w:lvl>
    <w:lvl w:ilvl="1">
      <w:lvlJc w:val="left"/>
      <w:lvlText w:val="(%2)"/>
      <w:numFmt w:val="lowerRoman"/>
      <w:start w:val="1"/>
    </w:lvl>
  </w:abstractNum>
  <w:abstractNum w:abstractNumId="275">
    <w:nsid w:val="2BB5B1C6"/>
    <w:multiLevelType w:val="hybridMultilevel"/>
    <w:lvl w:ilvl="0">
      <w:lvlJc w:val="left"/>
      <w:lvlText w:val="(%1)"/>
      <w:numFmt w:val="lowerRoman"/>
      <w:start w:val="3"/>
    </w:lvl>
  </w:abstractNum>
  <w:abstractNum w:abstractNumId="276">
    <w:nsid w:val="66BE6B9"/>
    <w:multiLevelType w:val="hybridMultilevel"/>
    <w:lvl w:ilvl="0">
      <w:lvlJc w:val="left"/>
      <w:lvlText w:val="(%1)"/>
      <w:numFmt w:val="lowerLetter"/>
      <w:start w:val="1"/>
    </w:lvl>
  </w:abstractNum>
  <w:abstractNum w:abstractNumId="277">
    <w:nsid w:val="6223436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278">
    <w:nsid w:val="66D385C9"/>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9"/>
    </w:lvl>
  </w:abstractNum>
  <w:abstractNum w:abstractNumId="279">
    <w:nsid w:val="596F6D8A"/>
    <w:multiLevelType w:val="hybridMultilevel"/>
    <w:lvl w:ilvl="0">
      <w:lvlJc w:val="left"/>
      <w:lvlText w:val="(%1)"/>
      <w:numFmt w:val="lowerRoman"/>
      <w:start w:val="2"/>
    </w:lvl>
  </w:abstractNum>
  <w:abstractNum w:abstractNumId="280">
    <w:nsid w:val="5749361F"/>
    <w:multiLevelType w:val="hybridMultilevel"/>
    <w:lvl w:ilvl="0">
      <w:lvlJc w:val="left"/>
      <w:lvlText w:val="(%1)"/>
      <w:numFmt w:val="lowerLetter"/>
      <w:start w:val="3"/>
    </w:lvl>
  </w:abstractNum>
  <w:abstractNum w:abstractNumId="281">
    <w:nsid w:val="73BC6770"/>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abstractNum>
  <w:abstractNum w:abstractNumId="282">
    <w:nsid w:val="280E6897"/>
    <w:multiLevelType w:val="hybridMultilevel"/>
    <w:lvl w:ilvl="0">
      <w:lvlJc w:val="left"/>
      <w:lvlText w:val="%1"/>
      <w:numFmt w:val="upperLetter"/>
      <w:start w:val="1"/>
    </w:lvl>
    <w:lvl w:ilvl="1">
      <w:lvlJc w:val="left"/>
      <w:lvlText w:val="(%2)"/>
      <w:numFmt w:val="lowerRoman"/>
      <w:start w:val="4"/>
    </w:lvl>
    <w:lvl w:ilvl="2">
      <w:lvlJc w:val="left"/>
      <w:lvlText w:val="(%3)"/>
      <w:numFmt w:val="lowerLetter"/>
      <w:start w:val="2"/>
    </w:lvl>
  </w:abstractNum>
  <w:abstractNum w:abstractNumId="283">
    <w:nsid w:val="605138DE"/>
    <w:multiLevelType w:val="hybridMultilevel"/>
    <w:lvl w:ilvl="0">
      <w:lvlJc w:val="left"/>
      <w:lvlText w:val="(%1)"/>
      <w:numFmt w:val="upperLetter"/>
      <w:start w:val="2"/>
    </w:lvl>
    <w:lvl w:ilvl="1">
      <w:lvlJc w:val="left"/>
      <w:lvlText w:val="%2"/>
      <w:numFmt w:val="lowerRoman"/>
      <w:start w:val="1"/>
    </w:lvl>
    <w:lvl w:ilvl="2">
      <w:lvlJc w:val="left"/>
      <w:lvlText w:val="%3"/>
      <w:numFmt w:val="lowerLetter"/>
      <w:start w:val="1"/>
    </w:lvl>
  </w:abstractNum>
  <w:abstractNum w:abstractNumId="284">
    <w:nsid w:val="2622AD0C"/>
    <w:multiLevelType w:val="hybridMultilevel"/>
    <w:lvl w:ilvl="0">
      <w:lvlJc w:val="left"/>
      <w:lvlText w:val="(%1)"/>
      <w:numFmt w:val="lowerLetter"/>
      <w:start w:val="1"/>
    </w:lvl>
  </w:abstractNum>
  <w:abstractNum w:abstractNumId="285">
    <w:nsid w:val="67997556"/>
    <w:multiLevelType w:val="hybridMultilevel"/>
    <w:lvl w:ilvl="0">
      <w:lvlJc w:val="left"/>
      <w:lvlText w:val="(%1)"/>
      <w:numFmt w:val="lowerLetter"/>
      <w:start w:val="1"/>
    </w:lvl>
  </w:abstractNum>
  <w:abstractNum w:abstractNumId="286">
    <w:nsid w:val="18333C89"/>
    <w:multiLevelType w:val="hybridMultilevel"/>
    <w:lvl w:ilvl="0">
      <w:lvlJc w:val="left"/>
      <w:lvlText w:val="(%1)"/>
      <w:numFmt w:val="lowerRoman"/>
      <w:start w:val="1"/>
    </w:lvl>
  </w:abstractNum>
  <w:abstractNum w:abstractNumId="287">
    <w:nsid w:val="4BA9831A"/>
    <w:multiLevelType w:val="hybridMultilevel"/>
    <w:lvl w:ilvl="0">
      <w:lvlJc w:val="left"/>
      <w:lvlText w:val="(%1)"/>
      <w:numFmt w:val="lowerRoman"/>
      <w:start w:val="2"/>
    </w:lvl>
  </w:abstractNum>
  <w:abstractNum w:abstractNumId="288">
    <w:nsid w:val="6D71A2B"/>
    <w:multiLevelType w:val="hybridMultilevel"/>
    <w:lvl w:ilvl="0">
      <w:lvlJc w:val="left"/>
      <w:lvlText w:val="(%1)"/>
      <w:numFmt w:val="lowerLetter"/>
      <w:start w:val="1"/>
    </w:lvl>
  </w:abstractNum>
  <w:abstractNum w:abstractNumId="289">
    <w:nsid w:val="CFC7321"/>
    <w:multiLevelType w:val="hybridMultilevel"/>
    <w:lvl w:ilvl="0">
      <w:lvlJc w:val="left"/>
      <w:lvlText w:val="%1"/>
      <w:numFmt w:val="lowerRoman"/>
      <w:start w:val="1"/>
    </w:lvl>
    <w:lvl w:ilvl="1">
      <w:lvlJc w:val="left"/>
      <w:lvlText w:val="(%2)"/>
      <w:numFmt w:val="lowerLetter"/>
      <w:start w:val="6"/>
    </w:lvl>
  </w:abstractNum>
  <w:abstractNum w:abstractNumId="290">
    <w:nsid w:val="1421971B"/>
    <w:multiLevelType w:val="hybridMultilevel"/>
    <w:lvl w:ilvl="0">
      <w:lvlJc w:val="left"/>
      <w:lvlText w:val="(%1)"/>
      <w:numFmt w:val="lowerRoman"/>
      <w:start w:val="4"/>
    </w:lvl>
    <w:lvl w:ilvl="1">
      <w:lvlJc w:val="left"/>
      <w:lvlText w:val="%2"/>
      <w:numFmt w:val="lowerLetter"/>
      <w:start w:val="1"/>
    </w:lvl>
  </w:abstractNum>
  <w:abstractNum w:abstractNumId="291">
    <w:nsid w:val="1F404301"/>
    <w:multiLevelType w:val="hybridMultilevel"/>
    <w:lvl w:ilvl="0">
      <w:lvlJc w:val="left"/>
      <w:lvlText w:val="(%1)"/>
      <w:numFmt w:val="lowerRoman"/>
      <w:start w:val="6"/>
    </w:lvl>
    <w:lvl w:ilvl="1">
      <w:lvlJc w:val="left"/>
      <w:lvlText w:val="(%2)"/>
      <w:numFmt w:val="lowerLetter"/>
      <w:start w:val="10"/>
    </w:lvl>
  </w:abstractNum>
  <w:abstractNum w:abstractNumId="292">
    <w:nsid w:val="116E0907"/>
    <w:multiLevelType w:val="hybridMultilevel"/>
    <w:lvl w:ilvl="0">
      <w:lvlJc w:val="left"/>
      <w:lvlText w:val="(%1)"/>
      <w:numFmt w:val="lowerLetter"/>
      <w:start w:val="13"/>
    </w:lvl>
  </w:abstractNum>
  <w:abstractNum w:abstractNumId="293">
    <w:nsid w:val="4B683D0D"/>
    <w:multiLevelType w:val="hybridMultilevel"/>
    <w:lvl w:ilvl="0">
      <w:lvlJc w:val="left"/>
      <w:lvlText w:val="(%1)"/>
      <w:numFmt w:val="lowerLetter"/>
      <w:start w:val="1"/>
    </w:lvl>
  </w:abstractNum>
  <w:abstractNum w:abstractNumId="294">
    <w:nsid w:val="76E41D8"/>
    <w:multiLevelType w:val="hybridMultilevel"/>
    <w:lvl w:ilvl="0">
      <w:lvlJc w:val="left"/>
      <w:lvlText w:val="(%1)"/>
      <w:numFmt w:val="lowerLetter"/>
      <w:start w:val="3"/>
    </w:lvl>
  </w:abstractNum>
  <w:abstractNum w:abstractNumId="295">
    <w:nsid w:val="71DCE0FD"/>
    <w:multiLevelType w:val="hybridMultilevel"/>
    <w:lvl w:ilvl="0">
      <w:lvlJc w:val="left"/>
      <w:lvlText w:val="(%1)"/>
      <w:numFmt w:val="lowerLetter"/>
      <w:start w:val="1"/>
    </w:lvl>
  </w:abstractNum>
  <w:abstractNum w:abstractNumId="296">
    <w:nsid w:val="7906328B"/>
    <w:multiLevelType w:val="hybridMultilevel"/>
    <w:lvl w:ilvl="0">
      <w:lvlJc w:val="left"/>
      <w:lvlText w:val="(%1)"/>
      <w:numFmt w:val="lowerLetter"/>
      <w:start w:val="1"/>
    </w:lvl>
  </w:abstractNum>
  <w:abstractNum w:abstractNumId="297">
    <w:nsid w:val="72BBC16"/>
    <w:multiLevelType w:val="hybridMultilevel"/>
    <w:lvl w:ilvl="0">
      <w:lvlJc w:val="left"/>
      <w:lvlText w:val="(%1)"/>
      <w:numFmt w:val="lowerLetter"/>
      <w:start w:val="2"/>
    </w:lvl>
  </w:abstractNum>
  <w:abstractNum w:abstractNumId="298">
    <w:nsid w:val="766D98C2"/>
    <w:multiLevelType w:val="hybridMultilevel"/>
    <w:lvl w:ilvl="0">
      <w:lvlJc w:val="left"/>
      <w:lvlText w:val="(%1)"/>
      <w:numFmt w:val="decimal"/>
      <w:start w:val="3"/>
    </w:lvl>
  </w:abstractNum>
  <w:abstractNum w:abstractNumId="299">
    <w:nsid w:val="3C09D4A1"/>
    <w:multiLevelType w:val="hybridMultilevel"/>
    <w:lvl w:ilvl="0">
      <w:lvlJc w:val="left"/>
      <w:lvlText w:val="(%1)"/>
      <w:numFmt w:val="lowerLetter"/>
      <w:start w:val="1"/>
    </w:lvl>
  </w:abstractNum>
  <w:abstractNum w:abstractNumId="300">
    <w:nsid w:val="20E45CA4"/>
    <w:multiLevelType w:val="hybridMultilevel"/>
    <w:lvl w:ilvl="0">
      <w:lvlJc w:val="left"/>
      <w:lvlText w:val="(%1)"/>
      <w:numFmt w:val="lowerLetter"/>
      <w:start w:val="1"/>
    </w:lvl>
  </w:abstractNum>
  <w:abstractNum w:abstractNumId="301">
    <w:nsid w:val="4B232EE3"/>
    <w:multiLevelType w:val="hybridMultilevel"/>
    <w:lvl w:ilvl="0">
      <w:lvlJc w:val="left"/>
      <w:lvlText w:val="(%1)"/>
      <w:numFmt w:val="lowerLetter"/>
      <w:start w:val="1"/>
    </w:lvl>
  </w:abstractNum>
  <w:abstractNum w:abstractNumId="302">
    <w:nsid w:val="159C74CF"/>
    <w:multiLevelType w:val="hybridMultilevel"/>
    <w:lvl w:ilvl="0">
      <w:lvlJc w:val="left"/>
      <w:lvlText w:val="(%1)"/>
      <w:numFmt w:val="lowerLetter"/>
      <w:start w:val="1"/>
    </w:lvl>
    <w:lvl w:ilvl="1">
      <w:lvlJc w:val="left"/>
      <w:lvlText w:val="(%2)"/>
      <w:numFmt w:val="lowerRoman"/>
      <w:start w:val="1"/>
    </w:lvl>
  </w:abstractNum>
  <w:abstractNum w:abstractNumId="303">
    <w:nsid w:val="4AD3AFD2"/>
    <w:multiLevelType w:val="hybridMultilevel"/>
    <w:lvl w:ilvl="0">
      <w:lvlJc w:val="left"/>
      <w:lvlText w:val="(%1)"/>
      <w:numFmt w:val="lowerLetter"/>
      <w:start w:val="3"/>
    </w:lvl>
  </w:abstractNum>
  <w:abstractNum w:abstractNumId="304">
    <w:nsid w:val="3CF93092"/>
    <w:multiLevelType w:val="hybridMultilevel"/>
    <w:lvl w:ilvl="0">
      <w:lvlJc w:val="left"/>
      <w:lvlText w:val="%1"/>
      <w:numFmt w:val="lowerLetter"/>
      <w:start w:val="1"/>
    </w:lvl>
    <w:lvl w:ilvl="1">
      <w:lvlJc w:val="left"/>
      <w:lvlText w:val="(%2)"/>
      <w:numFmt w:val="lowerLetter"/>
      <w:start w:val="1"/>
    </w:lvl>
  </w:abstractNum>
  <w:abstractNum w:abstractNumId="305">
    <w:nsid w:val="6863E8D2"/>
    <w:multiLevelType w:val="hybridMultilevel"/>
    <w:lvl w:ilvl="0">
      <w:lvlJc w:val="left"/>
      <w:lvlText w:val="(%1)"/>
      <w:numFmt w:val="lowerLetter"/>
      <w:start w:val="4"/>
    </w:lvl>
    <w:lvl w:ilvl="1">
      <w:lvlJc w:val="left"/>
      <w:lvlText w:val="(%2)"/>
      <w:numFmt w:val="lowerLetter"/>
      <w:start w:val="3"/>
    </w:lvl>
  </w:abstractNum>
  <w:abstractNum w:abstractNumId="306">
    <w:nsid w:val="76896198"/>
    <w:multiLevelType w:val="hybridMultilevel"/>
    <w:lvl w:ilvl="0">
      <w:lvlJc w:val="left"/>
      <w:lvlText w:val="(%1)"/>
      <w:numFmt w:val="lowerLetter"/>
      <w:start w:val="4"/>
    </w:lvl>
  </w:abstractNum>
  <w:abstractNum w:abstractNumId="307">
    <w:nsid w:val="4365174B"/>
    <w:multiLevelType w:val="hybridMultilevel"/>
    <w:lvl w:ilvl="0">
      <w:lvlJc w:val="left"/>
      <w:lvlText w:val="(%1)"/>
      <w:numFmt w:val="lowerLetter"/>
      <w:start w:val="1"/>
    </w:lvl>
    <w:lvl w:ilvl="1">
      <w:lvlJc w:val="left"/>
      <w:lvlText w:val="(%2)"/>
      <w:numFmt w:val="lowerRoman"/>
      <w:start w:val="1"/>
    </w:lvl>
  </w:abstractNum>
  <w:abstractNum w:abstractNumId="308">
    <w:nsid w:val="4A872C35"/>
    <w:multiLevelType w:val="hybridMultilevel"/>
    <w:lvl w:ilvl="0">
      <w:lvlJc w:val="left"/>
      <w:lvlText w:val="(%1)"/>
      <w:numFmt w:val="lowerLetter"/>
      <w:start w:val="2"/>
    </w:lvl>
  </w:abstractNum>
  <w:abstractNum w:abstractNumId="309">
    <w:nsid w:val="5D5CE761"/>
    <w:multiLevelType w:val="hybridMultilevel"/>
    <w:lvl w:ilvl="0">
      <w:lvlJc w:val="left"/>
      <w:lvlText w:val="(%1)"/>
      <w:numFmt w:val="lowerLetter"/>
      <w:start w:val="1"/>
    </w:lvl>
  </w:abstractNum>
  <w:abstractNum w:abstractNumId="310">
    <w:nsid w:val="1CD484D5"/>
    <w:multiLevelType w:val="hybridMultilevel"/>
    <w:lvl w:ilvl="0">
      <w:lvlJc w:val="left"/>
      <w:lvlText w:val="%1"/>
      <w:numFmt w:val="lowerLetter"/>
      <w:start w:val="1"/>
    </w:lvl>
    <w:lvl w:ilvl="1">
      <w:lvlJc w:val="left"/>
      <w:lvlText w:val="(%2)"/>
      <w:numFmt w:val="lowerLetter"/>
      <w:start w:val="2"/>
    </w:lvl>
  </w:abstractNum>
  <w:abstractNum w:abstractNumId="311">
    <w:nsid w:val="21D06255"/>
    <w:multiLevelType w:val="hybridMultilevel"/>
    <w:lvl w:ilvl="0">
      <w:lvlJc w:val="left"/>
      <w:lvlText w:val="(%1)"/>
      <w:numFmt w:val="lowerLetter"/>
      <w:start w:val="35"/>
    </w:lvl>
    <w:lvl w:ilvl="1">
      <w:lvlJc w:val="left"/>
      <w:lvlText w:val="(%2)"/>
      <w:numFmt w:val="lowerLetter"/>
      <w:start w:val="3"/>
    </w:lvl>
  </w:abstractNum>
  <w:abstractNum w:abstractNumId="312">
    <w:nsid w:val="51194ED1"/>
    <w:multiLevelType w:val="hybridMultilevel"/>
    <w:lvl w:ilvl="0">
      <w:lvlJc w:val="left"/>
      <w:lvlText w:val="(%1)"/>
      <w:numFmt w:val="lowerLetter"/>
      <w:start w:val="6"/>
    </w:lvl>
  </w:abstractNum>
  <w:abstractNum w:abstractNumId="313">
    <w:nsid w:val="44E2ED6C"/>
    <w:multiLevelType w:val="hybridMultilevel"/>
    <w:lvl w:ilvl="0">
      <w:lvlJc w:val="left"/>
      <w:lvlText w:val="(%1)"/>
      <w:numFmt w:val="lowerLetter"/>
      <w:start w:val="1"/>
    </w:lvl>
  </w:abstractNum>
  <w:abstractNum w:abstractNumId="314">
    <w:nsid w:val="2219B33"/>
    <w:multiLevelType w:val="hybridMultilevel"/>
    <w:lvl w:ilvl="0">
      <w:lvlJc w:val="left"/>
      <w:lvlText w:val="(%1)"/>
      <w:numFmt w:val="lowerLetter"/>
      <w:start w:val="2"/>
    </w:lvl>
  </w:abstractNum>
  <w:abstractNum w:abstractNumId="315">
    <w:nsid w:val="773BFBDD"/>
    <w:multiLevelType w:val="hybridMultilevel"/>
    <w:lvl w:ilvl="0">
      <w:lvlJc w:val="left"/>
      <w:lvlText w:val="(%1)"/>
      <w:numFmt w:val="lowerLetter"/>
      <w:start w:val="3"/>
    </w:lvl>
    <w:lvl w:ilvl="1">
      <w:lvlJc w:val="left"/>
      <w:lvlText w:val="(%2)"/>
      <w:numFmt w:val="lowerRoman"/>
      <w:start w:val="1"/>
    </w:lvl>
  </w:abstractNum>
  <w:abstractNum w:abstractNumId="316">
    <w:nsid w:val="2C7C62C2"/>
    <w:multiLevelType w:val="hybridMultilevel"/>
    <w:lvl w:ilvl="0">
      <w:lvlJc w:val="left"/>
      <w:lvlText w:val="(%1)"/>
      <w:numFmt w:val="lowerLetter"/>
      <w:start w:val="6"/>
    </w:lvl>
  </w:abstractNum>
  <w:abstractNum w:abstractNumId="317">
    <w:nsid w:val="1A54D7BC"/>
    <w:multiLevelType w:val="hybridMultilevel"/>
    <w:lvl w:ilvl="0">
      <w:lvlJc w:val="left"/>
      <w:lvlText w:val="(%1)"/>
      <w:numFmt w:val="lowerLetter"/>
      <w:start w:val="1"/>
    </w:lvl>
  </w:abstractNum>
  <w:abstractNum w:abstractNumId="318">
    <w:nsid w:val="42E57EF7"/>
    <w:multiLevelType w:val="hybridMultilevel"/>
    <w:lvl w:ilvl="0">
      <w:lvlJc w:val="left"/>
      <w:lvlText w:val="(%1)"/>
      <w:numFmt w:val="lowerLetter"/>
      <w:start w:val="6"/>
    </w:lvl>
  </w:abstractNum>
  <w:abstractNum w:abstractNumId="319">
    <w:nsid w:val="33537CED"/>
    <w:multiLevelType w:val="hybridMultilevel"/>
    <w:lvl w:ilvl="0">
      <w:lvlJc w:val="left"/>
      <w:lvlText w:val="(%1)"/>
      <w:numFmt w:val="lowerRoman"/>
      <w:start w:val="8"/>
    </w:lvl>
  </w:abstractNum>
  <w:abstractNum w:abstractNumId="320">
    <w:nsid w:val="27514ADE"/>
    <w:multiLevelType w:val="hybridMultilevel"/>
    <w:lvl w:ilvl="0">
      <w:lvlJc w:val="left"/>
      <w:lvlText w:val="(%1)"/>
      <w:numFmt w:val="lowerLetter"/>
      <w:start w:val="1"/>
    </w:lvl>
  </w:abstractNum>
  <w:abstractNum w:abstractNumId="321">
    <w:nsid w:val="57071613"/>
    <w:multiLevelType w:val="hybridMultilevel"/>
    <w:lvl w:ilvl="0">
      <w:lvlJc w:val="left"/>
      <w:lvlText w:val="(%1)"/>
      <w:numFmt w:val="lowerRoman"/>
      <w:start w:val="2"/>
    </w:lvl>
  </w:abstractNum>
  <w:abstractNum w:abstractNumId="322">
    <w:nsid w:val="5293BFEF"/>
    <w:multiLevelType w:val="hybridMultilevel"/>
    <w:lvl w:ilvl="0">
      <w:lvlJc w:val="left"/>
      <w:lvlText w:val="(%1)"/>
      <w:numFmt w:val="lowerLetter"/>
      <w:start w:val="3"/>
    </w:lvl>
  </w:abstractNum>
  <w:abstractNum w:abstractNumId="323">
    <w:nsid w:val="38BF53E5"/>
    <w:multiLevelType w:val="hybridMultilevel"/>
    <w:lvl w:ilvl="0">
      <w:lvlJc w:val="left"/>
      <w:lvlText w:val="(%1)"/>
      <w:numFmt w:val="lowerLetter"/>
      <w:start w:val="1"/>
    </w:lvl>
  </w:abstractNum>
  <w:abstractNum w:abstractNumId="324">
    <w:nsid w:val="226F5320"/>
    <w:multiLevelType w:val="hybridMultilevel"/>
    <w:lvl w:ilvl="0">
      <w:lvlJc w:val="left"/>
      <w:lvlText w:val="(%1)"/>
      <w:numFmt w:val="lowerLetter"/>
      <w:start w:val="3"/>
    </w:lvl>
  </w:abstractNum>
  <w:abstractNum w:abstractNumId="325">
    <w:nsid w:val="5A0201C7"/>
    <w:multiLevelType w:val="hybridMultilevel"/>
    <w:lvl w:ilvl="0">
      <w:lvlJc w:val="left"/>
      <w:lvlText w:val="(%1)"/>
      <w:numFmt w:val="lowerLetter"/>
      <w:start w:val="4"/>
    </w:lvl>
  </w:abstractNum>
  <w:abstractNum w:abstractNumId="326">
    <w:nsid w:val="2A9C34E2"/>
    <w:multiLevelType w:val="hybridMultilevel"/>
    <w:lvl w:ilvl="0">
      <w:lvlJc w:val="left"/>
      <w:lvlText w:val="(%1)"/>
      <w:numFmt w:val="upperLetter"/>
      <w:start w:val="2"/>
    </w:lvl>
  </w:abstractNum>
  <w:abstractNum w:abstractNumId="327">
    <w:nsid w:val="1B7585AB"/>
    <w:multiLevelType w:val="hybridMultilevel"/>
    <w:lvl w:ilvl="0">
      <w:lvlJc w:val="left"/>
      <w:lvlText w:val="(%1)"/>
      <w:numFmt w:val="lowerLetter"/>
      <w:start w:val="1"/>
    </w:lvl>
  </w:abstractNum>
  <w:abstractNum w:abstractNumId="328">
    <w:nsid w:val="612DBDDD"/>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29">
    <w:nsid w:val="2109CDA4"/>
    <w:multiLevelType w:val="hybridMultilevel"/>
    <w:lvl w:ilvl="0">
      <w:lvlJc w:val="left"/>
      <w:lvlText w:val="%1"/>
      <w:numFmt w:val="lowerRoman"/>
      <w:start w:val="1"/>
    </w:lvl>
    <w:lvl w:ilvl="1">
      <w:lvlJc w:val="left"/>
      <w:lvlText w:val="(%2)"/>
      <w:numFmt w:val="upperLetter"/>
      <w:start w:val="2"/>
    </w:lvl>
  </w:abstractNum>
  <w:abstractNum w:abstractNumId="330">
    <w:nsid w:val="577F5A4D"/>
    <w:multiLevelType w:val="hybridMultilevel"/>
    <w:lvl w:ilvl="0">
      <w:lvlJc w:val="left"/>
      <w:lvlText w:val="(%1)"/>
      <w:numFmt w:val="lowerRoman"/>
      <w:start w:val="4"/>
    </w:lvl>
    <w:lvl w:ilvl="1">
      <w:lvlJc w:val="left"/>
      <w:lvlText w:val="%2"/>
      <w:numFmt w:val="upperLetter"/>
      <w:start w:val="1"/>
    </w:lvl>
  </w:abstractNum>
  <w:abstractNum w:abstractNumId="331">
    <w:nsid w:val="2121A81"/>
    <w:multiLevelType w:val="hybridMultilevel"/>
    <w:lvl w:ilvl="0">
      <w:lvlJc w:val="left"/>
      <w:lvlText w:val="(%1)"/>
      <w:numFmt w:val="lowerLetter"/>
      <w:start w:val="3"/>
    </w:lvl>
  </w:abstractNum>
  <w:abstractNum w:abstractNumId="332">
    <w:nsid w:val="6C2CFC88"/>
    <w:multiLevelType w:val="hybridMultilevel"/>
    <w:lvl w:ilvl="0">
      <w:lvlJc w:val="left"/>
      <w:lvlText w:val="%1."/>
      <w:numFmt w:val="decimal"/>
      <w:start w:val="12"/>
    </w:lvl>
  </w:abstractNum>
  <w:abstractNum w:abstractNumId="333">
    <w:nsid w:val="6D1BCF1C"/>
    <w:multiLevelType w:val="hybridMultilevel"/>
    <w:lvl w:ilvl="0">
      <w:lvlJc w:val="left"/>
      <w:lvlText w:val="(%1)"/>
      <w:numFmt w:val="lowerLetter"/>
      <w:start w:val="5"/>
    </w:lvl>
  </w:abstractNum>
  <w:abstractNum w:abstractNumId="334">
    <w:nsid w:val="4CE5CA53"/>
    <w:multiLevelType w:val="hybridMultilevel"/>
    <w:lvl w:ilvl="0">
      <w:lvlJc w:val="left"/>
      <w:lvlText w:val="(%1)"/>
      <w:numFmt w:val="lowerLetter"/>
      <w:start w:val="1"/>
    </w:lvl>
  </w:abstractNum>
  <w:abstractNum w:abstractNumId="335">
    <w:nsid w:val="29262D1A"/>
    <w:multiLevelType w:val="hybridMultilevel"/>
    <w:lvl w:ilvl="0">
      <w:lvlJc w:val="left"/>
      <w:lvlText w:val="(%1)"/>
      <w:numFmt w:val="lowerLetter"/>
      <w:start w:val="2"/>
    </w:lvl>
  </w:abstractNum>
  <w:abstractNum w:abstractNumId="336">
    <w:nsid w:val="557FB7EE"/>
    <w:multiLevelType w:val="hybridMultilevel"/>
    <w:lvl w:ilvl="0">
      <w:lvlJc w:val="left"/>
      <w:lvlText w:val="(%1)"/>
      <w:numFmt w:val="lowerLetter"/>
      <w:start w:val="1"/>
    </w:lvl>
  </w:abstractNum>
  <w:abstractNum w:abstractNumId="337">
    <w:nsid w:val="436F2BEB"/>
    <w:multiLevelType w:val="hybridMultilevel"/>
    <w:lvl w:ilvl="0">
      <w:lvlJc w:val="left"/>
      <w:lvlText w:val="(%1)"/>
      <w:numFmt w:val="upperLetter"/>
      <w:start w:val="2"/>
    </w:lvl>
  </w:abstractNum>
  <w:abstractNum w:abstractNumId="338">
    <w:nsid w:val="6C8B4466"/>
    <w:multiLevelType w:val="hybridMultilevel"/>
    <w:lvl w:ilvl="0">
      <w:lvlJc w:val="left"/>
      <w:lvlText w:val="(%1)"/>
      <w:numFmt w:val="lowerLetter"/>
      <w:start w:val="1"/>
    </w:lvl>
  </w:abstractNum>
  <w:abstractNum w:abstractNumId="339">
    <w:nsid w:val="2006E424"/>
    <w:multiLevelType w:val="hybridMultilevel"/>
    <w:lvl w:ilvl="0">
      <w:lvlJc w:val="left"/>
      <w:lvlText w:val="(%1)"/>
      <w:numFmt w:val="lowerLetter"/>
      <w:start w:val="61"/>
    </w:lvl>
    <w:lvl w:ilvl="1">
      <w:lvlJc w:val="left"/>
      <w:lvlText w:val="(%2)"/>
      <w:numFmt w:val="lowerLetter"/>
      <w:start w:val="2"/>
    </w:lvl>
  </w:abstractNum>
  <w:abstractNum w:abstractNumId="340">
    <w:nsid w:val="20CC134C"/>
    <w:multiLevelType w:val="hybridMultilevel"/>
    <w:lvl w:ilvl="0">
      <w:lvlJc w:val="left"/>
      <w:lvlText w:val="(%1)"/>
      <w:numFmt w:val="lowerLetter"/>
      <w:start w:val="1"/>
    </w:lvl>
  </w:abstractNum>
  <w:abstractNum w:abstractNumId="341">
    <w:nsid w:val="95FC93B"/>
    <w:multiLevelType w:val="hybridMultilevel"/>
    <w:lvl w:ilvl="0">
      <w:lvlJc w:val="left"/>
      <w:lvlText w:val="(%1)"/>
      <w:numFmt w:val="lowerLetter"/>
      <w:start w:val="2"/>
    </w:lvl>
    <w:lvl w:ilvl="1">
      <w:lvlJc w:val="left"/>
      <w:lvlText w:val="(%2)"/>
      <w:numFmt w:val="lowerRoman"/>
      <w:start w:val="1"/>
    </w:lvl>
  </w:abstractNum>
  <w:abstractNum w:abstractNumId="342">
    <w:nsid w:val="41D74679"/>
    <w:multiLevelType w:val="hybridMultilevel"/>
    <w:lvl w:ilvl="0">
      <w:lvlJc w:val="left"/>
      <w:lvlText w:val="(%1)"/>
      <w:numFmt w:val="lowerLetter"/>
      <w:start w:val="1"/>
    </w:lvl>
    <w:lvl w:ilvl="1">
      <w:lvlJc w:val="left"/>
      <w:lvlText w:val="(%2)"/>
      <w:numFmt w:val="lowerRoman"/>
      <w:start w:val="1"/>
    </w:lvl>
  </w:abstractNum>
  <w:abstractNum w:abstractNumId="343">
    <w:nsid w:val="71E5621E"/>
    <w:multiLevelType w:val="hybridMultilevel"/>
    <w:lvl w:ilvl="0">
      <w:lvlJc w:val="left"/>
      <w:lvlText w:val="%1"/>
      <w:numFmt w:val="decimal"/>
      <w:start w:val="1"/>
    </w:lvl>
    <w:lvl w:ilvl="1">
      <w:lvlJc w:val="left"/>
      <w:lvlText w:val="(%2)"/>
      <w:numFmt w:val="lowerLetter"/>
      <w:start w:val="2"/>
    </w:lvl>
  </w:abstractNum>
  <w:abstractNum w:abstractNumId="344">
    <w:nsid w:val="4E42B6A8"/>
    <w:multiLevelType w:val="hybridMultilevel"/>
    <w:lvl w:ilvl="0">
      <w:lvlJc w:val="left"/>
      <w:lvlText w:val="(%1)"/>
      <w:numFmt w:val="decimal"/>
      <w:start w:val="2"/>
    </w:lvl>
    <w:lvl w:ilvl="1">
      <w:lvlJc w:val="left"/>
      <w:lvlText w:val="%2"/>
      <w:numFmt w:val="lowerLetter"/>
      <w:start w:val="1"/>
    </w:lvl>
  </w:abstractNum>
  <w:abstractNum w:abstractNumId="345">
    <w:nsid w:val="43F8E1AC"/>
    <w:multiLevelType w:val="hybridMultilevel"/>
    <w:lvl w:ilvl="0">
      <w:lvlJc w:val="left"/>
      <w:lvlText w:val="(%1)"/>
      <w:numFmt w:val="lowerLetter"/>
      <w:start w:val="1"/>
    </w:lvl>
  </w:abstractNum>
  <w:abstractNum w:abstractNumId="346">
    <w:nsid w:val="69215DFB"/>
    <w:multiLevelType w:val="hybridMultilevel"/>
    <w:lvl w:ilvl="0">
      <w:lvlJc w:val="left"/>
      <w:lvlText w:val="(%1)"/>
      <w:numFmt w:val="lowerRoman"/>
      <w:start w:val="1"/>
    </w:lvl>
  </w:abstractNum>
  <w:abstractNum w:abstractNumId="347">
    <w:nsid w:val="7ABF196A"/>
    <w:multiLevelType w:val="hybridMultilevel"/>
    <w:lvl w:ilvl="0">
      <w:lvlJc w:val="left"/>
      <w:lvlText w:val="(%1)"/>
      <w:numFmt w:val="lowerRoman"/>
      <w:start w:val="2"/>
    </w:lvl>
  </w:abstractNum>
  <w:abstractNum w:abstractNumId="348">
    <w:nsid w:val="5E4DB968"/>
    <w:multiLevelType w:val="hybridMultilevel"/>
    <w:lvl w:ilvl="0">
      <w:lvlJc w:val="left"/>
      <w:lvlText w:val="(%1)"/>
      <w:numFmt w:val="lowerRoman"/>
      <w:start w:val="3"/>
    </w:lvl>
  </w:abstractNum>
  <w:abstractNum w:abstractNumId="349">
    <w:nsid w:val="2C06DCF3"/>
    <w:multiLevelType w:val="hybridMultilevel"/>
    <w:lvl w:ilvl="0">
      <w:lvlJc w:val="left"/>
      <w:lvlText w:val="%1."/>
      <w:numFmt w:val="decimal"/>
      <w:start w:val="1"/>
    </w:lvl>
  </w:abstractNum>
  <w:abstractNum w:abstractNumId="350">
    <w:nsid w:val="2E129658"/>
    <w:multiLevelType w:val="hybridMultilevel"/>
    <w:lvl w:ilvl="0">
      <w:lvlJc w:val="left"/>
      <w:lvlText w:val="%1."/>
      <w:numFmt w:val="decimal"/>
      <w:start w:val="2"/>
    </w:lvl>
  </w:abstractNum>
  <w:abstractNum w:abstractNumId="351">
    <w:nsid w:val="59F0446"/>
    <w:multiLevelType w:val="hybridMultilevel"/>
    <w:lvl w:ilvl="0">
      <w:lvlJc w:val="left"/>
      <w:lvlText w:val="."/>
      <w:numFmt w:val="bullet"/>
      <w:start w:val="1"/>
    </w:lvl>
  </w:abstractNum>
  <w:abstractNum w:abstractNumId="352">
    <w:nsid w:val="30DF306"/>
    <w:multiLevelType w:val="hybridMultilevel"/>
    <w:lvl w:ilvl="0">
      <w:lvlJc w:val="left"/>
      <w:lvlText w:val="%1."/>
      <w:numFmt w:val="decimal"/>
      <w:start w:val="3"/>
    </w:lvl>
  </w:abstractNum>
  <w:abstractNum w:abstractNumId="353">
    <w:nsid w:val="A65647"/>
    <w:multiLevelType w:val="hybridMultilevel"/>
    <w:lvl w:ilvl="0">
      <w:lvlJc w:val="left"/>
      <w:lvlText w:val="1"/>
      <w:numFmt w:val="bullet"/>
      <w:start w:val="1"/>
    </w:lvl>
  </w:abstractNum>
  <w:abstractNum w:abstractNumId="354">
    <w:nsid w:val="3E5E582B"/>
    <w:multiLevelType w:val="hybridMultilevel"/>
    <w:lvl w:ilvl="0">
      <w:lvlJc w:val="left"/>
      <w:lvlText w:val="%1."/>
      <w:numFmt w:val="decimal"/>
      <w:start w:val="4"/>
    </w:lvl>
  </w:abstractNum>
  <w:abstractNum w:abstractNumId="355">
    <w:nsid w:val="257D4626"/>
    <w:multiLevelType w:val="hybridMultilevel"/>
    <w:lvl w:ilvl="0">
      <w:lvlJc w:val="left"/>
      <w:lvlText w:val="2"/>
      <w:numFmt w:val="bullet"/>
      <w:start w:val="1"/>
    </w:lvl>
  </w:abstractNum>
  <w:abstractNum w:abstractNumId="356">
    <w:nsid w:val="5AA8580E"/>
    <w:multiLevelType w:val="hybridMultilevel"/>
    <w:lvl w:ilvl="0">
      <w:lvlJc w:val="left"/>
      <w:lvlText w:val="%1."/>
      <w:numFmt w:val="decimal"/>
      <w:start w:val="1"/>
    </w:lvl>
  </w:abstractNum>
  <w:abstractNum w:abstractNumId="357">
    <w:nsid w:val="68FA8D0D"/>
    <w:multiLevelType w:val="hybridMultilevel"/>
    <w:lvl w:ilvl="0">
      <w:lvlJc w:val="left"/>
      <w:lvlText w:val="%1."/>
      <w:numFmt w:val="decimal"/>
      <w:start w:val="2"/>
    </w:lvl>
  </w:abstractNum>
  <w:abstractNum w:abstractNumId="358">
    <w:nsid w:val="40F2CBD2"/>
    <w:multiLevelType w:val="hybridMultilevel"/>
    <w:lvl w:ilvl="0">
      <w:lvlJc w:val="left"/>
      <w:lvlText w:val="(%1)"/>
      <w:numFmt w:val="decimal"/>
      <w:start w:val="1"/>
    </w:lvl>
  </w:abstractNum>
  <w:abstractNum w:abstractNumId="359">
    <w:nsid w:val="3BD615EB"/>
    <w:multiLevelType w:val="hybridMultilevel"/>
    <w:lvl w:ilvl="0">
      <w:lvlJc w:val="left"/>
      <w:lvlText w:val="(%1)"/>
      <w:numFmt w:val="decimal"/>
      <w:start w:val="3"/>
    </w:lvl>
  </w:abstractNum>
  <w:abstractNum w:abstractNumId="360">
    <w:nsid w:val="A045AB2"/>
    <w:multiLevelType w:val="hybridMultilevel"/>
    <w:lvl w:ilvl="0">
      <w:lvlJc w:val="left"/>
      <w:lvlText w:val="%1."/>
      <w:numFmt w:val="decimal"/>
      <w:start w:val="1"/>
    </w:lvl>
  </w:abstractNum>
  <w:abstractNum w:abstractNumId="361">
    <w:nsid w:val="1872261F"/>
    <w:multiLevelType w:val="hybridMultilevel"/>
    <w:lvl w:ilvl="0">
      <w:lvlJc w:val="left"/>
      <w:lvlText w:val="%1."/>
      <w:numFmt w:val="decimal"/>
      <w:start w:val="3"/>
    </w:lvl>
  </w:abstractNum>
  <w:abstractNum w:abstractNumId="362">
    <w:nsid w:val="3DE8306C"/>
    <w:multiLevelType w:val="hybridMultilevel"/>
    <w:lvl w:ilvl="0">
      <w:lvlJc w:val="left"/>
      <w:lvlText w:val="%1."/>
      <w:numFmt w:val="decimal"/>
      <w:start w:val="1"/>
    </w:lvl>
  </w:abstractNum>
  <w:abstractNum w:abstractNumId="363">
    <w:nsid w:val="7631573A"/>
    <w:multiLevelType w:val="hybridMultilevel"/>
    <w:lvl w:ilvl="0">
      <w:lvlJc w:val="left"/>
      <w:lvlText w:val="%1."/>
      <w:numFmt w:val="decimal"/>
      <w:start w:val="4"/>
    </w:lvl>
    <w:lvl w:ilvl="1">
      <w:lvlJc w:val="left"/>
      <w:lvlText w:val="(%2)"/>
      <w:numFmt w:val="lowerLetter"/>
      <w:start w:val="1"/>
    </w:lvl>
  </w:abstractNum>
  <w:abstractNum w:abstractNumId="364">
    <w:nsid w:val="58DF53B"/>
    <w:multiLevelType w:val="hybridMultilevel"/>
    <w:lvl w:ilvl="0">
      <w:lvlJc w:val="left"/>
      <w:lvlText w:val="(%1)"/>
      <w:numFmt w:val="lowerLetter"/>
      <w:start w:val="3"/>
    </w:lvl>
  </w:abstractNum>
  <w:abstractNum w:abstractNumId="365">
    <w:nsid w:val="ACDFAC0"/>
    <w:multiLevelType w:val="hybridMultilevel"/>
    <w:lvl w:ilvl="0">
      <w:lvlJc w:val="left"/>
      <w:lvlText w:val="[●]"/>
      <w:numFmt w:val="bullet"/>
      <w:start w:val="1"/>
    </w:lvl>
  </w:abstractNum>
  <w:abstractNum w:abstractNumId="366">
    <w:nsid w:val="1F578454"/>
    <w:multiLevelType w:val="hybridMultilevel"/>
    <w:lvl w:ilvl="0">
      <w:lvlJc w:val="left"/>
      <w:lvlText w:val="%1."/>
      <w:numFmt w:val="decimal"/>
      <w:start w:val="1"/>
    </w:lvl>
  </w:abstractNum>
  <w:abstractNum w:abstractNumId="367">
    <w:nsid w:val="5B0DAD2A"/>
    <w:multiLevelType w:val="hybridMultilevel"/>
    <w:lvl w:ilvl="0">
      <w:lvlJc w:val="left"/>
      <w:lvlText w:val="%1."/>
      <w:numFmt w:val="decimal"/>
      <w:start w:val="2"/>
    </w:lvl>
    <w:lvl w:ilvl="1">
      <w:lvlJc w:val="left"/>
      <w:lvlText w:val="(%2)"/>
      <w:numFmt w:val="lowerLetter"/>
      <w:start w:val="1"/>
    </w:lvl>
  </w:abstractNum>
  <w:abstractNum w:abstractNumId="368">
    <w:nsid w:val="4E3D26AB"/>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69">
    <w:nsid w:val="BE2C8BA"/>
    <w:multiLevelType w:val="hybridMultilevel"/>
    <w:lvl w:ilvl="0">
      <w:lvlJc w:val="left"/>
      <w:lvlText w:val="(%1)"/>
      <w:numFmt w:val="lowerRoman"/>
      <w:start w:val="8"/>
    </w:lvl>
  </w:abstractNum>
  <w:abstractNum w:abstractNumId="370">
    <w:nsid w:val="7B14914E"/>
    <w:multiLevelType w:val="hybridMultilevel"/>
    <w:lvl w:ilvl="0">
      <w:lvlJc w:val="left"/>
      <w:lvlText w:val="%1"/>
      <w:numFmt w:val="decimal"/>
      <w:start w:val="1"/>
    </w:lvl>
    <w:lvl w:ilvl="1">
      <w:lvlJc w:val="left"/>
      <w:lvlText w:val="(%2)"/>
      <w:numFmt w:val="lowerLetter"/>
      <w:start w:val="2"/>
    </w:lvl>
  </w:abstractNum>
  <w:abstractNum w:abstractNumId="371">
    <w:nsid w:val="6F0939F8"/>
    <w:multiLevelType w:val="hybridMultilevel"/>
    <w:lvl w:ilvl="0">
      <w:lvlJc w:val="left"/>
      <w:lvlText w:val="%1."/>
      <w:numFmt w:val="decimal"/>
      <w:start w:val="7"/>
    </w:lvl>
    <w:lvl w:ilvl="1">
      <w:lvlJc w:val="left"/>
      <w:lvlText w:val="%2"/>
      <w:numFmt w:val="lowerLetter"/>
      <w:start w:val="1"/>
    </w:lvl>
  </w:abstractNum>
  <w:abstractNum w:abstractNumId="372">
    <w:nsid w:val="154291F6"/>
    <w:multiLevelType w:val="hybridMultilevel"/>
    <w:lvl w:ilvl="0">
      <w:lvlJc w:val="left"/>
      <w:lvlText w:val="%1."/>
      <w:numFmt w:val="decimal"/>
      <w:start w:val="9"/>
    </w:lvl>
    <w:lvl w:ilvl="1">
      <w:lvlJc w:val="left"/>
      <w:lvlText w:val="(%2)"/>
      <w:numFmt w:val="lowerLetter"/>
      <w:start w:val="1"/>
    </w:lvl>
  </w:abstractNum>
  <w:abstractNum w:abstractNumId="373">
    <w:nsid w:val="3CEBD7C7"/>
    <w:multiLevelType w:val="hybridMultilevel"/>
    <w:lvl w:ilvl="0">
      <w:lvlJc w:val="left"/>
      <w:lvlText w:val="(%1)"/>
      <w:numFmt w:val="lowerLetter"/>
      <w:start w:val="2"/>
    </w:lvl>
  </w:abstractNum>
  <w:abstractNum w:abstractNumId="374">
    <w:nsid w:val="60EE9C16"/>
    <w:multiLevelType w:val="hybridMultilevel"/>
    <w:lvl w:ilvl="0">
      <w:lvlJc w:val="left"/>
      <w:lvlText w:val="%1"/>
      <w:numFmt w:val="decimal"/>
      <w:start w:val="1"/>
    </w:lvl>
    <w:lvl w:ilvl="1">
      <w:lvlJc w:val="left"/>
      <w:lvlText w:val="%2."/>
      <w:numFmt w:val="decimal"/>
      <w:start w:val="13"/>
    </w:lvl>
  </w:abstractNum>
  <w:abstractNum w:abstractNumId="375">
    <w:nsid w:val="6385489E"/>
    <w:multiLevelType w:val="hybridMultilevel"/>
    <w:lvl w:ilvl="0">
      <w:lvlJc w:val="left"/>
      <w:lvlText w:val="%1."/>
      <w:numFmt w:val="decimal"/>
      <w:start w:val="14"/>
    </w:lvl>
    <w:lvl w:ilvl="1">
      <w:lvlJc w:val="left"/>
      <w:lvlText w:val="%2"/>
      <w:numFmt w:val="decimal"/>
      <w:start w:val="1"/>
    </w:lvl>
  </w:abstractNum>
  <w:abstractNum w:abstractNumId="376">
    <w:nsid w:val="E4B973"/>
    <w:multiLevelType w:val="hybridMultilevel"/>
    <w:lvl w:ilvl="0">
      <w:lvlJc w:val="left"/>
      <w:lvlText w:val="%1."/>
      <w:numFmt w:val="decimal"/>
      <w:start w:val="19"/>
    </w:lvl>
  </w:abstractNum>
  <w:abstractNum w:abstractNumId="377">
    <w:nsid w:val="4A0FFA11"/>
    <w:multiLevelType w:val="hybridMultilevel"/>
    <w:lvl w:ilvl="0">
      <w:lvlJc w:val="left"/>
      <w:lvlText w:val="%1."/>
      <w:numFmt w:val="decimal"/>
      <w:start w:val="22"/>
    </w:lvl>
  </w:abstractNum>
  <w:abstractNum w:abstractNumId="378">
    <w:nsid w:val="5E446208"/>
    <w:multiLevelType w:val="hybridMultilevel"/>
    <w:lvl w:ilvl="0">
      <w:lvlJc w:val="left"/>
      <w:lvlText w:val="%1."/>
      <w:numFmt w:val="decimal"/>
      <w:start w:val="23"/>
    </w:lvl>
  </w:abstractNum>
  <w:abstractNum w:abstractNumId="379">
    <w:nsid w:val="5F3272DB"/>
    <w:multiLevelType w:val="hybridMultilevel"/>
    <w:lvl w:ilvl="0">
      <w:lvlJc w:val="left"/>
      <w:lvlText w:val="•"/>
      <w:numFmt w:val="bullet"/>
      <w:start w:val="1"/>
    </w:lvl>
  </w:abstractNum>
  <w:abstractNum w:abstractNumId="380">
    <w:nsid w:val="7616D704"/>
    <w:multiLevelType w:val="hybridMultilevel"/>
    <w:lvl w:ilvl="0">
      <w:lvlJc w:val="left"/>
      <w:lvlText w:val="[●]"/>
      <w:numFmt w:val="bullet"/>
      <w:start w:val="1"/>
    </w:lvl>
  </w:abstractNum>
  <w:abstractNum w:abstractNumId="381">
    <w:nsid w:val="C56F860"/>
    <w:multiLevelType w:val="hybridMultilevel"/>
    <w:lvl w:ilvl="0">
      <w:lvlJc w:val="left"/>
      <w:lvlText w:val="%1."/>
      <w:numFmt w:val="decimal"/>
      <w:start w:val="1"/>
    </w:lvl>
  </w:abstractNum>
  <w:abstractNum w:abstractNumId="382">
    <w:nsid w:val="64D17722"/>
    <w:multiLevelType w:val="hybridMultilevel"/>
    <w:lvl w:ilvl="0">
      <w:lvlJc w:val="left"/>
      <w:lvlText w:val="%1."/>
      <w:numFmt w:val="decimal"/>
      <w:start w:val="2"/>
    </w:lvl>
    <w:lvl w:ilvl="1">
      <w:lvlJc w:val="left"/>
      <w:lvlText w:val="(%2)"/>
      <w:numFmt w:val="lowerLetter"/>
      <w:start w:val="1"/>
    </w:lvl>
  </w:abstractNum>
  <w:abstractNum w:abstractNumId="383">
    <w:nsid w:val="7924CA0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84">
    <w:nsid w:val="CFD4EA7"/>
    <w:multiLevelType w:val="hybridMultilevel"/>
    <w:lvl w:ilvl="0">
      <w:lvlJc w:val="left"/>
      <w:lvlText w:val="(%1)"/>
      <w:numFmt w:val="lowerRoman"/>
      <w:start w:val="8"/>
    </w:lvl>
  </w:abstractNum>
  <w:abstractNum w:abstractNumId="385">
    <w:nsid w:val="232FCF4D"/>
    <w:multiLevelType w:val="hybridMultilevel"/>
    <w:lvl w:ilvl="0">
      <w:lvlJc w:val="left"/>
      <w:lvlText w:val="%1"/>
      <w:numFmt w:val="decimal"/>
      <w:start w:val="1"/>
    </w:lvl>
    <w:lvl w:ilvl="1">
      <w:lvlJc w:val="left"/>
      <w:lvlText w:val="(%2)"/>
      <w:numFmt w:val="lowerLetter"/>
      <w:start w:val="2"/>
    </w:lvl>
  </w:abstractNum>
  <w:abstractNum w:abstractNumId="386">
    <w:nsid w:val="1EA21031"/>
    <w:multiLevelType w:val="hybridMultilevel"/>
    <w:lvl w:ilvl="0">
      <w:lvlJc w:val="left"/>
      <w:lvlText w:val="%1."/>
      <w:numFmt w:val="decimal"/>
      <w:start w:val="7"/>
    </w:lvl>
    <w:lvl w:ilvl="1">
      <w:lvlJc w:val="left"/>
      <w:lvlText w:val="%2"/>
      <w:numFmt w:val="lowerLetter"/>
      <w:start w:val="1"/>
    </w:lvl>
  </w:abstractNum>
  <w:abstractNum w:abstractNumId="387">
    <w:nsid w:val="67A5A6B5"/>
    <w:multiLevelType w:val="hybridMultilevel"/>
    <w:lvl w:ilvl="0">
      <w:lvlJc w:val="left"/>
      <w:lvlText w:val="%1."/>
      <w:numFmt w:val="decimal"/>
      <w:start w:val="9"/>
    </w:lvl>
    <w:lvl w:ilvl="1">
      <w:lvlJc w:val="left"/>
      <w:lvlText w:val="(%2)"/>
      <w:numFmt w:val="lowerLetter"/>
      <w:start w:val="1"/>
    </w:lvl>
  </w:abstractNum>
  <w:abstractNum w:abstractNumId="388">
    <w:nsid w:val="C2A5C5B"/>
    <w:multiLevelType w:val="hybridMultilevel"/>
    <w:lvl w:ilvl="0">
      <w:lvlJc w:val="left"/>
      <w:lvlText w:val="(%1)"/>
      <w:numFmt w:val="lowerLetter"/>
      <w:start w:val="2"/>
    </w:lvl>
  </w:abstractNum>
  <w:abstractNum w:abstractNumId="389">
    <w:nsid w:val="5F94DC03"/>
    <w:multiLevelType w:val="hybridMultilevel"/>
    <w:lvl w:ilvl="0">
      <w:lvlJc w:val="left"/>
      <w:lvlText w:val="%1"/>
      <w:numFmt w:val="decimal"/>
      <w:start w:val="1"/>
    </w:lvl>
    <w:lvl w:ilvl="1">
      <w:lvlJc w:val="left"/>
      <w:lvlText w:val="%2."/>
      <w:numFmt w:val="decimal"/>
      <w:start w:val="13"/>
    </w:lvl>
  </w:abstractNum>
  <w:abstractNum w:abstractNumId="390">
    <w:nsid w:val="237BBCA0"/>
    <w:multiLevelType w:val="hybridMultilevel"/>
    <w:lvl w:ilvl="0">
      <w:lvlJc w:val="left"/>
      <w:lvlText w:val="%1."/>
      <w:numFmt w:val="decimal"/>
      <w:start w:val="14"/>
    </w:lvl>
    <w:lvl w:ilvl="1">
      <w:lvlJc w:val="left"/>
      <w:lvlText w:val="%2"/>
      <w:numFmt w:val="decimal"/>
      <w:start w:val="1"/>
    </w:lvl>
  </w:abstractNum>
  <w:abstractNum w:abstractNumId="391">
    <w:nsid w:val="162EB70D"/>
    <w:multiLevelType w:val="hybridMultilevel"/>
    <w:lvl w:ilvl="0">
      <w:lvlJc w:val="left"/>
      <w:lvlText w:val="%1."/>
      <w:numFmt w:val="decimal"/>
      <w:start w:val="18"/>
    </w:lvl>
  </w:abstractNum>
  <w:abstractNum w:abstractNumId="392">
    <w:nsid w:val="78070222"/>
    <w:multiLevelType w:val="hybridMultilevel"/>
    <w:lvl w:ilvl="0">
      <w:lvlJc w:val="left"/>
      <w:lvlText w:val="•"/>
      <w:numFmt w:val="bullet"/>
      <w:start w:val="1"/>
    </w:lvl>
  </w:abstractNum>
  <w:abstractNum w:abstractNumId="393">
    <w:nsid w:val="6163ED0D"/>
    <w:multiLevelType w:val="hybridMultilevel"/>
    <w:lvl w:ilvl="0">
      <w:lvlJc w:val="left"/>
      <w:lvlText w:val="•"/>
      <w:numFmt w:val="bullet"/>
      <w:start w:val="1"/>
    </w:lvl>
  </w:abstractNum>
  <w:abstractNum w:abstractNumId="394">
    <w:nsid w:val="C600E47"/>
    <w:multiLevelType w:val="hybridMultilevel"/>
    <w:lvl w:ilvl="0">
      <w:lvlJc w:val="left"/>
      <w:lvlText w:val="%1."/>
      <w:numFmt w:val="decimal"/>
      <w:start w:val="1"/>
    </w:lvl>
  </w:abstractNum>
  <w:abstractNum w:abstractNumId="395">
    <w:nsid w:val="7D94F75D"/>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96">
    <w:nsid w:val="6C31E7CD"/>
    <w:multiLevelType w:val="hybridMultilevel"/>
    <w:lvl w:ilvl="0">
      <w:lvlJc w:val="left"/>
      <w:lvlText w:val="(%1)"/>
      <w:numFmt w:val="lowerRoman"/>
      <w:start w:val="6"/>
    </w:lvl>
  </w:abstractNum>
  <w:abstractNum w:abstractNumId="397">
    <w:nsid w:val="2BB7929B"/>
    <w:multiLevelType w:val="hybridMultilevel"/>
    <w:lvl w:ilvl="0">
      <w:lvlJc w:val="left"/>
      <w:lvlText w:val="(%1)"/>
      <w:numFmt w:val="lowerLetter"/>
      <w:start w:val="2"/>
    </w:lvl>
  </w:abstractNum>
  <w:abstractNum w:abstractNumId="398">
    <w:nsid w:val="58A2A487"/>
    <w:multiLevelType w:val="hybridMultilevel"/>
    <w:lvl w:ilvl="0">
      <w:lvlJc w:val="left"/>
      <w:lvlText w:val="%1."/>
      <w:numFmt w:val="decimal"/>
      <w:start w:val="6"/>
    </w:lvl>
  </w:abstractNum>
  <w:abstractNum w:abstractNumId="399">
    <w:nsid w:val="3A6F0E78"/>
    <w:multiLevelType w:val="hybridMultilevel"/>
    <w:lvl w:ilvl="0">
      <w:lvlJc w:val="left"/>
      <w:lvlText w:val="%1."/>
      <w:numFmt w:val="decimal"/>
      <w:start w:val="11"/>
    </w:lvl>
    <w:lvl w:ilvl="1">
      <w:lvlJc w:val="left"/>
      <w:lvlText w:val="(%2)"/>
      <w:numFmt w:val="lowerLetter"/>
      <w:start w:val="1"/>
    </w:lvl>
  </w:abstractNum>
  <w:abstractNum w:abstractNumId="400">
    <w:nsid w:val="379A5B56"/>
    <w:multiLevelType w:val="hybridMultilevel"/>
    <w:lvl w:ilvl="0">
      <w:lvlJc w:val="left"/>
      <w:lvlText w:val="%1."/>
      <w:numFmt w:val="decimal"/>
      <w:start w:val="1"/>
    </w:lvl>
  </w:abstractNum>
  <w:abstractNum w:abstractNumId="401">
    <w:nsid w:val="53B735D5"/>
    <w:multiLevelType w:val="hybridMultilevel"/>
    <w:lvl w:ilvl="0">
      <w:lvlJc w:val="left"/>
      <w:lvlText w:val="•"/>
      <w:numFmt w:val="bullet"/>
      <w:start w:val="1"/>
    </w:lvl>
    <w:lvl w:ilvl="1">
      <w:lvlJc w:val="left"/>
      <w:lvlText w:val="-"/>
      <w:numFmt w:val="bullet"/>
      <w:start w:val="1"/>
    </w:lvl>
  </w:abstractNum>
  <w:abstractNum w:abstractNumId="402">
    <w:nsid w:val="29784870"/>
    <w:multiLevelType w:val="hybridMultilevel"/>
    <w:lvl w:ilvl="0">
      <w:lvlJc w:val="left"/>
      <w:lvlText w:val="•"/>
      <w:numFmt w:val="bullet"/>
      <w:start w:val="1"/>
    </w:lvl>
  </w:abstractNum>
  <w:abstractNum w:abstractNumId="403">
    <w:nsid w:val="4CDCED4C"/>
    <w:multiLevelType w:val="hybridMultilevel"/>
    <w:lvl w:ilvl="0">
      <w:lvlJc w:val="left"/>
      <w:lvlText w:val="•"/>
      <w:numFmt w:val="bullet"/>
      <w:start w:val="1"/>
    </w:lvl>
    <w:lvl w:ilvl="1">
      <w:lvlJc w:val="left"/>
      <w:lvlText w:val="-"/>
      <w:numFmt w:val="bullet"/>
      <w:start w:val="1"/>
    </w:lvl>
  </w:abstractNum>
  <w:abstractNum w:abstractNumId="404">
    <w:nsid w:val="10A30D9C"/>
    <w:multiLevelType w:val="hybridMultilevel"/>
    <w:lvl w:ilvl="0">
      <w:lvlJc w:val="left"/>
      <w:lvlText w:val="(%1)"/>
      <w:numFmt w:val="decimal"/>
      <w:start w:val="5"/>
    </w:lvl>
  </w:abstractNum>
  <w:abstractNum w:abstractNumId="405">
    <w:nsid w:val="A66E486"/>
    <w:multiLevelType w:val="hybridMultilevel"/>
    <w:lvl w:ilvl="0">
      <w:lvlJc w:val="left"/>
      <w:lvlText w:val="•"/>
      <w:numFmt w:val="bullet"/>
      <w:start w:val="1"/>
    </w:lvl>
  </w:abstractNum>
  <w:abstractNum w:abstractNumId="406">
    <w:nsid w:val="306235EA"/>
    <w:multiLevelType w:val="hybridMultilevel"/>
    <w:lvl w:ilvl="0">
      <w:lvlJc w:val="left"/>
      <w:lvlText w:val="o"/>
      <w:numFmt w:val="bullet"/>
      <w:start w:val="1"/>
    </w:lvl>
    <w:lvl w:ilvl="1">
      <w:lvlJc w:val="left"/>
      <w:lvlText w:val="-"/>
      <w:numFmt w:val="bullet"/>
      <w:start w:val="1"/>
    </w:lvl>
  </w:abstractNum>
  <w:abstractNum w:abstractNumId="407">
    <w:nsid w:val="1187C70F"/>
    <w:multiLevelType w:val="hybridMultilevel"/>
    <w:lvl w:ilvl="0">
      <w:lvlJc w:val="left"/>
      <w:lvlText w:val="•"/>
      <w:numFmt w:val="bullet"/>
      <w:start w:val="1"/>
    </w:lvl>
  </w:abstractNum>
  <w:abstractNum w:abstractNumId="408">
    <w:nsid w:val="5476DE98"/>
    <w:multiLevelType w:val="hybridMultilevel"/>
    <w:lvl w:ilvl="0">
      <w:lvlJc w:val="left"/>
      <w:lvlText w:val="•"/>
      <w:numFmt w:val="bullet"/>
      <w:start w:val="1"/>
    </w:lvl>
    <w:lvl w:ilvl="1">
      <w:lvlJc w:val="left"/>
      <w:lvlText w:val="o"/>
      <w:numFmt w:val="bullet"/>
      <w:start w:val="1"/>
    </w:lvl>
    <w:lvl w:ilvl="2">
      <w:lvlJc w:val="left"/>
      <w:lvlText w:val="(%3)"/>
      <w:numFmt w:val="lowerRoman"/>
      <w:start w:val="2"/>
    </w:lvl>
    <w:lvl w:ilvl="3">
      <w:lvlJc w:val="left"/>
      <w:lvlText w:val="-"/>
      <w:numFmt w:val="bullet"/>
      <w:start w:val="1"/>
    </w:lvl>
  </w:abstractNum>
  <w:abstractNum w:abstractNumId="409">
    <w:nsid w:val="EA697F2"/>
    <w:multiLevelType w:val="hybridMultilevel"/>
    <w:lvl w:ilvl="0">
      <w:lvlJc w:val="left"/>
      <w:lvlText w:val="•"/>
      <w:numFmt w:val="bullet"/>
      <w:start w:val="1"/>
    </w:lvl>
  </w:abstractNum>
  <w:abstractNum w:abstractNumId="410">
    <w:nsid w:val="70BA39EB"/>
    <w:multiLevelType w:val="hybridMultilevel"/>
    <w:lvl w:ilvl="0">
      <w:lvlJc w:val="left"/>
      <w:lvlText w:val="•"/>
      <w:numFmt w:val="bullet"/>
      <w:start w:val="1"/>
    </w:lvl>
    <w:lvl w:ilvl="1">
      <w:lvlJc w:val="left"/>
      <w:lvlText w:val="o"/>
      <w:numFmt w:val="bullet"/>
      <w:start w:val="1"/>
    </w:lvl>
  </w:abstractNum>
  <w:abstractNum w:abstractNumId="411">
    <w:nsid w:val="4A8DB59C"/>
    <w:multiLevelType w:val="hybridMultilevel"/>
    <w:lvl w:ilvl="0">
      <w:lvlJc w:val="left"/>
      <w:lvlText w:val="%1."/>
      <w:numFmt w:val="decimal"/>
      <w:start w:val="1"/>
    </w:lvl>
    <w:lvl w:ilvl="1">
      <w:lvlJc w:val="left"/>
      <w:lvlText w:val="(%2)"/>
      <w:numFmt w:val="lowerLetter"/>
      <w:start w:val="1"/>
    </w:lvl>
  </w:abstractNum>
  <w:abstractNum w:abstractNumId="412">
    <w:nsid w:val="1AFD9053"/>
    <w:multiLevelType w:val="hybridMultilevel"/>
    <w:lvl w:ilvl="0">
      <w:lvlJc w:val="left"/>
      <w:lvlText w:val="%1."/>
      <w:numFmt w:val="decimal"/>
      <w:start w:val="1"/>
    </w:lvl>
    <w:lvl w:ilvl="1">
      <w:lvlJc w:val="left"/>
      <w:lvlText w:val="(%2)"/>
      <w:numFmt w:val="lowerLetter"/>
      <w:start w:val="1"/>
    </w:lvl>
  </w:abstractNum>
  <w:abstractNum w:abstractNumId="413">
    <w:nsid w:val="558BB10D"/>
    <w:multiLevelType w:val="hybridMultilevel"/>
    <w:lvl w:ilvl="0">
      <w:lvlJc w:val="left"/>
      <w:lvlText w:val="%1."/>
      <w:numFmt w:val="decimal"/>
      <w:start w:val="1"/>
    </w:lvl>
    <w:lvl w:ilvl="1">
      <w:lvlJc w:val="left"/>
      <w:lvlText w:val="(%2)"/>
      <w:numFmt w:val="lowerLetter"/>
      <w:start w:val="1"/>
    </w:lvl>
  </w:abstractNum>
  <w:abstractNum w:abstractNumId="414">
    <w:nsid w:val="43B27FA7"/>
    <w:multiLevelType w:val="hybridMultilevel"/>
    <w:lvl w:ilvl="0">
      <w:lvlJc w:val="left"/>
      <w:lvlText w:val="%1."/>
      <w:numFmt w:val="decimal"/>
      <w:start w:val="1"/>
    </w:lvl>
    <w:lvl w:ilvl="1">
      <w:lvlJc w:val="left"/>
      <w:lvlText w:val="(%2)"/>
      <w:numFmt w:val="lowerLetter"/>
      <w:start w:val="1"/>
    </w:lvl>
  </w:abstractNum>
  <w:abstractNum w:abstractNumId="415">
    <w:nsid w:val="27FADEFA"/>
    <w:multiLevelType w:val="hybridMultilevel"/>
    <w:lvl w:ilvl="0">
      <w:lvlJc w:val="left"/>
      <w:lvlText w:val="(%1)"/>
      <w:numFmt w:val="decimal"/>
      <w:start w:val="1"/>
    </w:lvl>
  </w:abstractNum>
  <w:abstractNum w:abstractNumId="416">
    <w:nsid w:val="78BB805A"/>
    <w:multiLevelType w:val="hybridMultilevel"/>
    <w:lvl w:ilvl="0">
      <w:lvlJc w:val="left"/>
      <w:lvlText w:val="(%1)"/>
      <w:numFmt w:val="decimal"/>
      <w:start w:val="1"/>
    </w:lvl>
  </w:abstractNum>
  <w:abstractNum w:abstractNumId="417">
    <w:nsid w:val="62548FD8"/>
    <w:multiLevelType w:val="hybridMultilevel"/>
    <w:lvl w:ilvl="0">
      <w:lvlJc w:val="left"/>
      <w:lvlText w:val="(%1)"/>
      <w:numFmt w:val="decimal"/>
      <w:start w:val="1"/>
    </w:lvl>
  </w:abstractNum>
  <w:abstractNum w:abstractNumId="418">
    <w:nsid w:val="FA085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42" Type="http://schemas.openxmlformats.org/officeDocument/2006/relationships/image" Target="media/image127.png"/><Relationship Id="rId157" Type="http://schemas.openxmlformats.org/officeDocument/2006/relationships/image" Target="media/image128.png"/><Relationship Id="rId158" Type="http://schemas.openxmlformats.org/officeDocument/2006/relationships/image" Target="media/image129.png"/><Relationship Id="rId172" Type="http://schemas.openxmlformats.org/officeDocument/2006/relationships/image" Target="media/image130.png"/><Relationship Id="rId173" Type="http://schemas.openxmlformats.org/officeDocument/2006/relationships/image" Target="media/image131.png"/><Relationship Id="rId192" Type="http://schemas.openxmlformats.org/officeDocument/2006/relationships/image" Target="media/image132.png"/><Relationship Id="rId193" Type="http://schemas.openxmlformats.org/officeDocument/2006/relationships/image" Target="media/image133.png"/><Relationship Id="rId211" Type="http://schemas.openxmlformats.org/officeDocument/2006/relationships/image" Target="media/image134.png"/><Relationship Id="rId225" Type="http://schemas.openxmlformats.org/officeDocument/2006/relationships/image" Target="media/image135.png"/><Relationship Id="rId226" Type="http://schemas.openxmlformats.org/officeDocument/2006/relationships/image" Target="media/image136.png"/><Relationship Id="rId228" Type="http://schemas.openxmlformats.org/officeDocument/2006/relationships/image" Target="media/image137.png"/><Relationship Id="rId229" Type="http://schemas.openxmlformats.org/officeDocument/2006/relationships/image" Target="media/image138.png"/><Relationship Id="rId230" Type="http://schemas.openxmlformats.org/officeDocument/2006/relationships/image" Target="media/image139.png"/><Relationship Id="rId231" Type="http://schemas.openxmlformats.org/officeDocument/2006/relationships/image" Target="media/image140.png"/><Relationship Id="rId232" Type="http://schemas.openxmlformats.org/officeDocument/2006/relationships/image" Target="media/image141.png"/><Relationship Id="rId233" Type="http://schemas.openxmlformats.org/officeDocument/2006/relationships/image" Target="media/image142.png"/><Relationship Id="rId234" Type="http://schemas.openxmlformats.org/officeDocument/2006/relationships/image" Target="media/image143.png"/><Relationship Id="rId235" Type="http://schemas.openxmlformats.org/officeDocument/2006/relationships/image" Target="media/image144.png"/><Relationship Id="rId236" Type="http://schemas.openxmlformats.org/officeDocument/2006/relationships/image" Target="media/image145.png"/><Relationship Id="rId237" Type="http://schemas.openxmlformats.org/officeDocument/2006/relationships/image" Target="media/image146.png"/><Relationship Id="rId238" Type="http://schemas.openxmlformats.org/officeDocument/2006/relationships/image" Target="media/image147.png"/><Relationship Id="rId239" Type="http://schemas.openxmlformats.org/officeDocument/2006/relationships/image" Target="media/image148.png"/><Relationship Id="rId240" Type="http://schemas.openxmlformats.org/officeDocument/2006/relationships/image" Target="media/image149.png"/><Relationship Id="rId241" Type="http://schemas.openxmlformats.org/officeDocument/2006/relationships/image" Target="media/image150.jpeg"/><Relationship Id="rId242" Type="http://schemas.openxmlformats.org/officeDocument/2006/relationships/image" Target="media/image151.png"/><Relationship Id="rId243" Type="http://schemas.openxmlformats.org/officeDocument/2006/relationships/image" Target="media/image152.png"/><Relationship Id="rId244" Type="http://schemas.openxmlformats.org/officeDocument/2006/relationships/image" Target="media/image153.png"/><Relationship Id="rId245" Type="http://schemas.openxmlformats.org/officeDocument/2006/relationships/image" Target="media/image154.png"/><Relationship Id="rId246" Type="http://schemas.openxmlformats.org/officeDocument/2006/relationships/image" Target="media/image155.png"/><Relationship Id="rId247" Type="http://schemas.openxmlformats.org/officeDocument/2006/relationships/image" Target="media/image156.png"/><Relationship Id="rId248" Type="http://schemas.openxmlformats.org/officeDocument/2006/relationships/image" Target="media/image157.png"/><Relationship Id="rId249" Type="http://schemas.openxmlformats.org/officeDocument/2006/relationships/image" Target="media/image158.png"/><Relationship Id="rId250" Type="http://schemas.openxmlformats.org/officeDocument/2006/relationships/image" Target="media/image159.png"/><Relationship Id="rId251" Type="http://schemas.openxmlformats.org/officeDocument/2006/relationships/image" Target="media/image160.png"/><Relationship Id="rId252" Type="http://schemas.openxmlformats.org/officeDocument/2006/relationships/image" Target="media/image161.png"/><Relationship Id="rId253" Type="http://schemas.openxmlformats.org/officeDocument/2006/relationships/image" Target="media/image162.jpeg"/><Relationship Id="rId254" Type="http://schemas.openxmlformats.org/officeDocument/2006/relationships/image" Target="media/image163.png"/><Relationship Id="rId255" Type="http://schemas.openxmlformats.org/officeDocument/2006/relationships/image" Target="media/image164.png"/><Relationship Id="rId256" Type="http://schemas.openxmlformats.org/officeDocument/2006/relationships/image" Target="media/image165.png"/><Relationship Id="rId257" Type="http://schemas.openxmlformats.org/officeDocument/2006/relationships/image" Target="media/image166.png"/><Relationship Id="rId258" Type="http://schemas.openxmlformats.org/officeDocument/2006/relationships/image" Target="media/image167.png"/><Relationship Id="rId259" Type="http://schemas.openxmlformats.org/officeDocument/2006/relationships/image" Target="media/image168.png"/><Relationship Id="rId260" Type="http://schemas.openxmlformats.org/officeDocument/2006/relationships/image" Target="media/image169.png"/><Relationship Id="rId261" Type="http://schemas.openxmlformats.org/officeDocument/2006/relationships/image" Target="media/image170.png"/><Relationship Id="rId262" Type="http://schemas.openxmlformats.org/officeDocument/2006/relationships/image" Target="media/image171.png"/><Relationship Id="rId263" Type="http://schemas.openxmlformats.org/officeDocument/2006/relationships/image" Target="media/image172.png"/><Relationship Id="rId264" Type="http://schemas.openxmlformats.org/officeDocument/2006/relationships/image" Target="media/image173.png"/><Relationship Id="rId265" Type="http://schemas.openxmlformats.org/officeDocument/2006/relationships/image" Target="media/image174.png"/><Relationship Id="rId266" Type="http://schemas.openxmlformats.org/officeDocument/2006/relationships/image" Target="media/image175.png"/><Relationship Id="rId267" Type="http://schemas.openxmlformats.org/officeDocument/2006/relationships/image" Target="media/image176.png"/><Relationship Id="rId268" Type="http://schemas.openxmlformats.org/officeDocument/2006/relationships/image" Target="media/image177.jpeg"/><Relationship Id="rId269" Type="http://schemas.openxmlformats.org/officeDocument/2006/relationships/image" Target="media/image178.png"/><Relationship Id="rId270" Type="http://schemas.openxmlformats.org/officeDocument/2006/relationships/image" Target="media/image179.png"/><Relationship Id="rId271" Type="http://schemas.openxmlformats.org/officeDocument/2006/relationships/image" Target="media/image180.png"/><Relationship Id="rId272" Type="http://schemas.openxmlformats.org/officeDocument/2006/relationships/image" Target="media/image181.png"/><Relationship Id="rId273" Type="http://schemas.openxmlformats.org/officeDocument/2006/relationships/image" Target="media/image182.png"/><Relationship Id="rId274" Type="http://schemas.openxmlformats.org/officeDocument/2006/relationships/image" Target="media/image183.png"/><Relationship Id="rId275" Type="http://schemas.openxmlformats.org/officeDocument/2006/relationships/image" Target="media/image184.png"/><Relationship Id="rId276" Type="http://schemas.openxmlformats.org/officeDocument/2006/relationships/image" Target="media/image185.png"/><Relationship Id="rId277" Type="http://schemas.openxmlformats.org/officeDocument/2006/relationships/image" Target="media/image186.png"/><Relationship Id="rId278" Type="http://schemas.openxmlformats.org/officeDocument/2006/relationships/image" Target="media/image187.png"/><Relationship Id="rId279" Type="http://schemas.openxmlformats.org/officeDocument/2006/relationships/image" Target="media/image188.png"/><Relationship Id="rId280" Type="http://schemas.openxmlformats.org/officeDocument/2006/relationships/image" Target="media/image189.png"/><Relationship Id="rId281" Type="http://schemas.openxmlformats.org/officeDocument/2006/relationships/image" Target="media/image190.png"/><Relationship Id="rId282" Type="http://schemas.openxmlformats.org/officeDocument/2006/relationships/image" Target="media/image191.jpeg"/><Relationship Id="rId283" Type="http://schemas.openxmlformats.org/officeDocument/2006/relationships/image" Target="media/image192.png"/><Relationship Id="rId284" Type="http://schemas.openxmlformats.org/officeDocument/2006/relationships/image" Target="media/image193.png"/><Relationship Id="rId285" Type="http://schemas.openxmlformats.org/officeDocument/2006/relationships/image" Target="media/image194.png"/><Relationship Id="rId286" Type="http://schemas.openxmlformats.org/officeDocument/2006/relationships/image" Target="media/image195.png"/><Relationship Id="rId287" Type="http://schemas.openxmlformats.org/officeDocument/2006/relationships/image" Target="media/image196.png"/><Relationship Id="rId288" Type="http://schemas.openxmlformats.org/officeDocument/2006/relationships/image" Target="media/image197.png"/><Relationship Id="rId289" Type="http://schemas.openxmlformats.org/officeDocument/2006/relationships/image" Target="media/image198.png"/><Relationship Id="rId290" Type="http://schemas.openxmlformats.org/officeDocument/2006/relationships/image" Target="media/image199.png"/><Relationship Id="rId291" Type="http://schemas.openxmlformats.org/officeDocument/2006/relationships/image" Target="media/image200.png"/><Relationship Id="rId292" Type="http://schemas.openxmlformats.org/officeDocument/2006/relationships/image" Target="media/image201.png"/><Relationship Id="rId293" Type="http://schemas.openxmlformats.org/officeDocument/2006/relationships/image" Target="media/image202.png"/><Relationship Id="rId294" Type="http://schemas.openxmlformats.org/officeDocument/2006/relationships/image" Target="media/image203.png"/><Relationship Id="rId295" Type="http://schemas.openxmlformats.org/officeDocument/2006/relationships/image" Target="media/image204.png"/><Relationship Id="rId296" Type="http://schemas.openxmlformats.org/officeDocument/2006/relationships/image" Target="media/image205.png"/><Relationship Id="rId297" Type="http://schemas.openxmlformats.org/officeDocument/2006/relationships/image" Target="media/image206.jpeg"/><Relationship Id="rId298" Type="http://schemas.openxmlformats.org/officeDocument/2006/relationships/image" Target="media/image207.jpeg"/><Relationship Id="rId299" Type="http://schemas.openxmlformats.org/officeDocument/2006/relationships/image" Target="media/image208.png"/><Relationship Id="rId300" Type="http://schemas.openxmlformats.org/officeDocument/2006/relationships/image" Target="media/image209.jpeg"/><Relationship Id="rId301" Type="http://schemas.openxmlformats.org/officeDocument/2006/relationships/image" Target="media/image210.jpeg"/><Relationship Id="rId302" Type="http://schemas.openxmlformats.org/officeDocument/2006/relationships/image" Target="media/image211.jpeg"/><Relationship Id="rId303" Type="http://schemas.openxmlformats.org/officeDocument/2006/relationships/image" Target="media/image212.jpeg"/><Relationship Id="rId304" Type="http://schemas.openxmlformats.org/officeDocument/2006/relationships/image" Target="media/image213.jpeg"/><Relationship Id="rId305" Type="http://schemas.openxmlformats.org/officeDocument/2006/relationships/image" Target="media/image214.jpeg"/><Relationship Id="rId306" Type="http://schemas.openxmlformats.org/officeDocument/2006/relationships/image" Target="media/image215.jpeg"/><Relationship Id="rId307" Type="http://schemas.openxmlformats.org/officeDocument/2006/relationships/image" Target="media/image216.jpeg"/><Relationship Id="rId308" Type="http://schemas.openxmlformats.org/officeDocument/2006/relationships/image" Target="media/image217.jpeg"/><Relationship Id="rId309" Type="http://schemas.openxmlformats.org/officeDocument/2006/relationships/image" Target="media/image218.jpeg"/><Relationship Id="rId310" Type="http://schemas.openxmlformats.org/officeDocument/2006/relationships/image" Target="media/image219.jpeg"/><Relationship Id="rId311" Type="http://schemas.openxmlformats.org/officeDocument/2006/relationships/image" Target="media/image220.jpeg"/><Relationship Id="rId312" Type="http://schemas.openxmlformats.org/officeDocument/2006/relationships/image" Target="media/image221.jpeg"/><Relationship Id="rId313" Type="http://schemas.openxmlformats.org/officeDocument/2006/relationships/image" Target="media/image222.jpeg"/><Relationship Id="rId314" Type="http://schemas.openxmlformats.org/officeDocument/2006/relationships/image" Target="media/image223.jpeg"/><Relationship Id="rId315" Type="http://schemas.openxmlformats.org/officeDocument/2006/relationships/image" Target="media/image224.jpeg"/><Relationship Id="rId316" Type="http://schemas.openxmlformats.org/officeDocument/2006/relationships/image" Target="media/image225.jpeg"/><Relationship Id="rId317" Type="http://schemas.openxmlformats.org/officeDocument/2006/relationships/image" Target="media/image226.jpeg"/><Relationship Id="rId318" Type="http://schemas.openxmlformats.org/officeDocument/2006/relationships/image" Target="media/image227.jpeg"/><Relationship Id="rId319" Type="http://schemas.openxmlformats.org/officeDocument/2006/relationships/image" Target="media/image228.jpeg"/><Relationship Id="rId320" Type="http://schemas.openxmlformats.org/officeDocument/2006/relationships/image" Target="media/image229.jpeg"/><Relationship Id="rId321" Type="http://schemas.openxmlformats.org/officeDocument/2006/relationships/image" Target="media/image230.jpeg"/><Relationship Id="rId322" Type="http://schemas.openxmlformats.org/officeDocument/2006/relationships/image" Target="media/image231.jpeg"/><Relationship Id="rId323" Type="http://schemas.openxmlformats.org/officeDocument/2006/relationships/image" Target="media/image232.jpeg"/><Relationship Id="rId324" Type="http://schemas.openxmlformats.org/officeDocument/2006/relationships/image" Target="media/image233.jpeg"/><Relationship Id="rId325" Type="http://schemas.openxmlformats.org/officeDocument/2006/relationships/image" Target="media/image234.jpeg"/><Relationship Id="rId326" Type="http://schemas.openxmlformats.org/officeDocument/2006/relationships/image" Target="media/image235.jpeg"/><Relationship Id="rId327" Type="http://schemas.openxmlformats.org/officeDocument/2006/relationships/image" Target="media/image236.jpeg"/><Relationship Id="rId328" Type="http://schemas.openxmlformats.org/officeDocument/2006/relationships/image" Target="media/image237.jpeg"/><Relationship Id="rId329" Type="http://schemas.openxmlformats.org/officeDocument/2006/relationships/image" Target="media/image238.jpeg"/><Relationship Id="rId330" Type="http://schemas.openxmlformats.org/officeDocument/2006/relationships/image" Target="media/image239.jpeg"/><Relationship Id="rId331" Type="http://schemas.openxmlformats.org/officeDocument/2006/relationships/image" Target="media/image240.png"/><Relationship Id="rId332" Type="http://schemas.openxmlformats.org/officeDocument/2006/relationships/image" Target="media/image241.jpeg"/><Relationship Id="rId333" Type="http://schemas.openxmlformats.org/officeDocument/2006/relationships/image" Target="media/image242.jpeg"/><Relationship Id="rId334" Type="http://schemas.openxmlformats.org/officeDocument/2006/relationships/image" Target="media/image243.jpeg"/><Relationship Id="rId335" Type="http://schemas.openxmlformats.org/officeDocument/2006/relationships/image" Target="media/image244.jpeg"/><Relationship Id="rId336" Type="http://schemas.openxmlformats.org/officeDocument/2006/relationships/image" Target="media/image245.jpeg"/><Relationship Id="rId337" Type="http://schemas.openxmlformats.org/officeDocument/2006/relationships/image" Target="media/image246.jpeg"/><Relationship Id="rId338" Type="http://schemas.openxmlformats.org/officeDocument/2006/relationships/image" Target="media/image247.jpeg"/><Relationship Id="rId339" Type="http://schemas.openxmlformats.org/officeDocument/2006/relationships/image" Target="media/image248.jpeg"/><Relationship Id="rId340" Type="http://schemas.openxmlformats.org/officeDocument/2006/relationships/image" Target="media/image249.jpeg"/><Relationship Id="rId341" Type="http://schemas.openxmlformats.org/officeDocument/2006/relationships/image" Target="media/image250.jpeg"/><Relationship Id="rId342" Type="http://schemas.openxmlformats.org/officeDocument/2006/relationships/image" Target="media/image251.jpeg"/><Relationship Id="rId343" Type="http://schemas.openxmlformats.org/officeDocument/2006/relationships/image" Target="media/image252.jpeg"/><Relationship Id="rId344" Type="http://schemas.openxmlformats.org/officeDocument/2006/relationships/image" Target="media/image253.jpeg"/><Relationship Id="rId345" Type="http://schemas.openxmlformats.org/officeDocument/2006/relationships/image" Target="media/image254.jpeg"/><Relationship Id="rId346" Type="http://schemas.openxmlformats.org/officeDocument/2006/relationships/image" Target="media/image255.jpeg"/><Relationship Id="rId347" Type="http://schemas.openxmlformats.org/officeDocument/2006/relationships/image" Target="media/image256.jpeg"/><Relationship Id="rId348" Type="http://schemas.openxmlformats.org/officeDocument/2006/relationships/image" Target="media/image257.jpeg"/><Relationship Id="rId349" Type="http://schemas.openxmlformats.org/officeDocument/2006/relationships/image" Target="media/image258.jpeg"/><Relationship Id="rId350" Type="http://schemas.openxmlformats.org/officeDocument/2006/relationships/image" Target="media/image259.jpeg"/><Relationship Id="rId351" Type="http://schemas.openxmlformats.org/officeDocument/2006/relationships/image" Target="media/image260.jpeg"/><Relationship Id="rId352" Type="http://schemas.openxmlformats.org/officeDocument/2006/relationships/image" Target="media/image261.jpeg"/><Relationship Id="rId353" Type="http://schemas.openxmlformats.org/officeDocument/2006/relationships/image" Target="media/image262.jpeg"/><Relationship Id="rId354" Type="http://schemas.openxmlformats.org/officeDocument/2006/relationships/image" Target="media/image263.jpeg"/><Relationship Id="rId355" Type="http://schemas.openxmlformats.org/officeDocument/2006/relationships/image" Target="media/image264.jpeg"/><Relationship Id="rId356" Type="http://schemas.openxmlformats.org/officeDocument/2006/relationships/image" Target="media/image265.jpeg"/><Relationship Id="rId357" Type="http://schemas.openxmlformats.org/officeDocument/2006/relationships/image" Target="media/image266.jpeg"/><Relationship Id="rId358" Type="http://schemas.openxmlformats.org/officeDocument/2006/relationships/image" Target="media/image267.jpeg"/><Relationship Id="rId359" Type="http://schemas.openxmlformats.org/officeDocument/2006/relationships/image" Target="media/image268.jpeg"/><Relationship Id="rId360" Type="http://schemas.openxmlformats.org/officeDocument/2006/relationships/image" Target="media/image269.jpeg"/><Relationship Id="rId361" Type="http://schemas.openxmlformats.org/officeDocument/2006/relationships/image" Target="media/image270.jpeg"/><Relationship Id="rId362" Type="http://schemas.openxmlformats.org/officeDocument/2006/relationships/image" Target="media/image271.jpeg"/><Relationship Id="rId363" Type="http://schemas.openxmlformats.org/officeDocument/2006/relationships/image" Target="media/image272.jpeg"/><Relationship Id="rId364" Type="http://schemas.openxmlformats.org/officeDocument/2006/relationships/image" Target="media/image273.jpeg"/><Relationship Id="rId365" Type="http://schemas.openxmlformats.org/officeDocument/2006/relationships/image" Target="media/image274.jpeg"/><Relationship Id="rId366" Type="http://schemas.openxmlformats.org/officeDocument/2006/relationships/image" Target="media/image275.jpeg"/><Relationship Id="rId367" Type="http://schemas.openxmlformats.org/officeDocument/2006/relationships/image" Target="media/image276.jpeg"/><Relationship Id="rId368" Type="http://schemas.openxmlformats.org/officeDocument/2006/relationships/image" Target="media/image277.jpeg"/><Relationship Id="rId369" Type="http://schemas.openxmlformats.org/officeDocument/2006/relationships/image" Target="media/image278.jpeg"/><Relationship Id="rId370" Type="http://schemas.openxmlformats.org/officeDocument/2006/relationships/image" Target="media/image279.jpeg"/><Relationship Id="rId371" Type="http://schemas.openxmlformats.org/officeDocument/2006/relationships/image" Target="media/image280.jpeg"/><Relationship Id="rId372" Type="http://schemas.openxmlformats.org/officeDocument/2006/relationships/image" Target="media/image281.jpeg"/><Relationship Id="rId373" Type="http://schemas.openxmlformats.org/officeDocument/2006/relationships/image" Target="media/image282.jpeg"/><Relationship Id="rId374" Type="http://schemas.openxmlformats.org/officeDocument/2006/relationships/image" Target="media/image283.jpeg"/><Relationship Id="rId375" Type="http://schemas.openxmlformats.org/officeDocument/2006/relationships/image" Target="media/image284.jpeg"/><Relationship Id="rId376" Type="http://schemas.openxmlformats.org/officeDocument/2006/relationships/image" Target="media/image285.png"/><Relationship Id="rId377" Type="http://schemas.openxmlformats.org/officeDocument/2006/relationships/image" Target="media/image286.jpeg"/><Relationship Id="rId378" Type="http://schemas.openxmlformats.org/officeDocument/2006/relationships/image" Target="media/image287.jpeg"/><Relationship Id="rId379" Type="http://schemas.openxmlformats.org/officeDocument/2006/relationships/image" Target="media/image288.jpeg"/><Relationship Id="rId380" Type="http://schemas.openxmlformats.org/officeDocument/2006/relationships/image" Target="media/image289.jpeg"/><Relationship Id="rId381" Type="http://schemas.openxmlformats.org/officeDocument/2006/relationships/image" Target="media/image290.jpeg"/><Relationship Id="rId382" Type="http://schemas.openxmlformats.org/officeDocument/2006/relationships/image" Target="media/image291.jpeg"/><Relationship Id="rId383" Type="http://schemas.openxmlformats.org/officeDocument/2006/relationships/image" Target="media/image292.jpeg"/><Relationship Id="rId384" Type="http://schemas.openxmlformats.org/officeDocument/2006/relationships/image" Target="media/image293.jpeg"/><Relationship Id="rId385" Type="http://schemas.openxmlformats.org/officeDocument/2006/relationships/image" Target="media/image294.jpeg"/><Relationship Id="rId386" Type="http://schemas.openxmlformats.org/officeDocument/2006/relationships/image" Target="media/image295.jpeg"/><Relationship Id="rId387" Type="http://schemas.openxmlformats.org/officeDocument/2006/relationships/image" Target="media/image296.jpeg"/><Relationship Id="rId388" Type="http://schemas.openxmlformats.org/officeDocument/2006/relationships/image" Target="media/image297.jpeg"/><Relationship Id="rId389" Type="http://schemas.openxmlformats.org/officeDocument/2006/relationships/image" Target="media/image298.jpeg"/><Relationship Id="rId390" Type="http://schemas.openxmlformats.org/officeDocument/2006/relationships/image" Target="media/image299.jpeg"/><Relationship Id="rId391" Type="http://schemas.openxmlformats.org/officeDocument/2006/relationships/image" Target="media/image300.jpeg"/><Relationship Id="rId392" Type="http://schemas.openxmlformats.org/officeDocument/2006/relationships/image" Target="media/image301.jpeg"/><Relationship Id="rId393" Type="http://schemas.openxmlformats.org/officeDocument/2006/relationships/image" Target="media/image302.jpeg"/><Relationship Id="rId394" Type="http://schemas.openxmlformats.org/officeDocument/2006/relationships/image" Target="media/image303.jpeg"/><Relationship Id="rId395" Type="http://schemas.openxmlformats.org/officeDocument/2006/relationships/image" Target="media/image304.jpeg"/><Relationship Id="rId396" Type="http://schemas.openxmlformats.org/officeDocument/2006/relationships/image" Target="media/image305.jpeg"/><Relationship Id="rId397" Type="http://schemas.openxmlformats.org/officeDocument/2006/relationships/image" Target="media/image306.png"/><Relationship Id="rId398" Type="http://schemas.openxmlformats.org/officeDocument/2006/relationships/image" Target="media/image307.jpeg"/><Relationship Id="rId399" Type="http://schemas.openxmlformats.org/officeDocument/2006/relationships/image" Target="media/image308.jpeg"/><Relationship Id="rId400" Type="http://schemas.openxmlformats.org/officeDocument/2006/relationships/image" Target="media/image309.jpeg"/><Relationship Id="rId401" Type="http://schemas.openxmlformats.org/officeDocument/2006/relationships/image" Target="media/image310.jpeg"/><Relationship Id="rId402" Type="http://schemas.openxmlformats.org/officeDocument/2006/relationships/image" Target="media/image311.jpeg"/><Relationship Id="rId403" Type="http://schemas.openxmlformats.org/officeDocument/2006/relationships/image" Target="media/image312.jpeg"/><Relationship Id="rId404" Type="http://schemas.openxmlformats.org/officeDocument/2006/relationships/image" Target="media/image313.jpeg"/><Relationship Id="rId405" Type="http://schemas.openxmlformats.org/officeDocument/2006/relationships/image" Target="media/image314.jpeg"/><Relationship Id="rId406" Type="http://schemas.openxmlformats.org/officeDocument/2006/relationships/image" Target="media/image315.jpeg"/><Relationship Id="rId407" Type="http://schemas.openxmlformats.org/officeDocument/2006/relationships/image" Target="media/image316.jpeg"/><Relationship Id="rId408" Type="http://schemas.openxmlformats.org/officeDocument/2006/relationships/image" Target="media/image317.jpeg"/><Relationship Id="rId409" Type="http://schemas.openxmlformats.org/officeDocument/2006/relationships/image" Target="media/image318.jpeg"/><Relationship Id="rId410" Type="http://schemas.openxmlformats.org/officeDocument/2006/relationships/image" Target="media/image319.jpeg"/><Relationship Id="rId411" Type="http://schemas.openxmlformats.org/officeDocument/2006/relationships/image" Target="media/image320.jpeg"/><Relationship Id="rId412" Type="http://schemas.openxmlformats.org/officeDocument/2006/relationships/image" Target="media/image321.jpeg"/><Relationship Id="rId413" Type="http://schemas.openxmlformats.org/officeDocument/2006/relationships/image" Target="media/image322.jpeg"/><Relationship Id="rId414" Type="http://schemas.openxmlformats.org/officeDocument/2006/relationships/image" Target="media/image323.jpeg"/><Relationship Id="rId415" Type="http://schemas.openxmlformats.org/officeDocument/2006/relationships/image" Target="media/image324.jpeg"/><Relationship Id="rId416" Type="http://schemas.openxmlformats.org/officeDocument/2006/relationships/image" Target="media/image325.jpeg"/><Relationship Id="rId417" Type="http://schemas.openxmlformats.org/officeDocument/2006/relationships/image" Target="media/image326.jpeg"/><Relationship Id="rId418" Type="http://schemas.openxmlformats.org/officeDocument/2006/relationships/image" Target="media/image327.jpeg"/><Relationship Id="rId419" Type="http://schemas.openxmlformats.org/officeDocument/2006/relationships/image" Target="media/image328.jpeg"/><Relationship Id="rId420" Type="http://schemas.openxmlformats.org/officeDocument/2006/relationships/image" Target="media/image329.jpeg"/><Relationship Id="rId421" Type="http://schemas.openxmlformats.org/officeDocument/2006/relationships/image" Target="media/image330.jpeg"/><Relationship Id="rId422" Type="http://schemas.openxmlformats.org/officeDocument/2006/relationships/image" Target="media/image331.jpeg"/><Relationship Id="rId423" Type="http://schemas.openxmlformats.org/officeDocument/2006/relationships/image" Target="media/image332.jpeg"/><Relationship Id="rId424" Type="http://schemas.openxmlformats.org/officeDocument/2006/relationships/image" Target="media/image333.jpeg"/><Relationship Id="rId425" Type="http://schemas.openxmlformats.org/officeDocument/2006/relationships/image" Target="media/image334.jpeg"/><Relationship Id="rId426" Type="http://schemas.openxmlformats.org/officeDocument/2006/relationships/image" Target="media/image335.jpeg"/><Relationship Id="rId427" Type="http://schemas.openxmlformats.org/officeDocument/2006/relationships/image" Target="media/image336.jpeg"/><Relationship Id="rId428" Type="http://schemas.openxmlformats.org/officeDocument/2006/relationships/image" Target="media/image337.jpeg"/><Relationship Id="rId429" Type="http://schemas.openxmlformats.org/officeDocument/2006/relationships/image" Target="media/image338.jpeg"/><Relationship Id="rId430" Type="http://schemas.openxmlformats.org/officeDocument/2006/relationships/image" Target="media/image339.jpeg"/><Relationship Id="rId431" Type="http://schemas.openxmlformats.org/officeDocument/2006/relationships/image" Target="media/image340.jpeg"/><Relationship Id="rId432" Type="http://schemas.openxmlformats.org/officeDocument/2006/relationships/image" Target="media/image341.jpeg"/><Relationship Id="rId433" Type="http://schemas.openxmlformats.org/officeDocument/2006/relationships/image" Target="media/image342.jpeg"/><Relationship Id="rId434" Type="http://schemas.openxmlformats.org/officeDocument/2006/relationships/image" Target="media/image343.png"/><Relationship Id="rId435" Type="http://schemas.openxmlformats.org/officeDocument/2006/relationships/image" Target="media/image344.jpeg"/><Relationship Id="rId436" Type="http://schemas.openxmlformats.org/officeDocument/2006/relationships/image" Target="media/image345.png"/><Relationship Id="rId437" Type="http://schemas.openxmlformats.org/officeDocument/2006/relationships/image" Target="media/image346.jpeg"/><Relationship Id="rId438" Type="http://schemas.openxmlformats.org/officeDocument/2006/relationships/image" Target="media/image347.jpeg"/><Relationship Id="rId439" Type="http://schemas.openxmlformats.org/officeDocument/2006/relationships/image" Target="media/image348.png"/><Relationship Id="rId440" Type="http://schemas.openxmlformats.org/officeDocument/2006/relationships/image" Target="media/image349.jpeg"/><Relationship Id="rId441" Type="http://schemas.openxmlformats.org/officeDocument/2006/relationships/image" Target="media/image350.jpeg"/><Relationship Id="rId442" Type="http://schemas.openxmlformats.org/officeDocument/2006/relationships/image" Target="media/image351.png"/><Relationship Id="rId443" Type="http://schemas.openxmlformats.org/officeDocument/2006/relationships/image" Target="media/image352.png"/><Relationship Id="rId444" Type="http://schemas.openxmlformats.org/officeDocument/2006/relationships/image" Target="media/image353.png"/><Relationship Id="rId445" Type="http://schemas.openxmlformats.org/officeDocument/2006/relationships/image" Target="media/image354.jpeg"/><Relationship Id="rId446" Type="http://schemas.openxmlformats.org/officeDocument/2006/relationships/image" Target="media/image355.jpeg"/><Relationship Id="rId447" Type="http://schemas.openxmlformats.org/officeDocument/2006/relationships/image" Target="media/image356.jpeg"/><Relationship Id="rId448" Type="http://schemas.openxmlformats.org/officeDocument/2006/relationships/image" Target="media/image357.jpeg"/><Relationship Id="rId449" Type="http://schemas.openxmlformats.org/officeDocument/2006/relationships/image" Target="media/image358.jpeg"/><Relationship Id="rId450" Type="http://schemas.openxmlformats.org/officeDocument/2006/relationships/image" Target="media/image359.jpeg"/><Relationship Id="rId451" Type="http://schemas.openxmlformats.org/officeDocument/2006/relationships/image" Target="media/image360.jpeg"/><Relationship Id="rId452" Type="http://schemas.openxmlformats.org/officeDocument/2006/relationships/image" Target="media/image361.jpeg"/><Relationship Id="rId453" Type="http://schemas.openxmlformats.org/officeDocument/2006/relationships/image" Target="media/image362.jpeg"/><Relationship Id="rId454" Type="http://schemas.openxmlformats.org/officeDocument/2006/relationships/image" Target="media/image363.jpeg"/><Relationship Id="rId455" Type="http://schemas.openxmlformats.org/officeDocument/2006/relationships/image" Target="media/image364.jpeg"/><Relationship Id="rId456" Type="http://schemas.openxmlformats.org/officeDocument/2006/relationships/image" Target="media/image365.jpeg"/><Relationship Id="rId457" Type="http://schemas.openxmlformats.org/officeDocument/2006/relationships/image" Target="media/image366.jpeg"/><Relationship Id="rId458" Type="http://schemas.openxmlformats.org/officeDocument/2006/relationships/image" Target="media/image367.jpeg"/><Relationship Id="rId459" Type="http://schemas.openxmlformats.org/officeDocument/2006/relationships/image" Target="media/image368.jpeg"/><Relationship Id="rId460" Type="http://schemas.openxmlformats.org/officeDocument/2006/relationships/image" Target="media/image369.jpeg"/><Relationship Id="rId461" Type="http://schemas.openxmlformats.org/officeDocument/2006/relationships/image" Target="media/image370.jpeg"/><Relationship Id="rId462" Type="http://schemas.openxmlformats.org/officeDocument/2006/relationships/image" Target="media/image371.jpeg"/><Relationship Id="rId463" Type="http://schemas.openxmlformats.org/officeDocument/2006/relationships/image" Target="media/image372.jpeg"/><Relationship Id="rId464" Type="http://schemas.openxmlformats.org/officeDocument/2006/relationships/image" Target="media/image373.jpeg"/><Relationship Id="rId465" Type="http://schemas.openxmlformats.org/officeDocument/2006/relationships/image" Target="media/image374.jpeg"/><Relationship Id="rId466" Type="http://schemas.openxmlformats.org/officeDocument/2006/relationships/image" Target="media/image375.jpeg"/><Relationship Id="rId467" Type="http://schemas.openxmlformats.org/officeDocument/2006/relationships/image" Target="media/image376.jpeg"/><Relationship Id="rId468" Type="http://schemas.openxmlformats.org/officeDocument/2006/relationships/image" Target="media/image377.jpeg"/><Relationship Id="rId469" Type="http://schemas.openxmlformats.org/officeDocument/2006/relationships/image" Target="media/image378.jpeg"/><Relationship Id="rId470" Type="http://schemas.openxmlformats.org/officeDocument/2006/relationships/image" Target="media/image379.jpeg"/><Relationship Id="rId471" Type="http://schemas.openxmlformats.org/officeDocument/2006/relationships/image" Target="media/image380.jpeg"/><Relationship Id="rId472" Type="http://schemas.openxmlformats.org/officeDocument/2006/relationships/image" Target="media/image381.jpeg"/><Relationship Id="rId473" Type="http://schemas.openxmlformats.org/officeDocument/2006/relationships/image" Target="media/image382.jpeg"/><Relationship Id="rId474" Type="http://schemas.openxmlformats.org/officeDocument/2006/relationships/image" Target="media/image383.jpeg"/><Relationship Id="rId475" Type="http://schemas.openxmlformats.org/officeDocument/2006/relationships/image" Target="media/image384.jpeg"/><Relationship Id="rId476" Type="http://schemas.openxmlformats.org/officeDocument/2006/relationships/image" Target="media/image385.jpeg"/><Relationship Id="rId477" Type="http://schemas.openxmlformats.org/officeDocument/2006/relationships/image" Target="media/image386.jpeg"/><Relationship Id="rId478" Type="http://schemas.openxmlformats.org/officeDocument/2006/relationships/image" Target="media/image387.jpeg"/><Relationship Id="rId479" Type="http://schemas.openxmlformats.org/officeDocument/2006/relationships/image" Target="media/image388.jpeg"/><Relationship Id="rId480" Type="http://schemas.openxmlformats.org/officeDocument/2006/relationships/image" Target="media/image389.jpeg"/><Relationship Id="rId481" Type="http://schemas.openxmlformats.org/officeDocument/2006/relationships/image" Target="media/image390.jpeg"/><Relationship Id="rId482" Type="http://schemas.openxmlformats.org/officeDocument/2006/relationships/image" Target="media/image391.jpeg"/><Relationship Id="rId483" Type="http://schemas.openxmlformats.org/officeDocument/2006/relationships/image" Target="media/image392.jpeg"/><Relationship Id="rId484" Type="http://schemas.openxmlformats.org/officeDocument/2006/relationships/image" Target="media/image393.jpeg"/><Relationship Id="rId485" Type="http://schemas.openxmlformats.org/officeDocument/2006/relationships/image" Target="media/image394.jpeg"/><Relationship Id="rId486" Type="http://schemas.openxmlformats.org/officeDocument/2006/relationships/image" Target="media/image395.jpeg"/><Relationship Id="rId487" Type="http://schemas.openxmlformats.org/officeDocument/2006/relationships/image" Target="media/image396.jpeg"/><Relationship Id="rId488" Type="http://schemas.openxmlformats.org/officeDocument/2006/relationships/image" Target="media/image397.jpeg"/><Relationship Id="rId489" Type="http://schemas.openxmlformats.org/officeDocument/2006/relationships/image" Target="media/image398.jpeg"/><Relationship Id="rId490" Type="http://schemas.openxmlformats.org/officeDocument/2006/relationships/image" Target="media/image399.jpeg"/><Relationship Id="rId491" Type="http://schemas.openxmlformats.org/officeDocument/2006/relationships/image" Target="media/image400.jpeg"/><Relationship Id="rId492" Type="http://schemas.openxmlformats.org/officeDocument/2006/relationships/image" Target="media/image401.jpeg"/><Relationship Id="rId493" Type="http://schemas.openxmlformats.org/officeDocument/2006/relationships/image" Target="media/image402.jpeg"/><Relationship Id="rId494" Type="http://schemas.openxmlformats.org/officeDocument/2006/relationships/image" Target="media/image403.jpeg"/><Relationship Id="rId495" Type="http://schemas.openxmlformats.org/officeDocument/2006/relationships/image" Target="media/image404.jpeg"/><Relationship Id="rId496" Type="http://schemas.openxmlformats.org/officeDocument/2006/relationships/image" Target="media/image405.jpeg"/><Relationship Id="rId497" Type="http://schemas.openxmlformats.org/officeDocument/2006/relationships/image" Target="media/image406.jpeg"/><Relationship Id="rId498" Type="http://schemas.openxmlformats.org/officeDocument/2006/relationships/image" Target="media/image407.jpeg"/><Relationship Id="rId499" Type="http://schemas.openxmlformats.org/officeDocument/2006/relationships/image" Target="media/image408.jpeg"/><Relationship Id="rId500" Type="http://schemas.openxmlformats.org/officeDocument/2006/relationships/image" Target="media/image409.jpeg"/><Relationship Id="rId501" Type="http://schemas.openxmlformats.org/officeDocument/2006/relationships/image" Target="media/image410.jpeg"/><Relationship Id="rId502" Type="http://schemas.openxmlformats.org/officeDocument/2006/relationships/image" Target="media/image411.jpeg"/><Relationship Id="rId503" Type="http://schemas.openxmlformats.org/officeDocument/2006/relationships/image" Target="media/image412.jpeg"/><Relationship Id="rId504" Type="http://schemas.openxmlformats.org/officeDocument/2006/relationships/image" Target="media/image413.jpeg"/><Relationship Id="rId505" Type="http://schemas.openxmlformats.org/officeDocument/2006/relationships/image" Target="media/image414.jpeg"/><Relationship Id="rId506" Type="http://schemas.openxmlformats.org/officeDocument/2006/relationships/image" Target="media/image415.jpeg"/><Relationship Id="rId507" Type="http://schemas.openxmlformats.org/officeDocument/2006/relationships/image" Target="media/image416.jpeg"/><Relationship Id="rId508" Type="http://schemas.openxmlformats.org/officeDocument/2006/relationships/image" Target="media/image417.jpeg"/><Relationship Id="rId509" Type="http://schemas.openxmlformats.org/officeDocument/2006/relationships/image" Target="media/image418.jpeg"/><Relationship Id="rId510" Type="http://schemas.openxmlformats.org/officeDocument/2006/relationships/image" Target="media/image419.jpeg"/><Relationship Id="rId511" Type="http://schemas.openxmlformats.org/officeDocument/2006/relationships/image" Target="media/image420.jpeg"/><Relationship Id="rId512" Type="http://schemas.openxmlformats.org/officeDocument/2006/relationships/image" Target="media/image421.jpeg"/><Relationship Id="rId513" Type="http://schemas.openxmlformats.org/officeDocument/2006/relationships/image" Target="media/image422.jpeg"/><Relationship Id="rId514" Type="http://schemas.openxmlformats.org/officeDocument/2006/relationships/image" Target="media/image423.jpeg"/><Relationship Id="rId515" Type="http://schemas.openxmlformats.org/officeDocument/2006/relationships/image" Target="media/image424.jpeg"/><Relationship Id="rId516" Type="http://schemas.openxmlformats.org/officeDocument/2006/relationships/image" Target="media/image425.jpeg"/><Relationship Id="rId517" Type="http://schemas.openxmlformats.org/officeDocument/2006/relationships/image" Target="media/image426.jpeg"/><Relationship Id="rId518" Type="http://schemas.openxmlformats.org/officeDocument/2006/relationships/image" Target="media/image427.jpeg"/><Relationship Id="rId519" Type="http://schemas.openxmlformats.org/officeDocument/2006/relationships/image" Target="media/image428.jpeg"/><Relationship Id="rId520" Type="http://schemas.openxmlformats.org/officeDocument/2006/relationships/image" Target="media/image429.jpeg"/><Relationship Id="rId521" Type="http://schemas.openxmlformats.org/officeDocument/2006/relationships/image" Target="media/image430.jpeg"/><Relationship Id="rId522" Type="http://schemas.openxmlformats.org/officeDocument/2006/relationships/image" Target="media/image431.jpeg"/><Relationship Id="rId523" Type="http://schemas.openxmlformats.org/officeDocument/2006/relationships/image" Target="media/image432.jpeg"/><Relationship Id="rId524" Type="http://schemas.openxmlformats.org/officeDocument/2006/relationships/image" Target="media/image433.jpeg"/><Relationship Id="rId525" Type="http://schemas.openxmlformats.org/officeDocument/2006/relationships/image" Target="media/image434.jpeg"/><Relationship Id="rId526" Type="http://schemas.openxmlformats.org/officeDocument/2006/relationships/image" Target="media/image435.jpeg"/><Relationship Id="rId527" Type="http://schemas.openxmlformats.org/officeDocument/2006/relationships/image" Target="media/image436.jpeg"/><Relationship Id="rId528" Type="http://schemas.openxmlformats.org/officeDocument/2006/relationships/image" Target="media/image437.jpeg"/><Relationship Id="rId529" Type="http://schemas.openxmlformats.org/officeDocument/2006/relationships/image" Target="media/image438.jpeg"/><Relationship Id="rId530" Type="http://schemas.openxmlformats.org/officeDocument/2006/relationships/image" Target="media/image439.jpeg"/><Relationship Id="rId531" Type="http://schemas.openxmlformats.org/officeDocument/2006/relationships/image" Target="media/image440.jpeg"/><Relationship Id="rId532" Type="http://schemas.openxmlformats.org/officeDocument/2006/relationships/image" Target="media/image441.jpeg"/><Relationship Id="rId533" Type="http://schemas.openxmlformats.org/officeDocument/2006/relationships/image" Target="media/image442.jpeg"/><Relationship Id="rId534" Type="http://schemas.openxmlformats.org/officeDocument/2006/relationships/image" Target="media/image443.jpeg"/><Relationship Id="rId535" Type="http://schemas.openxmlformats.org/officeDocument/2006/relationships/image" Target="media/image444.jpeg"/><Relationship Id="rId536" Type="http://schemas.openxmlformats.org/officeDocument/2006/relationships/image" Target="media/image445.jpeg"/><Relationship Id="rId537" Type="http://schemas.openxmlformats.org/officeDocument/2006/relationships/image" Target="media/image446.jpeg"/><Relationship Id="rId538" Type="http://schemas.openxmlformats.org/officeDocument/2006/relationships/image" Target="media/image447.jpeg"/><Relationship Id="rId539" Type="http://schemas.openxmlformats.org/officeDocument/2006/relationships/image" Target="media/image448.jpeg"/><Relationship Id="rId540" Type="http://schemas.openxmlformats.org/officeDocument/2006/relationships/image" Target="media/image449.jpeg"/><Relationship Id="rId541" Type="http://schemas.openxmlformats.org/officeDocument/2006/relationships/image" Target="media/image450.jpeg"/><Relationship Id="rId542" Type="http://schemas.openxmlformats.org/officeDocument/2006/relationships/image" Target="media/image451.jpeg"/><Relationship Id="rId543" Type="http://schemas.openxmlformats.org/officeDocument/2006/relationships/image" Target="media/image452.jpeg"/><Relationship Id="rId544" Type="http://schemas.openxmlformats.org/officeDocument/2006/relationships/image" Target="media/image453.jpeg"/><Relationship Id="rId545" Type="http://schemas.openxmlformats.org/officeDocument/2006/relationships/image" Target="media/image454.jpeg"/><Relationship Id="rId546" Type="http://schemas.openxmlformats.org/officeDocument/2006/relationships/image" Target="media/image455.jpeg"/><Relationship Id="rId547" Type="http://schemas.openxmlformats.org/officeDocument/2006/relationships/image" Target="media/image456.jpeg"/><Relationship Id="rId548" Type="http://schemas.openxmlformats.org/officeDocument/2006/relationships/image" Target="media/image457.jpeg"/><Relationship Id="rId549" Type="http://schemas.openxmlformats.org/officeDocument/2006/relationships/image" Target="media/image458.jpeg"/><Relationship Id="rId550" Type="http://schemas.openxmlformats.org/officeDocument/2006/relationships/image" Target="media/image459.jpeg"/><Relationship Id="rId551" Type="http://schemas.openxmlformats.org/officeDocument/2006/relationships/image" Target="media/image460.jpeg"/><Relationship Id="rId552" Type="http://schemas.openxmlformats.org/officeDocument/2006/relationships/image" Target="media/image461.jpeg"/><Relationship Id="rId553" Type="http://schemas.openxmlformats.org/officeDocument/2006/relationships/image" Target="media/image462.jpeg"/><Relationship Id="rId554" Type="http://schemas.openxmlformats.org/officeDocument/2006/relationships/image" Target="media/image463.jpeg"/><Relationship Id="rId555" Type="http://schemas.openxmlformats.org/officeDocument/2006/relationships/image" Target="media/image464.jpeg"/><Relationship Id="rId556" Type="http://schemas.openxmlformats.org/officeDocument/2006/relationships/image" Target="media/image465.jpeg"/><Relationship Id="rId557" Type="http://schemas.openxmlformats.org/officeDocument/2006/relationships/image" Target="media/image466.jpeg"/><Relationship Id="rId558" Type="http://schemas.openxmlformats.org/officeDocument/2006/relationships/image" Target="media/image467.jpeg"/><Relationship Id="rId559" Type="http://schemas.openxmlformats.org/officeDocument/2006/relationships/image" Target="media/image468.jpeg"/><Relationship Id="rId560" Type="http://schemas.openxmlformats.org/officeDocument/2006/relationships/image" Target="media/image469.jpeg"/><Relationship Id="rId561" Type="http://schemas.openxmlformats.org/officeDocument/2006/relationships/image" Target="media/image470.jpeg"/><Relationship Id="rId562" Type="http://schemas.openxmlformats.org/officeDocument/2006/relationships/image" Target="media/image471.jpeg"/><Relationship Id="rId563" Type="http://schemas.openxmlformats.org/officeDocument/2006/relationships/image" Target="media/image472.jpeg"/><Relationship Id="rId564" Type="http://schemas.openxmlformats.org/officeDocument/2006/relationships/image" Target="media/image473.jpeg"/><Relationship Id="rId565" Type="http://schemas.openxmlformats.org/officeDocument/2006/relationships/image" Target="media/image474.jpeg"/><Relationship Id="rId566" Type="http://schemas.openxmlformats.org/officeDocument/2006/relationships/image" Target="media/image475.jpeg"/><Relationship Id="rId567" Type="http://schemas.openxmlformats.org/officeDocument/2006/relationships/image" Target="media/image476.jpeg"/><Relationship Id="rId568" Type="http://schemas.openxmlformats.org/officeDocument/2006/relationships/image" Target="media/image477.jpeg"/><Relationship Id="rId569" Type="http://schemas.openxmlformats.org/officeDocument/2006/relationships/image" Target="media/image478.jpeg"/><Relationship Id="rId570" Type="http://schemas.openxmlformats.org/officeDocument/2006/relationships/image" Target="media/image479.jpeg"/><Relationship Id="rId571" Type="http://schemas.openxmlformats.org/officeDocument/2006/relationships/image" Target="media/image480.jpeg"/><Relationship Id="rId572" Type="http://schemas.openxmlformats.org/officeDocument/2006/relationships/image" Target="media/image481.jpeg"/><Relationship Id="rId573" Type="http://schemas.openxmlformats.org/officeDocument/2006/relationships/image" Target="media/image482.jpeg"/><Relationship Id="rId574" Type="http://schemas.openxmlformats.org/officeDocument/2006/relationships/image" Target="media/image483.jpeg"/><Relationship Id="rId575" Type="http://schemas.openxmlformats.org/officeDocument/2006/relationships/image" Target="media/image484.jpeg"/><Relationship Id="rId576" Type="http://schemas.openxmlformats.org/officeDocument/2006/relationships/image" Target="media/image485.jpeg"/><Relationship Id="rId577" Type="http://schemas.openxmlformats.org/officeDocument/2006/relationships/image" Target="media/image486.jpeg"/><Relationship Id="rId578" Type="http://schemas.openxmlformats.org/officeDocument/2006/relationships/image" Target="media/image487.jpeg"/><Relationship Id="rId579" Type="http://schemas.openxmlformats.org/officeDocument/2006/relationships/image" Target="media/image488.jpeg"/><Relationship Id="rId580" Type="http://schemas.openxmlformats.org/officeDocument/2006/relationships/image" Target="media/image489.jpeg"/><Relationship Id="rId581" Type="http://schemas.openxmlformats.org/officeDocument/2006/relationships/image" Target="media/image490.jpeg"/><Relationship Id="rId582" Type="http://schemas.openxmlformats.org/officeDocument/2006/relationships/image" Target="media/image491.jpeg"/><Relationship Id="rId583" Type="http://schemas.openxmlformats.org/officeDocument/2006/relationships/image" Target="media/image492.jpeg"/><Relationship Id="rId584" Type="http://schemas.openxmlformats.org/officeDocument/2006/relationships/image" Target="media/image493.jpeg"/><Relationship Id="rId585" Type="http://schemas.openxmlformats.org/officeDocument/2006/relationships/image" Target="media/image494.jpeg"/><Relationship Id="rId586" Type="http://schemas.openxmlformats.org/officeDocument/2006/relationships/image" Target="media/image495.jpeg"/><Relationship Id="rId587" Type="http://schemas.openxmlformats.org/officeDocument/2006/relationships/image" Target="media/image496.jpeg"/><Relationship Id="rId588" Type="http://schemas.openxmlformats.org/officeDocument/2006/relationships/image" Target="media/image497.jpeg"/><Relationship Id="rId589" Type="http://schemas.openxmlformats.org/officeDocument/2006/relationships/image" Target="media/image498.jpeg"/><Relationship Id="rId590" Type="http://schemas.openxmlformats.org/officeDocument/2006/relationships/image" Target="media/image499.jpeg"/><Relationship Id="rId591" Type="http://schemas.openxmlformats.org/officeDocument/2006/relationships/image" Target="media/image500.jpeg"/><Relationship Id="rId592" Type="http://schemas.openxmlformats.org/officeDocument/2006/relationships/image" Target="media/image501.jpeg"/><Relationship Id="rId593" Type="http://schemas.openxmlformats.org/officeDocument/2006/relationships/image" Target="media/image502.jpeg"/><Relationship Id="rId594" Type="http://schemas.openxmlformats.org/officeDocument/2006/relationships/image" Target="media/image503.jpeg"/><Relationship Id="rId595" Type="http://schemas.openxmlformats.org/officeDocument/2006/relationships/image" Target="media/image504.jpeg"/><Relationship Id="rId596" Type="http://schemas.openxmlformats.org/officeDocument/2006/relationships/image" Target="media/image505.jpeg"/><Relationship Id="rId597" Type="http://schemas.openxmlformats.org/officeDocument/2006/relationships/image" Target="media/image506.jpeg"/><Relationship Id="rId598" Type="http://schemas.openxmlformats.org/officeDocument/2006/relationships/image" Target="media/image507.jpeg"/><Relationship Id="rId599" Type="http://schemas.openxmlformats.org/officeDocument/2006/relationships/image" Target="media/image508.jpeg"/><Relationship Id="rId600" Type="http://schemas.openxmlformats.org/officeDocument/2006/relationships/image" Target="media/image509.jpeg"/><Relationship Id="rId601" Type="http://schemas.openxmlformats.org/officeDocument/2006/relationships/image" Target="media/image510.jpeg"/><Relationship Id="rId602" Type="http://schemas.openxmlformats.org/officeDocument/2006/relationships/image" Target="media/image511.jpeg"/><Relationship Id="rId603" Type="http://schemas.openxmlformats.org/officeDocument/2006/relationships/image" Target="media/image512.jpeg"/><Relationship Id="rId604" Type="http://schemas.openxmlformats.org/officeDocument/2006/relationships/image" Target="media/image513.jpeg"/><Relationship Id="rId605" Type="http://schemas.openxmlformats.org/officeDocument/2006/relationships/image" Target="media/image514.jpeg"/><Relationship Id="rId606" Type="http://schemas.openxmlformats.org/officeDocument/2006/relationships/image" Target="media/image515.jpeg"/><Relationship Id="rId607" Type="http://schemas.openxmlformats.org/officeDocument/2006/relationships/image" Target="media/image516.jpeg"/><Relationship Id="rId608" Type="http://schemas.openxmlformats.org/officeDocument/2006/relationships/image" Target="media/image517.jpeg"/><Relationship Id="rId609" Type="http://schemas.openxmlformats.org/officeDocument/2006/relationships/image" Target="media/image518.jpeg"/><Relationship Id="rId610" Type="http://schemas.openxmlformats.org/officeDocument/2006/relationships/image" Target="media/image519.jpeg"/><Relationship Id="rId611" Type="http://schemas.openxmlformats.org/officeDocument/2006/relationships/image" Target="media/image520.jpeg"/><Relationship Id="rId612" Type="http://schemas.openxmlformats.org/officeDocument/2006/relationships/image" Target="media/image521.jpeg"/><Relationship Id="rId613" Type="http://schemas.openxmlformats.org/officeDocument/2006/relationships/image" Target="media/image522.jpeg"/><Relationship Id="rId614" Type="http://schemas.openxmlformats.org/officeDocument/2006/relationships/image" Target="media/image523.jpeg"/><Relationship Id="rId615" Type="http://schemas.openxmlformats.org/officeDocument/2006/relationships/image" Target="media/image524.jpeg"/><Relationship Id="rId616" Type="http://schemas.openxmlformats.org/officeDocument/2006/relationships/image" Target="media/image525.jpeg"/><Relationship Id="rId617" Type="http://schemas.openxmlformats.org/officeDocument/2006/relationships/image" Target="media/image526.jpeg"/><Relationship Id="rId618" Type="http://schemas.openxmlformats.org/officeDocument/2006/relationships/image" Target="media/image527.jpeg"/><Relationship Id="rId619" Type="http://schemas.openxmlformats.org/officeDocument/2006/relationships/image" Target="media/image528.jpeg"/><Relationship Id="rId620" Type="http://schemas.openxmlformats.org/officeDocument/2006/relationships/image" Target="media/image529.jpeg"/><Relationship Id="rId621" Type="http://schemas.openxmlformats.org/officeDocument/2006/relationships/image" Target="media/image530.png"/><Relationship Id="rId622" Type="http://schemas.openxmlformats.org/officeDocument/2006/relationships/image" Target="media/image531.png"/><Relationship Id="rId623" Type="http://schemas.openxmlformats.org/officeDocument/2006/relationships/image" Target="media/image532.png"/><Relationship Id="rId624" Type="http://schemas.openxmlformats.org/officeDocument/2006/relationships/image" Target="media/image533.png"/><Relationship Id="rId625" Type="http://schemas.openxmlformats.org/officeDocument/2006/relationships/image" Target="media/image534.png"/><Relationship Id="rId626" Type="http://schemas.openxmlformats.org/officeDocument/2006/relationships/image" Target="media/image535.png"/><Relationship Id="rId627" Type="http://schemas.openxmlformats.org/officeDocument/2006/relationships/image" Target="media/image536.png"/><Relationship Id="rId628" Type="http://schemas.openxmlformats.org/officeDocument/2006/relationships/image" Target="media/image537.png"/><Relationship Id="rId629" Type="http://schemas.openxmlformats.org/officeDocument/2006/relationships/image" Target="media/image538.png"/><Relationship Id="rId630" Type="http://schemas.openxmlformats.org/officeDocument/2006/relationships/image" Target="media/image539.png"/><Relationship Id="rId631" Type="http://schemas.openxmlformats.org/officeDocument/2006/relationships/image" Target="media/image540.png"/><Relationship Id="rId632" Type="http://schemas.openxmlformats.org/officeDocument/2006/relationships/image" Target="media/image541.png"/><Relationship Id="rId633" Type="http://schemas.openxmlformats.org/officeDocument/2006/relationships/image" Target="media/image542.png"/><Relationship Id="rId634" Type="http://schemas.openxmlformats.org/officeDocument/2006/relationships/image" Target="media/image543.png"/><Relationship Id="rId635" Type="http://schemas.openxmlformats.org/officeDocument/2006/relationships/image" Target="media/image544.png"/><Relationship Id="rId636" Type="http://schemas.openxmlformats.org/officeDocument/2006/relationships/image" Target="media/image545.png"/><Relationship Id="rId637" Type="http://schemas.openxmlformats.org/officeDocument/2006/relationships/image" Target="media/image546.png"/><Relationship Id="rId638" Type="http://schemas.openxmlformats.org/officeDocument/2006/relationships/image" Target="media/image547.png"/><Relationship Id="rId639" Type="http://schemas.openxmlformats.org/officeDocument/2006/relationships/image" Target="media/image548.png"/><Relationship Id="rId640" Type="http://schemas.openxmlformats.org/officeDocument/2006/relationships/image" Target="media/image549.png"/><Relationship Id="rId641" Type="http://schemas.openxmlformats.org/officeDocument/2006/relationships/image" Target="media/image550.png"/><Relationship Id="rId642" Type="http://schemas.openxmlformats.org/officeDocument/2006/relationships/image" Target="media/image551.png"/><Relationship Id="rId643" Type="http://schemas.openxmlformats.org/officeDocument/2006/relationships/image" Target="media/image552.png"/><Relationship Id="rId644" Type="http://schemas.openxmlformats.org/officeDocument/2006/relationships/image" Target="media/image553.png"/><Relationship Id="rId645" Type="http://schemas.openxmlformats.org/officeDocument/2006/relationships/image" Target="media/image554.png"/><Relationship Id="rId646" Type="http://schemas.openxmlformats.org/officeDocument/2006/relationships/image" Target="media/image555.png"/><Relationship Id="rId647" Type="http://schemas.openxmlformats.org/officeDocument/2006/relationships/image" Target="media/image556.png"/><Relationship Id="rId648" Type="http://schemas.openxmlformats.org/officeDocument/2006/relationships/image" Target="media/image557.png"/><Relationship Id="rId649" Type="http://schemas.openxmlformats.org/officeDocument/2006/relationships/image" Target="media/image558.png"/><Relationship Id="rId650" Type="http://schemas.openxmlformats.org/officeDocument/2006/relationships/image" Target="media/image559.png"/><Relationship Id="rId651" Type="http://schemas.openxmlformats.org/officeDocument/2006/relationships/image" Target="media/image560.png"/><Relationship Id="rId652" Type="http://schemas.openxmlformats.org/officeDocument/2006/relationships/image" Target="media/image561.png"/><Relationship Id="rId653" Type="http://schemas.openxmlformats.org/officeDocument/2006/relationships/image" Target="media/image562.png"/><Relationship Id="rId654" Type="http://schemas.openxmlformats.org/officeDocument/2006/relationships/image" Target="media/image563.png"/><Relationship Id="rId655" Type="http://schemas.openxmlformats.org/officeDocument/2006/relationships/image" Target="media/image564.png"/><Relationship Id="rId656" Type="http://schemas.openxmlformats.org/officeDocument/2006/relationships/image" Target="media/image565.png"/><Relationship Id="rId657" Type="http://schemas.openxmlformats.org/officeDocument/2006/relationships/image" Target="media/image566.png"/><Relationship Id="rId658" Type="http://schemas.openxmlformats.org/officeDocument/2006/relationships/image" Target="media/image567.png"/><Relationship Id="rId659" Type="http://schemas.openxmlformats.org/officeDocument/2006/relationships/image" Target="media/image568.png"/><Relationship Id="rId660" Type="http://schemas.openxmlformats.org/officeDocument/2006/relationships/image" Target="media/image569.png"/><Relationship Id="rId661" Type="http://schemas.openxmlformats.org/officeDocument/2006/relationships/image" Target="media/image570.png"/><Relationship Id="rId662" Type="http://schemas.openxmlformats.org/officeDocument/2006/relationships/image" Target="media/image571.png"/><Relationship Id="rId663" Type="http://schemas.openxmlformats.org/officeDocument/2006/relationships/image" Target="media/image572.png"/><Relationship Id="rId664" Type="http://schemas.openxmlformats.org/officeDocument/2006/relationships/image" Target="media/image573.png"/><Relationship Id="rId665" Type="http://schemas.openxmlformats.org/officeDocument/2006/relationships/image" Target="media/image574.png"/><Relationship Id="rId666" Type="http://schemas.openxmlformats.org/officeDocument/2006/relationships/image" Target="media/image575.png"/><Relationship Id="rId667" Type="http://schemas.openxmlformats.org/officeDocument/2006/relationships/image" Target="media/image576.png"/><Relationship Id="rId668" Type="http://schemas.openxmlformats.org/officeDocument/2006/relationships/image" Target="media/image577.png"/><Relationship Id="rId669" Type="http://schemas.openxmlformats.org/officeDocument/2006/relationships/image" Target="media/image578.png"/><Relationship Id="rId670" Type="http://schemas.openxmlformats.org/officeDocument/2006/relationships/image" Target="media/image579.png"/><Relationship Id="rId671" Type="http://schemas.openxmlformats.org/officeDocument/2006/relationships/image" Target="media/image580.png"/><Relationship Id="rId672" Type="http://schemas.openxmlformats.org/officeDocument/2006/relationships/image" Target="media/image581.png"/><Relationship Id="rId673" Type="http://schemas.openxmlformats.org/officeDocument/2006/relationships/image" Target="media/image582.png"/><Relationship Id="rId674" Type="http://schemas.openxmlformats.org/officeDocument/2006/relationships/image" Target="media/image583.png"/><Relationship Id="rId675" Type="http://schemas.openxmlformats.org/officeDocument/2006/relationships/image" Target="media/image584.png"/><Relationship Id="rId676" Type="http://schemas.openxmlformats.org/officeDocument/2006/relationships/image" Target="media/image585.png"/><Relationship Id="rId677" Type="http://schemas.openxmlformats.org/officeDocument/2006/relationships/image" Target="media/image586.png"/><Relationship Id="rId678" Type="http://schemas.openxmlformats.org/officeDocument/2006/relationships/image" Target="media/image587.png"/><Relationship Id="rId679" Type="http://schemas.openxmlformats.org/officeDocument/2006/relationships/image" Target="media/image588.png"/><Relationship Id="rId680" Type="http://schemas.openxmlformats.org/officeDocument/2006/relationships/image" Target="media/image589.png"/><Relationship Id="rId681" Type="http://schemas.openxmlformats.org/officeDocument/2006/relationships/image" Target="media/image590.png"/><Relationship Id="rId682" Type="http://schemas.openxmlformats.org/officeDocument/2006/relationships/image" Target="media/image591.png"/><Relationship Id="rId683" Type="http://schemas.openxmlformats.org/officeDocument/2006/relationships/image" Target="media/image592.png"/><Relationship Id="rId684" Type="http://schemas.openxmlformats.org/officeDocument/2006/relationships/image" Target="media/image593.png"/><Relationship Id="rId685" Type="http://schemas.openxmlformats.org/officeDocument/2006/relationships/image" Target="media/image594.png"/><Relationship Id="rId686" Type="http://schemas.openxmlformats.org/officeDocument/2006/relationships/image" Target="media/image595.png"/><Relationship Id="rId687" Type="http://schemas.openxmlformats.org/officeDocument/2006/relationships/image" Target="media/image596.png"/><Relationship Id="rId688" Type="http://schemas.openxmlformats.org/officeDocument/2006/relationships/image" Target="media/image597.png"/><Relationship Id="rId689" Type="http://schemas.openxmlformats.org/officeDocument/2006/relationships/image" Target="media/image598.png"/><Relationship Id="rId690" Type="http://schemas.openxmlformats.org/officeDocument/2006/relationships/image" Target="media/image599.png"/><Relationship Id="rId691" Type="http://schemas.openxmlformats.org/officeDocument/2006/relationships/image" Target="media/image600.png"/><Relationship Id="rId692" Type="http://schemas.openxmlformats.org/officeDocument/2006/relationships/image" Target="media/image601.png"/><Relationship Id="rId693" Type="http://schemas.openxmlformats.org/officeDocument/2006/relationships/image" Target="media/image602.png"/><Relationship Id="rId694" Type="http://schemas.openxmlformats.org/officeDocument/2006/relationships/image" Target="media/image603.png"/><Relationship Id="rId695" Type="http://schemas.openxmlformats.org/officeDocument/2006/relationships/image" Target="media/image604.png"/><Relationship Id="rId696" Type="http://schemas.openxmlformats.org/officeDocument/2006/relationships/image" Target="media/image605.png"/><Relationship Id="rId697" Type="http://schemas.openxmlformats.org/officeDocument/2006/relationships/image" Target="media/image606.png"/><Relationship Id="rId698" Type="http://schemas.openxmlformats.org/officeDocument/2006/relationships/image" Target="media/image607.png"/><Relationship Id="rId699" Type="http://schemas.openxmlformats.org/officeDocument/2006/relationships/image" Target="media/image608.png"/><Relationship Id="rId700" Type="http://schemas.openxmlformats.org/officeDocument/2006/relationships/image" Target="media/image609.png"/><Relationship Id="rId134" Type="http://schemas.openxmlformats.org/officeDocument/2006/relationships/hyperlink" Target="http://www.sec.gov/Archives/edgar/data/1692115/000119312519250669/d745199dex31.htm" TargetMode="External"/><Relationship Id="rId135" Type="http://schemas.openxmlformats.org/officeDocument/2006/relationships/hyperlink" Target="https://www.sec.gov/Archives/edgar/data/1692115/000119312521300832/d63498dex31.htm" TargetMode="External"/><Relationship Id="rId136" Type="http://schemas.openxmlformats.org/officeDocument/2006/relationships/hyperlink" Target="http://www.sec.gov/Archives/edgar/data/1692115/000119312523262990/d572435dex31.htm" TargetMode="External"/><Relationship Id="rId137" Type="http://schemas.openxmlformats.org/officeDocument/2006/relationships/hyperlink" Target="https://www.sec.gov/Archives/edgar/data/1692115/000119312523008342/d425892dex31.htm" TargetMode="External"/><Relationship Id="rId138" Type="http://schemas.openxmlformats.org/officeDocument/2006/relationships/hyperlink" Target="http://www.sec.gov/Archives/edgar/data/1692115/000119312523270893/d927165dex31.htm" TargetMode="External"/><Relationship Id="rId139" Type="http://schemas.openxmlformats.org/officeDocument/2006/relationships/hyperlink" Target="http://www.sec.gov/Archives/edgar/data/92416/0000892569-94-000102.txt" TargetMode="External"/><Relationship Id="rId140" Type="http://schemas.openxmlformats.org/officeDocument/2006/relationships/hyperlink" Target="http://www.sec.gov/Archives/edgar/data/92416/0000092416-96-000040.txt" TargetMode="External"/><Relationship Id="rId141" Type="http://schemas.openxmlformats.org/officeDocument/2006/relationships/hyperlink" Target="http://www.sec.gov/Archives/edgar/data/92416/0000092416-96-000059.txt" TargetMode="External"/><Relationship Id="rId143" Type="http://schemas.openxmlformats.org/officeDocument/2006/relationships/hyperlink" Target="http://www.sec.gov/Archives/edgar/data/92416/000009241608000067/exhibit1001.htm" TargetMode="External"/><Relationship Id="rId144" Type="http://schemas.openxmlformats.org/officeDocument/2006/relationships/hyperlink" Target="http://www.sec.gov/Archives/edgar/data/92416/000009241608000067/exhibit1002.htm" TargetMode="External"/><Relationship Id="rId145" Type="http://schemas.openxmlformats.org/officeDocument/2006/relationships/hyperlink" Target="http://www.sec.gov/Archives/edgar/data/92416/000119312510042973/dex427.htm" TargetMode="External"/><Relationship Id="rId146" Type="http://schemas.openxmlformats.org/officeDocument/2006/relationships/hyperlink" Target="http://www.sec.gov/Archives/edgar/data/92416/000119312510268436/dex41.htm" TargetMode="External"/><Relationship Id="rId147" Type="http://schemas.openxmlformats.org/officeDocument/2006/relationships/hyperlink" Target="http://www.sec.gov/Archives/edgar/data/92416/000009241614000008/exhibit4-1.htm" TargetMode="External"/><Relationship Id="rId148" Type="http://schemas.openxmlformats.org/officeDocument/2006/relationships/hyperlink" Target="http://www.sec.gov/Archives/edgar/data/92416/000119312516762846/d256766dex402.htm" TargetMode="External"/><Relationship Id="rId149" Type="http://schemas.openxmlformats.org/officeDocument/2006/relationships/hyperlink" Target="http://www.sec.gov/Archives/edgar/data/92416/000119312513391564/d607288dex41.htm" TargetMode="External"/><Relationship Id="rId150" Type="http://schemas.openxmlformats.org/officeDocument/2006/relationships/hyperlink" Target="https://www.sec.gov/Archives/edgar/data/1692115/000119312523284347/d907317d424b5.htm" TargetMode="External"/><Relationship Id="rId151" Type="http://schemas.openxmlformats.org/officeDocument/2006/relationships/hyperlink" Target="http://www.sec.gov/Archives/edgar/data/92416/000119312516720575/d265946d424b5.htm" TargetMode="External"/><Relationship Id="rId152" Type="http://schemas.openxmlformats.org/officeDocument/2006/relationships/hyperlink" Target="http://www.sec.gov/Archives/edgar/data/92416/000119312518084096/d482364dex41.htm" TargetMode="External"/><Relationship Id="rId153" Type="http://schemas.openxmlformats.org/officeDocument/2006/relationships/hyperlink" Target="http://www.sec.gov/Archives/edgar/data/92416/000119312518084096/d482364dex42.htm" TargetMode="External"/><Relationship Id="rId154" Type="http://schemas.openxmlformats.org/officeDocument/2006/relationships/hyperlink" Target="http://www.sec.gov/Archives/edgar/data/92416/000119312519162792/d756014dex41.htm" TargetMode="External"/><Relationship Id="rId155" Type="http://schemas.openxmlformats.org/officeDocument/2006/relationships/hyperlink" Target="http://www.sec.gov/Archives/edgar/data/92416/000119312519162792/d756014dex42.htm" TargetMode="External"/><Relationship Id="rId156" Type="http://schemas.openxmlformats.org/officeDocument/2006/relationships/hyperlink" Target="http://www.sec.gov/Archives/edgar/data/92416/000119312520160698/d939354dex41.htm" TargetMode="External"/><Relationship Id="rId159" Type="http://schemas.openxmlformats.org/officeDocument/2006/relationships/hyperlink" Target="http://www.sec.gov/Archives/edgar/data/92416/000119312520160698/d939354dex42.htm" TargetMode="External"/><Relationship Id="rId160" Type="http://schemas.openxmlformats.org/officeDocument/2006/relationships/hyperlink" Target="https://www.sec.gov/Archives/edgar/data/92416/000169211524000038/swx123123ex424.htm" TargetMode="External"/><Relationship Id="rId161" Type="http://schemas.openxmlformats.org/officeDocument/2006/relationships/hyperlink" Target="http://www.sec.gov/Archives/edgar/data/92416/000119312521252815/d216020dex41.htm" TargetMode="External"/><Relationship Id="rId162" Type="http://schemas.openxmlformats.org/officeDocument/2006/relationships/hyperlink" Target="https://www.sec.gov/Archives/edgar/data/92416/000119312521252815/d216020dex41.htm" TargetMode="External"/><Relationship Id="rId163" Type="http://schemas.openxmlformats.org/officeDocument/2006/relationships/hyperlink" Target="http://www.sec.gov/Archives/edgar/data/92416/000119312522081759/d315333dex41.htm" TargetMode="External"/><Relationship Id="rId164" Type="http://schemas.openxmlformats.org/officeDocument/2006/relationships/hyperlink" Target="https://www.sec.gov/Archives/edgar/data/92416/000119312522296513/d428629dex41.htm" TargetMode="External"/><Relationship Id="rId165" Type="http://schemas.openxmlformats.org/officeDocument/2006/relationships/hyperlink" Target="https://www.sec.gov/Archives/edgar/data/92416/000119312523078049/d360456dex41.htm" TargetMode="External"/><Relationship Id="rId166" Type="http://schemas.openxmlformats.org/officeDocument/2006/relationships/hyperlink" Target="https://www.sec.gov/Archives/edgar/data/1692115/000119312523270893/d927165dex41.htm" TargetMode="External"/><Relationship Id="rId167" Type="http://schemas.openxmlformats.org/officeDocument/2006/relationships/hyperlink" Target="http://www.sec.gov/Archives/edgar/data/92416/000169211520000064/swxexhibit100393020.htm" TargetMode="External"/><Relationship Id="rId168" Type="http://schemas.openxmlformats.org/officeDocument/2006/relationships/hyperlink" Target="http://www.sec.gov/Archives/edgar/data/92416/000169211520000064/swxexhibit100493020.htm" TargetMode="External"/><Relationship Id="rId169" Type="http://schemas.openxmlformats.org/officeDocument/2006/relationships/hyperlink" Target="http://www.sec.gov/Archives/edgar/data/92416/000169211519000013/swx123118ex1005.htm" TargetMode="External"/><Relationship Id="rId170" Type="http://schemas.openxmlformats.org/officeDocument/2006/relationships/hyperlink" Target="http://www.sec.gov/Archives/edgar/data/92416/000169211520000064/swxexhibit100193020.htm" TargetMode="External"/><Relationship Id="rId171" Type="http://schemas.openxmlformats.org/officeDocument/2006/relationships/hyperlink" Target="http://www.sec.gov/Archives/edgar/data/92416/000169211520000064/swxexhibit100293020.htm" TargetMode="External"/><Relationship Id="rId174" Type="http://schemas.openxmlformats.org/officeDocument/2006/relationships/hyperlink" Target="http://www.sec.gov/Archives/edgar/data/92416/000009241603000120/exhibit10.htm" TargetMode="External"/><Relationship Id="rId175" Type="http://schemas.openxmlformats.org/officeDocument/2006/relationships/hyperlink" Target="http://www.sec.gov/Archives/edgar/data/92416/000009241605000077/exhibit10-2.htm" TargetMode="External"/><Relationship Id="rId176" Type="http://schemas.openxmlformats.org/officeDocument/2006/relationships/hyperlink" Target="http://www.sec.gov/Archives/edgar/data/92416/000009241608000067/exhibit1003.htm" TargetMode="External"/><Relationship Id="rId177" Type="http://schemas.openxmlformats.org/officeDocument/2006/relationships/hyperlink" Target="http://www.sec.gov/Archives/edgar/data/92416/000119312510042973/dex1021.htm" TargetMode="External"/><Relationship Id="rId178" Type="http://schemas.openxmlformats.org/officeDocument/2006/relationships/hyperlink" Target="http://www.sec.gov/Archives/edgar/data/92416/000119312520107089/d902383dex102.htm" TargetMode="External"/><Relationship Id="rId179" Type="http://schemas.openxmlformats.org/officeDocument/2006/relationships/hyperlink" Target="http://www.sec.gov/Archives/edgar/data/92416/000169211519000013/swx123118ex1014.htm" TargetMode="External"/><Relationship Id="rId180" Type="http://schemas.openxmlformats.org/officeDocument/2006/relationships/hyperlink" Target="http://www.sec.gov/Archives/edgar/data/92416/000119312517062419/d324082dex1019.htm" TargetMode="External"/><Relationship Id="rId181" Type="http://schemas.openxmlformats.org/officeDocument/2006/relationships/hyperlink" Target="http://www.sec.gov/Archives/edgar/data/92416/000119312517062419/d324082dex1020.htm" TargetMode="External"/><Relationship Id="rId182" Type="http://schemas.openxmlformats.org/officeDocument/2006/relationships/hyperlink" Target="http://www.sec.gov/Archives/edgar/data/92416/000119312520107089/d902383dex101.htm" TargetMode="External"/><Relationship Id="rId183" Type="http://schemas.openxmlformats.org/officeDocument/2006/relationships/hyperlink" Target="http://www.sec.gov/Archives/edgar/data/92416/000119312517251363/d401099dex1001.htm" TargetMode="External"/><Relationship Id="rId184" Type="http://schemas.openxmlformats.org/officeDocument/2006/relationships/hyperlink" Target="http://www.sec.gov/Archives/edgar/data/1692115/000119312517097720/d322298ddefc14a.htm#toc322298_57" TargetMode="External"/><Relationship Id="rId185" Type="http://schemas.openxmlformats.org/officeDocument/2006/relationships/hyperlink" Target="http://www.sec.gov/Archives/edgar/data/92416/000119312518063850/d513923dex1024.htm" TargetMode="External"/><Relationship Id="rId186" Type="http://schemas.openxmlformats.org/officeDocument/2006/relationships/hyperlink" Target="http://www.sec.gov/Archives/edgar/data/92416/000119312518063850/d513923dex1025.htm" TargetMode="External"/><Relationship Id="rId187" Type="http://schemas.openxmlformats.org/officeDocument/2006/relationships/hyperlink" Target="http://www.sec.gov/Archives/edgar/data/92416/000169211519000013/swx123118ex1028.htm" TargetMode="External"/><Relationship Id="rId188" Type="http://schemas.openxmlformats.org/officeDocument/2006/relationships/hyperlink" Target="http://www.sec.gov/Archives/edgar/data/92416/000169211519000013/swx123118ex1029.htm" TargetMode="External"/><Relationship Id="rId189" Type="http://schemas.openxmlformats.org/officeDocument/2006/relationships/hyperlink" Target="http://www.sec.gov/Archives/edgar/data/92416/000009241616000112/exhibit4-1.htm" TargetMode="External"/><Relationship Id="rId190" Type="http://schemas.openxmlformats.org/officeDocument/2006/relationships/hyperlink" Target="http://www.sec.gov/Archives/edgar/data/1692115/000119312521260616/d172891dex101.htm" TargetMode="External"/><Relationship Id="rId191" Type="http://schemas.openxmlformats.org/officeDocument/2006/relationships/hyperlink" Target="http://www.sec.gov/Archives/edgar/data/92416/000119312522000235/d274968dex102.htm" TargetMode="External"/><Relationship Id="rId194" Type="http://schemas.openxmlformats.org/officeDocument/2006/relationships/hyperlink" Target="http://www.sec.gov/Archives/edgar/data/92416/000119312522000235/d274968dex101.htm" TargetMode="External"/><Relationship Id="rId195" Type="http://schemas.openxmlformats.org/officeDocument/2006/relationships/hyperlink" Target="https://www.sec.gov/Archives/edgar/data/1692115/000119312522213820/d365610dex101.htm" TargetMode="External"/><Relationship Id="rId196" Type="http://schemas.openxmlformats.org/officeDocument/2006/relationships/hyperlink" Target="https://www.sec.gov/Archives/edgar/data/92416/000119312522279148/d408097dex101.htm" TargetMode="External"/><Relationship Id="rId197" Type="http://schemas.openxmlformats.org/officeDocument/2006/relationships/hyperlink" Target="https://www.sec.gov/Archives/edgar/data/92416/000119312522279148/d408097dex102.htm" TargetMode="External"/><Relationship Id="rId198" Type="http://schemas.openxmlformats.org/officeDocument/2006/relationships/hyperlink" Target="https://www.sec.gov/Archives/edgar/data/92416/000169211523000056/swx123122ex1046.htm" TargetMode="External"/><Relationship Id="rId199" Type="http://schemas.openxmlformats.org/officeDocument/2006/relationships/hyperlink" Target="https://www.sec.gov/Archives/edgar/data/92416/000169211523000056/swx123122ex1047.htm" TargetMode="External"/><Relationship Id="rId200" Type="http://schemas.openxmlformats.org/officeDocument/2006/relationships/hyperlink" Target="https://www.sec.gov/Archives/edgar/data/92416/000119312523103864/d484535dex101.htm" TargetMode="External"/><Relationship Id="rId201" Type="http://schemas.openxmlformats.org/officeDocument/2006/relationships/hyperlink" Target="https://www.sec.gov/Archives/edgar/data/92416/000169211523000102/swxexhibit101.htm" TargetMode="External"/><Relationship Id="rId202" Type="http://schemas.openxmlformats.org/officeDocument/2006/relationships/hyperlink" Target="https://www.sec.gov/Archives/edgar/data/92416/000169211523000102/swxexhibit102.htm" TargetMode="External"/><Relationship Id="rId203" Type="http://schemas.openxmlformats.org/officeDocument/2006/relationships/hyperlink" Target="https://www.sec.gov/Archives/edgar/data/92416/000169211523000102/swxexhibit103.htm" TargetMode="External"/><Relationship Id="rId204" Type="http://schemas.openxmlformats.org/officeDocument/2006/relationships/hyperlink" Target="https://www.sec.gov/Archives/edgar/data/92416/000119312523126894/d485601dex101.htm" TargetMode="External"/><Relationship Id="rId205" Type="http://schemas.openxmlformats.org/officeDocument/2006/relationships/hyperlink" Target="https://www.sec.gov/Archives/edgar/data/92416/000169211523000133/swxexhibit10163023.htm" TargetMode="External"/><Relationship Id="rId206" Type="http://schemas.openxmlformats.org/officeDocument/2006/relationships/hyperlink" Target="https://www.sec.gov/Archives/edgar/data/92416/000169211523000143/swxexhibit100193023.htm" TargetMode="External"/><Relationship Id="rId207" Type="http://schemas.openxmlformats.org/officeDocument/2006/relationships/hyperlink" Target="https://www.sec.gov/Archives/edgar/data/92416/000169211523000143/swxexhibit100293023.htm" TargetMode="External"/><Relationship Id="rId208" Type="http://schemas.openxmlformats.org/officeDocument/2006/relationships/hyperlink" Target="https://www.sec.gov/Archives/edgar/data/1692115/000119312523277885/d604131dex101.htm" TargetMode="External"/><Relationship Id="rId209" Type="http://schemas.openxmlformats.org/officeDocument/2006/relationships/hyperlink" Target="https://www.sec.gov/Archives/edgar/data/1692115/000119312523296629/d666592dex101.htm" TargetMode="External"/><Relationship Id="rId210" Type="http://schemas.openxmlformats.org/officeDocument/2006/relationships/hyperlink" Target="https://www.sec.gov/Archives/edgar/data/1692115/000119312524075301/d773058dex101.htm" TargetMode="External"/><Relationship Id="rId212" Type="http://schemas.openxmlformats.org/officeDocument/2006/relationships/hyperlink" Target="https://www.sec.gov/Archives/edgar/data/1692115/000119312524099073/d823906dex101.htm" TargetMode="External"/><Relationship Id="rId213" Type="http://schemas.openxmlformats.org/officeDocument/2006/relationships/hyperlink" Target="https://www.sec.gov/Archives/edgar/data/1692115/000119312524099073/d823906dex102.htm" TargetMode="External"/><Relationship Id="rId214" Type="http://schemas.openxmlformats.org/officeDocument/2006/relationships/hyperlink" Target="https://www.sec.gov/Archives/edgar/data/1692115/000119312524099073/d823906dex103.htm" TargetMode="External"/><Relationship Id="rId215" Type="http://schemas.openxmlformats.org/officeDocument/2006/relationships/hyperlink" Target="https://www.sec.gov/Archives/edgar/data/1692115/000119312524133275/d831494dex101.htm" TargetMode="External"/><Relationship Id="rId216" Type="http://schemas.openxmlformats.org/officeDocument/2006/relationships/hyperlink" Target="https://www.sec.gov/Archives/edgar/data/1692115/000119312524133275/d831494dex102.htm" TargetMode="External"/><Relationship Id="rId217" Type="http://schemas.openxmlformats.org/officeDocument/2006/relationships/hyperlink" Target="https://www.sec.gov/Archives/edgar/data/1692115/000119312524133275/d831494dex103.htm" TargetMode="External"/><Relationship Id="rId218" Type="http://schemas.openxmlformats.org/officeDocument/2006/relationships/hyperlink" Target="https://www.sec.gov/Archives/edgar/data/1692115/000119312524133275/d831494dex104.htm" TargetMode="External"/><Relationship Id="rId219" Type="http://schemas.openxmlformats.org/officeDocument/2006/relationships/hyperlink" Target="https://www.sec.gov/Archives/edgar/data/1692115/000119312524133275/d831494dex105.htm" TargetMode="External"/><Relationship Id="rId220" Type="http://schemas.openxmlformats.org/officeDocument/2006/relationships/hyperlink" Target="https://www.sec.gov/Archives/edgar/data/1692115/000119312524133275/d831494dex106.htm" TargetMode="External"/><Relationship Id="rId221" Type="http://schemas.openxmlformats.org/officeDocument/2006/relationships/hyperlink" Target="https://www.sec.gov/Archives/edgar/data/1692115/000119312524136145/d833764dex101.htm" TargetMode="External"/><Relationship Id="rId222" Type="http://schemas.openxmlformats.org/officeDocument/2006/relationships/hyperlink" Target="https://www.sec.gov/Archives/edgar/data/92416/000119312524193888/d890343dex101.htm" TargetMode="External"/><Relationship Id="rId223" Type="http://schemas.openxmlformats.org/officeDocument/2006/relationships/hyperlink" Target="https://www.sec.gov/Archives/edgar/data/92416/000119312524193888/d890343dex102.htm" TargetMode="External"/><Relationship Id="rId224" Type="http://schemas.openxmlformats.org/officeDocument/2006/relationships/hyperlink" Target="https://www.sec.gov/Archives/edgar/data/1692115/000119312524237589/d820397dex101.htm" TargetMode="External"/><Relationship Id="rId227" Type="http://schemas.openxmlformats.org/officeDocument/2006/relationships/hyperlink" Target="https://www.sec.gov/Archives/edgar/data/92416/000169211524000038/swx123123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2025-02-26T07:22:32Z</dcterms:created>
  <dcterms:modified xsi:type="dcterms:W3CDTF">2025-02-26T07:22:32Z</dcterms:modified>
</cp:coreProperties>
</file>