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5"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0"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ind w:left="340"/>
              <w:spacing w:after="0"/>
              <w:rPr>
                <w:sz w:val="20"/>
                <w:szCs w:val="20"/>
                <w:color w:val="auto"/>
              </w:rPr>
            </w:pPr>
            <w:r>
              <w:rPr>
                <w:rFonts w:ascii="Times New Roman" w:cs="Times New Roman" w:eastAsia="Times New Roman" w:hAnsi="Times New Roman"/>
                <w:sz w:val="14"/>
                <w:szCs w:val="14"/>
                <w:i w:val="1"/>
                <w:iCs w:val="1"/>
                <w:color w:val="auto"/>
              </w:rPr>
              <w:t>Commission</w:t>
            </w:r>
          </w:p>
        </w:tc>
        <w:tc>
          <w:tcPr>
            <w:tcW w:w="3720" w:type="dxa"/>
            <w:vAlign w:val="bottom"/>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 and</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244"/>
              <w:spacing w:after="0"/>
              <w:rPr>
                <w:sz w:val="20"/>
                <w:szCs w:val="20"/>
                <w:color w:val="auto"/>
              </w:rPr>
            </w:pPr>
            <w:r>
              <w:rPr>
                <w:rFonts w:ascii="Times New Roman" w:cs="Times New Roman" w:eastAsia="Times New Roman" w:hAnsi="Times New Roman"/>
                <w:sz w:val="14"/>
                <w:szCs w:val="14"/>
                <w:i w:val="1"/>
                <w:iCs w:val="1"/>
                <w:color w:val="auto"/>
              </w:rPr>
              <w:t>State of</w:t>
            </w:r>
          </w:p>
        </w:tc>
        <w:tc>
          <w:tcPr>
            <w:tcW w:w="2960" w:type="dxa"/>
            <w:vAlign w:val="bottom"/>
            <w:gridSpan w:val="2"/>
          </w:tcPr>
          <w:p>
            <w:pPr>
              <w:jc w:val="center"/>
              <w:ind w:left="443"/>
              <w:spacing w:after="0"/>
              <w:rPr>
                <w:sz w:val="20"/>
                <w:szCs w:val="20"/>
                <w:color w:val="auto"/>
              </w:rPr>
            </w:pPr>
            <w:r>
              <w:rPr>
                <w:rFonts w:ascii="Times New Roman" w:cs="Times New Roman" w:eastAsia="Times New Roman" w:hAnsi="Times New Roman"/>
                <w:sz w:val="14"/>
                <w:szCs w:val="14"/>
                <w:i w:val="1"/>
                <w:iCs w:val="1"/>
                <w:color w:val="auto"/>
              </w:rPr>
              <w:t>I.R.S.</w:t>
            </w:r>
          </w:p>
        </w:tc>
      </w:tr>
      <w:tr>
        <w:trPr>
          <w:trHeight w:val="195"/>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Times New Roman" w:cs="Times New Roman" w:eastAsia="Times New Roman" w:hAnsi="Times New Roman"/>
                <w:sz w:val="14"/>
                <w:szCs w:val="14"/>
                <w:i w:val="1"/>
                <w:iCs w:val="1"/>
                <w:color w:val="auto"/>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Times New Roman" w:cs="Times New Roman" w:eastAsia="Times New Roman" w:hAnsi="Times New Roman"/>
                <w:sz w:val="14"/>
                <w:szCs w:val="14"/>
                <w:i w:val="1"/>
                <w:iCs w:val="1"/>
                <w:color w:val="auto"/>
              </w:rPr>
              <w:t>Employer Identification No.</w:t>
            </w:r>
          </w:p>
        </w:tc>
      </w:tr>
      <w:tr>
        <w:trPr>
          <w:trHeight w:val="209"/>
        </w:trPr>
        <w:tc>
          <w:tcPr>
            <w:tcW w:w="1360" w:type="dxa"/>
            <w:vAlign w:val="bottom"/>
            <w:gridSpan w:val="2"/>
          </w:tcPr>
          <w:p>
            <w:pPr>
              <w:jc w:val="right"/>
              <w:ind w:right="225"/>
              <w:spacing w:after="0"/>
              <w:rPr>
                <w:sz w:val="20"/>
                <w:szCs w:val="20"/>
                <w:color w:val="auto"/>
              </w:rPr>
            </w:pPr>
            <w:r>
              <w:rPr>
                <w:rFonts w:ascii="Times New Roman" w:cs="Times New Roman" w:eastAsia="Times New Roman" w:hAnsi="Times New Roman"/>
                <w:sz w:val="16"/>
                <w:szCs w:val="16"/>
                <w:color w:val="auto"/>
              </w:rPr>
              <w:t>001-37976</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Delaware</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Times New Roman" w:cs="Times New Roman" w:eastAsia="Times New Roman" w:hAnsi="Times New Roman"/>
                <w:sz w:val="16"/>
                <w:szCs w:val="16"/>
                <w:color w:val="auto"/>
              </w:rPr>
              <w:t>1-7850</w:t>
            </w: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Times New Roman" w:cs="Times New Roman" w:eastAsia="Times New Roman" w:hAnsi="Times New Roman"/>
                <w:sz w:val="16"/>
                <w:szCs w:val="16"/>
                <w:color w:val="auto"/>
              </w:rPr>
              <w:t>California</w:t>
            </w:r>
          </w:p>
        </w:tc>
        <w:tc>
          <w:tcPr>
            <w:tcW w:w="2940" w:type="dxa"/>
            <w:vAlign w:val="bottom"/>
          </w:tcPr>
          <w:p>
            <w:pPr>
              <w:jc w:val="center"/>
              <w:ind w:left="483"/>
              <w:spacing w:after="0"/>
              <w:rPr>
                <w:sz w:val="20"/>
                <w:szCs w:val="20"/>
                <w:color w:val="auto"/>
              </w:rPr>
            </w:pPr>
            <w:r>
              <w:rPr>
                <w:rFonts w:ascii="Times New Roman" w:cs="Times New Roman" w:eastAsia="Times New Roman" w:hAnsi="Times New Roman"/>
                <w:sz w:val="16"/>
                <w:szCs w:val="16"/>
                <w:color w:val="auto"/>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Las Vegas,</w:t>
            </w:r>
          </w:p>
        </w:tc>
        <w:tc>
          <w:tcPr>
            <w:tcW w:w="148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Nevada</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89113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jc w:val="center"/>
              <w:ind w:right="564"/>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4"/>
          </w:tcPr>
          <w:p>
            <w:pPr>
              <w:jc w:val="center"/>
              <w:ind w:left="339"/>
              <w:spacing w:after="0"/>
              <w:rPr>
                <w:sz w:val="20"/>
                <w:szCs w:val="20"/>
                <w:color w:val="auto"/>
              </w:rPr>
            </w:pPr>
            <w:r>
              <w:rPr>
                <w:rFonts w:ascii="Times New Roman" w:cs="Times New Roman" w:eastAsia="Times New Roman" w:hAnsi="Times New Roman"/>
                <w:sz w:val="16"/>
                <w:szCs w:val="16"/>
                <w:b w:val="1"/>
                <w:bCs w:val="1"/>
                <w:i w:val="1"/>
                <w:iCs w:val="1"/>
                <w:color w:val="auto"/>
              </w:rPr>
              <w:t>Southwest Gas Holdings, Inc.: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40" w:type="dxa"/>
            <w:vAlign w:val="bottom"/>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20" w:type="dxa"/>
            <w:vAlign w:val="bottom"/>
          </w:tcPr>
          <w:p>
            <w:pPr>
              <w:spacing w:after="0"/>
              <w:rPr>
                <w:sz w:val="17"/>
                <w:szCs w:val="17"/>
                <w:color w:val="auto"/>
              </w:rPr>
            </w:pPr>
          </w:p>
        </w:tc>
        <w:tc>
          <w:tcPr>
            <w:tcW w:w="5060" w:type="dxa"/>
            <w:vAlign w:val="bottom"/>
            <w:tcBorders>
              <w:top w:val="single" w:sz="8" w:color="auto"/>
            </w:tcBorders>
            <w:gridSpan w:val="3"/>
          </w:tcPr>
          <w:p>
            <w:pPr>
              <w:jc w:val="center"/>
              <w:ind w:left="545"/>
              <w:spacing w:after="0"/>
              <w:rPr>
                <w:sz w:val="20"/>
                <w:szCs w:val="20"/>
                <w:color w:val="auto"/>
              </w:rPr>
            </w:pPr>
            <w:r>
              <w:rPr>
                <w:rFonts w:ascii="Times New Roman" w:cs="Times New Roman" w:eastAsia="Times New Roman" w:hAnsi="Times New Roman"/>
                <w:sz w:val="16"/>
                <w:szCs w:val="16"/>
                <w:color w:val="auto"/>
              </w:rPr>
              <w:t>Southwest Gas Holdings, Inc. Common Stock, $1 Par Value</w:t>
            </w: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SWX</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763"/>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620" w:type="dxa"/>
            <w:vAlign w:val="bottom"/>
            <w:gridSpan w:val="4"/>
          </w:tcPr>
          <w:p>
            <w:pPr>
              <w:jc w:val="center"/>
              <w:ind w:left="359"/>
              <w:spacing w:after="0"/>
              <w:rPr>
                <w:sz w:val="20"/>
                <w:szCs w:val="20"/>
                <w:color w:val="auto"/>
              </w:rPr>
            </w:pPr>
            <w:r>
              <w:rPr>
                <w:rFonts w:ascii="Times New Roman" w:cs="Times New Roman" w:eastAsia="Times New Roman" w:hAnsi="Times New Roman"/>
                <w:sz w:val="16"/>
                <w:szCs w:val="16"/>
                <w:b w:val="1"/>
                <w:bCs w:val="1"/>
                <w:i w:val="1"/>
                <w:iCs w:val="1"/>
                <w:color w:val="auto"/>
              </w:rPr>
              <w:t>Southwest Gas Corporation: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jc w:val="center"/>
              <w:ind w:left="681"/>
              <w:spacing w:after="0"/>
              <w:rPr>
                <w:sz w:val="20"/>
                <w:szCs w:val="20"/>
                <w:color w:val="auto"/>
              </w:rPr>
            </w:pPr>
            <w:r>
              <w:rPr>
                <w:rFonts w:ascii="Times New Roman" w:cs="Times New Roman" w:eastAsia="Times New Roman" w:hAnsi="Times New Roman"/>
                <w:sz w:val="16"/>
                <w:szCs w:val="16"/>
                <w:color w:val="auto"/>
              </w:rPr>
              <w:t>None.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00" w:lineRule="exact"/>
        <w:rPr>
          <w:sz w:val="24"/>
          <w:szCs w:val="24"/>
          <w:color w:val="auto"/>
        </w:rPr>
      </w:pPr>
    </w:p>
    <w:p>
      <w:pPr>
        <w:ind w:right="280"/>
        <w:spacing w:after="0" w:line="260" w:lineRule="auto"/>
        <w:rPr>
          <w:sz w:val="20"/>
          <w:szCs w:val="20"/>
          <w:color w:val="auto"/>
        </w:rPr>
      </w:pPr>
      <w:r>
        <w:rPr>
          <w:rFonts w:ascii="Times New Roman" w:cs="Times New Roman" w:eastAsia="Times New Roman" w:hAnsi="Times New Roman"/>
          <w:sz w:val="16"/>
          <w:szCs w:val="16"/>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21"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ind w:right="80"/>
        <w:spacing w:after="0" w:line="272" w:lineRule="auto"/>
        <w:rPr>
          <w:sz w:val="20"/>
          <w:szCs w:val="20"/>
          <w:color w:val="auto"/>
        </w:rPr>
      </w:pPr>
      <w:r>
        <w:rPr>
          <w:rFonts w:ascii="Times New Roman" w:cs="Times New Roman" w:eastAsia="Times New Roman" w:hAnsi="Times New Roman"/>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Holdings, Inc.:</w:t>
            </w:r>
          </w:p>
        </w:tc>
        <w:tc>
          <w:tcPr>
            <w:tcW w:w="31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52"/>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400" w:type="dxa"/>
            <w:vAlign w:val="bottom"/>
          </w:tcPr>
          <w:p>
            <w:pPr>
              <w:spacing w:after="0"/>
              <w:rPr>
                <w:sz w:val="20"/>
                <w:szCs w:val="20"/>
                <w:color w:val="auto"/>
              </w:rPr>
            </w:pPr>
            <w:r>
              <w:rPr>
                <w:rFonts w:ascii="Times New Roman" w:cs="Times New Roman" w:eastAsia="Times New Roman" w:hAnsi="Times New Roman"/>
                <w:sz w:val="16"/>
                <w:szCs w:val="16"/>
                <w:color w:val="auto"/>
              </w:rPr>
              <w:t>Southwest Gas Corporation:</w:t>
            </w:r>
          </w:p>
        </w:tc>
        <w:tc>
          <w:tcPr>
            <w:tcW w:w="31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5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66"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Times New Roman" w:cs="Times New Roman" w:eastAsia="Times New Roman" w:hAnsi="Times New Roman"/>
          <w:sz w:val="16"/>
          <w:szCs w:val="16"/>
          <w:color w:val="auto"/>
        </w:rPr>
        <w:t>Indicate by check mark whether each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6"/>
          <w:szCs w:val="16"/>
          <w:color w:val="auto"/>
        </w:rPr>
        <w:t>Southwest Gas Holdings, Inc. Common Stock, $1 Par Value, 72,182,840 shares as of October 31, 2025.</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All of the outstanding shares of common stock ($1 par value) of Southwest Gas Corporation were held by Southwest Gas Holdings, Inc. as of October 31, 2025.</w:t>
      </w:r>
    </w:p>
    <w:p>
      <w:pPr>
        <w:sectPr>
          <w:pgSz w:w="11900" w:h="16838" w:orient="portrait"/>
          <w:cols w:equalWidth="0" w:num="1">
            <w:col w:w="11240"/>
          </w:cols>
          <w:pgMar w:left="320" w:top="461" w:right="339" w:bottom="1440" w:gutter="0" w:footer="0" w:header="0"/>
        </w:sectPr>
      </w:pPr>
    </w:p>
    <w:p>
      <w:pPr>
        <w:spacing w:after="0" w:line="118"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FILING FORMAT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consolidated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440" w:type="dxa"/>
            <w:vAlign w:val="bottom"/>
          </w:tcPr>
          <w:p>
            <w:pPr>
              <w:spacing w:after="0"/>
              <w:rPr>
                <w:sz w:val="17"/>
                <w:szCs w:val="17"/>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GLOSSARY OF KEY TERMS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is a glossary of frequently used abbreviations or acronyms that are found throughout this report.</w:t>
            </w:r>
          </w:p>
        </w:tc>
        <w:tc>
          <w:tcPr>
            <w:tcW w:w="0" w:type="dxa"/>
            <w:vAlign w:val="bottom"/>
          </w:tcPr>
          <w:p>
            <w:pPr>
              <w:spacing w:after="0"/>
              <w:rPr>
                <w:sz w:val="1"/>
                <w:szCs w:val="1"/>
                <w:color w:val="auto"/>
              </w:rPr>
            </w:pPr>
          </w:p>
        </w:tc>
      </w:tr>
      <w:tr>
        <w:trPr>
          <w:trHeight w:val="27"/>
        </w:trPr>
        <w:tc>
          <w:tcPr>
            <w:tcW w:w="14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440" w:type="dxa"/>
            <w:vAlign w:val="bottom"/>
            <w:tcBorders>
              <w:lef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144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Abbreviation or</w:t>
            </w:r>
          </w:p>
        </w:tc>
        <w:tc>
          <w:tcPr>
            <w:tcW w:w="41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260" w:type="dxa"/>
            <w:vAlign w:val="bottom"/>
            <w:tcBorders>
              <w:bottom w:val="single" w:sz="8" w:color="auto"/>
              <w:right w:val="single" w:sz="8" w:color="auto"/>
            </w:tcBorders>
            <w:gridSpan w:val="3"/>
            <w:vMerge w:val="continue"/>
          </w:tcPr>
          <w:p>
            <w:pPr>
              <w:spacing w:after="0"/>
              <w:rPr>
                <w:sz w:val="21"/>
                <w:szCs w:val="21"/>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Acronym</w:t>
            </w:r>
          </w:p>
        </w:tc>
        <w:tc>
          <w:tcPr>
            <w:tcW w:w="412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 w:type="dxa"/>
            <w:vAlign w:val="bottom"/>
            <w:tcBorders>
              <w:left w:val="single" w:sz="8" w:color="auto"/>
            </w:tcBorders>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40" w:type="dxa"/>
            <w:vAlign w:val="bottom"/>
            <w:tcBorders>
              <w:right w:val="single" w:sz="8" w:color="auto"/>
            </w:tcBorders>
            <w:shd w:val="clear" w:color="auto" w:fill="CCEEFF"/>
          </w:tcPr>
          <w:p>
            <w:pPr>
              <w:spacing w:after="0"/>
              <w:rPr>
                <w:sz w:val="24"/>
                <w:szCs w:val="24"/>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Icahn investment</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Icahn Partners LP and Icahn Partners Master Fund LP,</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Arizona Corporation Commission</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 entities associated with Carl C. Icahn</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AFUDC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IPO</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Infrastructure Reliability and Replacement Adjustment</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AOCI</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IRRAM</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Mechanism</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ARA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Annual Rate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Internal Revenue Service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MD&amp;A</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At-the-market equity offering program</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OBBBA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One Big Beautiful Bill Act</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Bcf</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Billion cubic feet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PBOP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Postretirement Benefits Other than Pensions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Board</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Board of Directors of Southwest Gas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PGA</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Purchased Gas Adjustment</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PTY</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Post-Test Year</w:t>
            </w:r>
          </w:p>
        </w:tc>
        <w:tc>
          <w:tcPr>
            <w:tcW w:w="0" w:type="dxa"/>
            <w:vAlign w:val="bottom"/>
          </w:tcPr>
          <w:p>
            <w:pPr>
              <w:spacing w:after="0"/>
              <w:rPr>
                <w:sz w:val="1"/>
                <w:szCs w:val="1"/>
                <w:color w:val="auto"/>
              </w:rPr>
            </w:pPr>
          </w:p>
        </w:tc>
      </w:tr>
      <w:tr>
        <w:trPr>
          <w:trHeight w:val="175"/>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Centuri, or Utility</w:t>
            </w:r>
          </w:p>
        </w:tc>
        <w:tc>
          <w:tcPr>
            <w:tcW w:w="4260" w:type="dxa"/>
            <w:vAlign w:val="bottom"/>
            <w:tcBorders>
              <w:right w:val="single" w:sz="8" w:color="auto"/>
            </w:tcBorders>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Centuri Group Inc, for periods prior to April 22, 2024,</w:t>
            </w: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40" w:type="dxa"/>
            <w:vAlign w:val="bottom"/>
            <w:tcBorders>
              <w:lef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Infrastructure</w:t>
            </w:r>
          </w:p>
        </w:tc>
        <w:tc>
          <w:tcPr>
            <w:tcW w:w="4260" w:type="dxa"/>
            <w:vAlign w:val="bottom"/>
            <w:tcBorders>
              <w:right w:val="single" w:sz="8" w:color="auto"/>
            </w:tcBorders>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or subsequently, Centuri Holdings, Inc.</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PUCN</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Public Utilities Commission of Nevada</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Centuri IPO</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Centuri Initial Public Offering</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QRP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Qualified Retirement Plan</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CODM</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Chief operating decision maker</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Reform Act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Private Securities Litigation Reform Act of 1995</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COLI</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Company-owned life insurance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RNG</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Renewable Natural Gas</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4260" w:type="dxa"/>
            <w:vAlign w:val="bottom"/>
            <w:tcBorders>
              <w:right w:val="single" w:sz="8" w:color="auto"/>
            </w:tcBorders>
            <w:gridSpan w:val="3"/>
          </w:tcPr>
          <w:p>
            <w:pPr>
              <w:ind w:left="120"/>
              <w:spacing w:after="0" w:line="176" w:lineRule="exact"/>
              <w:rPr>
                <w:sz w:val="20"/>
                <w:szCs w:val="20"/>
                <w:color w:val="auto"/>
              </w:rPr>
            </w:pPr>
            <w:r>
              <w:rPr>
                <w:rFonts w:ascii="Times New Roman" w:cs="Times New Roman" w:eastAsia="Times New Roman" w:hAnsi="Times New Roman"/>
                <w:sz w:val="18"/>
                <w:szCs w:val="18"/>
                <w:color w:val="auto"/>
              </w:rPr>
              <w:t>Southwest Gas Holdings, Inc. (together with its</w:t>
            </w:r>
          </w:p>
        </w:tc>
        <w:tc>
          <w:tcPr>
            <w:tcW w:w="1440" w:type="dxa"/>
            <w:vAlign w:val="bottom"/>
          </w:tcPr>
          <w:p>
            <w:pPr>
              <w:spacing w:after="0"/>
              <w:rPr>
                <w:sz w:val="15"/>
                <w:szCs w:val="15"/>
                <w:color w:val="auto"/>
              </w:rPr>
            </w:pP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subsidiaries)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Senate Bill</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COYL</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Customer-Owned Yard Line</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Separation</w:t>
            </w:r>
          </w:p>
        </w:tc>
        <w:tc>
          <w:tcPr>
            <w:tcW w:w="4120" w:type="dxa"/>
            <w:vAlign w:val="bottom"/>
            <w:tcBorders>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8"/>
                <w:szCs w:val="18"/>
                <w:color w:val="auto"/>
              </w:rPr>
              <w:t>That certain Separation Agreement, dated as of April</w:t>
            </w: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CPUC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California Public Utilities Commission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 2024, by and between the Company and Centuri</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DCA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Delivery Charge Adjustment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SERP</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Supplemental Executive Retirement Plan</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DEAA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Deferred Energy Accounting Adjustment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SIM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System Integrity Mechanism</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40" w:type="dxa"/>
            <w:vAlign w:val="bottom"/>
            <w:tcBorders>
              <w:right w:val="single" w:sz="8" w:color="auto"/>
            </w:tcBorders>
            <w:shd w:val="clear" w:color="auto" w:fill="CCEEFF"/>
          </w:tcPr>
          <w:p>
            <w:pPr>
              <w:spacing w:after="0"/>
              <w:rPr>
                <w:sz w:val="15"/>
                <w:szCs w:val="15"/>
                <w:color w:val="auto"/>
              </w:rPr>
            </w:pPr>
          </w:p>
        </w:tc>
        <w:tc>
          <w:tcPr>
            <w:tcW w:w="1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Southwest Gas, or</w:t>
            </w: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 w:type="dxa"/>
            <w:vAlign w:val="bottom"/>
            <w:tcBorders>
              <w:left w:val="single" w:sz="8" w:color="auto"/>
            </w:tcBorders>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40" w:type="dxa"/>
            <w:vAlign w:val="bottom"/>
            <w:tcBorders>
              <w:right w:val="single" w:sz="8" w:color="auto"/>
            </w:tcBorders>
            <w:shd w:val="clear" w:color="auto" w:fill="CCEEFF"/>
          </w:tcPr>
          <w:p>
            <w:pPr>
              <w:spacing w:after="0"/>
              <w:rPr>
                <w:sz w:val="16"/>
                <w:szCs w:val="16"/>
                <w:color w:val="auto"/>
              </w:rPr>
            </w:pPr>
          </w:p>
        </w:tc>
        <w:tc>
          <w:tcPr>
            <w:tcW w:w="14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Natural Gas</w:t>
            </w:r>
          </w:p>
        </w:tc>
        <w:tc>
          <w:tcPr>
            <w:tcW w:w="41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EADIT</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Excess accumulated deferred income taxes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Southwest Gas Corporation and its subsidiaries</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Southwest Gas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EPS</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Holdings</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Southwest Gas Holdings, Inc. (standalone)</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SOFR</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176"/>
        </w:trPr>
        <w:tc>
          <w:tcPr>
            <w:tcW w:w="60" w:type="dxa"/>
            <w:vAlign w:val="bottom"/>
            <w:tcBorders>
              <w:lef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Borders>
              <w:right w:val="single" w:sz="8" w:color="auto"/>
            </w:tcBorders>
          </w:tcPr>
          <w:p>
            <w:pPr>
              <w:spacing w:after="0"/>
              <w:rPr>
                <w:sz w:val="15"/>
                <w:szCs w:val="15"/>
                <w:color w:val="auto"/>
              </w:rPr>
            </w:pPr>
          </w:p>
        </w:tc>
        <w:tc>
          <w:tcPr>
            <w:tcW w:w="14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FERC</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Federal Energy Regulatory Commission</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Unutilized Tax Assets Settlement Agreement</w:t>
            </w:r>
          </w:p>
        </w:tc>
        <w:tc>
          <w:tcPr>
            <w:tcW w:w="0" w:type="dxa"/>
            <w:vAlign w:val="bottom"/>
          </w:tcPr>
          <w:p>
            <w:pPr>
              <w:spacing w:after="0"/>
              <w:rPr>
                <w:sz w:val="1"/>
                <w:szCs w:val="1"/>
                <w:color w:val="auto"/>
              </w:rPr>
            </w:pPr>
          </w:p>
        </w:tc>
      </w:tr>
      <w:tr>
        <w:trPr>
          <w:trHeight w:val="175"/>
        </w:trPr>
        <w:tc>
          <w:tcPr>
            <w:tcW w:w="60" w:type="dxa"/>
            <w:vAlign w:val="bottom"/>
            <w:tcBorders>
              <w:left w:val="single" w:sz="8" w:color="auto"/>
            </w:tcBorders>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260" w:type="dxa"/>
            <w:vAlign w:val="bottom"/>
            <w:tcBorders>
              <w:right w:val="single" w:sz="8" w:color="auto"/>
            </w:tcBorders>
            <w:gridSpan w:val="3"/>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Accounting principles generally accepted in the United</w:t>
            </w:r>
          </w:p>
        </w:tc>
        <w:tc>
          <w:tcPr>
            <w:tcW w:w="1440" w:type="dxa"/>
            <w:vAlign w:val="bottom"/>
            <w:shd w:val="clear" w:color="auto" w:fill="CCEEFF"/>
          </w:tcPr>
          <w:p>
            <w:pPr>
              <w:spacing w:after="0"/>
              <w:rPr>
                <w:sz w:val="15"/>
                <w:szCs w:val="15"/>
                <w:color w:val="auto"/>
              </w:rPr>
            </w:pPr>
          </w:p>
        </w:tc>
        <w:tc>
          <w:tcPr>
            <w:tcW w:w="41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States</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Assets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Unutilized tax assets</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GCBA</w:t>
            </w:r>
          </w:p>
        </w:tc>
        <w:tc>
          <w:tcPr>
            <w:tcW w:w="426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Gas Cost Balancing Account</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TEAM</w:t>
            </w:r>
          </w:p>
        </w:tc>
        <w:tc>
          <w:tcPr>
            <w:tcW w:w="4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Expense Adjustor Mechanism</w:t>
            </w: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GRA</w:t>
            </w:r>
          </w:p>
        </w:tc>
        <w:tc>
          <w:tcPr>
            <w:tcW w:w="4260" w:type="dxa"/>
            <w:vAlign w:val="bottom"/>
            <w:tcBorders>
              <w:right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Revenues Adjustment</w:t>
            </w: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120" w:type="dxa"/>
            <w:vAlign w:val="bottom"/>
            <w:tcBorders>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9"/>
        </w:trPr>
        <w:tc>
          <w:tcPr>
            <w:tcW w:w="144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Great Basin</w:t>
            </w:r>
          </w:p>
        </w:tc>
        <w:tc>
          <w:tcPr>
            <w:tcW w:w="4260" w:type="dxa"/>
            <w:vAlign w:val="bottom"/>
            <w:tcBorders>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Great Basin Gas Transmission Company</w:t>
            </w: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UGCE</w:t>
            </w:r>
          </w:p>
        </w:tc>
        <w:tc>
          <w:tcPr>
            <w:tcW w:w="41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Unrecovered Gas Cost Expense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57" w:right="319"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quarterly report contains statements which constitute “forward-looking statements” within the meaning of the Reform Act, Section 27A of the Securities Act of 1933, as amended, and Section 21E of the Securities Exchange Act of 1934, as amended.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“potential,” “continue,” “forecast,” “intend,” “endeavor,” “promote,” “seek,” “pursue,” and similar words and expressions are generally used and intended to identify forward-looking statements. For example, statements regarding operating margin patterns, customer growth, the composition of our customer base, price volatility, utility optimization initiatives, the level of expense or cost containment, seasonal patterns, the ability to pay debt, the Company’s COLI strategy, the magnitude of future acquisition or divestiture impacts related thereto, the impacts of U.S. tax reform including the OBBBA and disposition in any regulatory proceeding and bonus depreciation tax deductions, tariffs, the impact of any Pipeline and Hazardous Materials Safety Administration rulemaking or proposed rulemaking, the amounts and timing for completion of estimated future capital expenditures, forecasted operating cash flows and results of operations, net earnings impacts or recovery of costs from gas infrastructure replacements, programs and mechanisms, or other mechanisms,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our ATM Program or otherwise, expectations with respect to the use of net proceeds from the Centuri separation transactions, future dividends and the Board’s current payout strategy, pension and postretirement benefits, assumptions used and the expectations regarding the treasury futures overlay, the effect of any other rate changes or regulatory proceedings, impacts of ASUs, statements regarding future gas prices, gas purchase contracts and pipeline imbalance charges or claims related thereto, recoverability of regulatory assets, the impact of certain legal proceedings or claims, statements related to the Great Basin 2028 expansion project, and the timing and results of future rate hearings, including any ongoing or future general rate cases and other proceedings, and statements regarding pending approvals, including proposed regulatory mechanisms and the approval of the application for the triennial resource plan, or references to impacts believed to be timing-related, are forward-looking statements. All forward-looking statements are intended to be subject to the safe harbor protection provided by the Reform Act.</w:t>
      </w:r>
    </w:p>
    <w:p>
      <w:pPr>
        <w:spacing w:after="0" w:line="9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including the impact of tariffs, the impact of the ongoing federal U.S. government shutdown on economic conditions,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ability to collect on outstanding customer accounts receivable in any or all jurisdictions, the ability to obtain regulatory recovery of related costs, the ability to recover or requirement to return, as applicable, and timing thereof related to costs associated with the PGA mechanisms or other regulatory assets or programs, potential disallowances by the ACC, the PUCN, the CPUC, and/or the FERC, the effects of regulation/deregulation, governmental or regulatory policy regarding pipeline safety, greenhouse gas emissions, natural gas,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impacts to rate base or otherwise from deferred tax balances, including from IRS gas industry guidelines and the safe harbor method related to tax repairs or otherwise, variability in volume of gas or transportation service sold to customers, changes in gas procurement practices, changes in capital requirements and funding, the impact of credit rating actions and conditions in the capital markets on financing costs, changes in federal policies that affect U.S. relations with other countries, including with respect to taxes, trade policies, and tariffs, changes in capital expenditures and financing, resources/efforts dedicated to construction activities and all other business activities, levels of or changes in operations and maintenance expenses, or other costs, including fuel costs and other costs impacted by inflation, including from tariffs or otherwise, benefit plan costs and actuarial estimates, other estimates, and changes thereto, the results of any cost containment efforts,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projections about acquired businesses’ earnings, or those that may be planned, future acquisition-</w:t>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related costs, differences between the actual experience and projections in costs to integrate or stand-up portions of newly acquired business operations, acquisitions and management’s plans related thereto, the ability of management to successfully finance, close, and assimilate any acquired businesses,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our ability to raise capital in external financings, our ability to continue to remain within the ratios and other limits subject to our debt covenants, and ongoing evaluations in regard to goodwill, other intangible assets, regulatory approvals for the Great Basin 2028 expansion project along with negotiation and execution of binding transportation agreements and capital construction costs, and utility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Times New Roman" w:cs="Times New Roman" w:eastAsia="Times New Roman" w:hAnsi="Times New Roman"/>
          <w:sz w:val="18"/>
          <w:szCs w:val="18"/>
          <w:b w:val="1"/>
          <w:bCs w:val="1"/>
          <w:color w:val="auto"/>
        </w:rPr>
        <w:t>Item 1A. 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Item 7A. Quantitative and Qualitative Disclosures About Market Risk </w:t>
      </w:r>
      <w:r>
        <w:rPr>
          <w:rFonts w:ascii="Times New Roman" w:cs="Times New Roman" w:eastAsia="Times New Roman" w:hAnsi="Times New Roman"/>
          <w:sz w:val="18"/>
          <w:szCs w:val="18"/>
          <w:color w:val="auto"/>
        </w:rPr>
        <w:t>in the Annual Report on Form 10-K for the year ended December 31, 2024.</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All forward-looking statements in this quarterly report are made as of the date hereof, based on information available to the Company and Southwest Gas as of the date hereof, and the Company and Southwest Gas assume no obligation to update or revise any of its forward-looking statements, even if experience or future changes show that the indicated results or events will not be realized. </w:t>
      </w:r>
      <w:r>
        <w:rPr>
          <w:rFonts w:ascii="Times New Roman" w:cs="Times New Roman" w:eastAsia="Times New Roman" w:hAnsi="Times New Roman"/>
          <w:sz w:val="18"/>
          <w:szCs w:val="18"/>
          <w:b w:val="1"/>
          <w:bCs w:val="1"/>
          <w:color w:val="auto"/>
        </w:rPr>
        <w:t>We caution you not to unduly rely on any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SOUTHWEST GAS HOLDINGS,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(Thousands of dollars, except par value)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13"/>
        </w:trPr>
        <w:tc>
          <w:tcPr>
            <w:tcW w:w="7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(3,025,110)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8,495,606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165,448</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314,770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203,012</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141,017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assets classified as discontinued operations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601,384</w:t>
            </w:r>
          </w:p>
        </w:tc>
        <w:tc>
          <w:tcPr>
            <w:tcW w:w="0" w:type="dxa"/>
            <w:vAlign w:val="bottom"/>
          </w:tcPr>
          <w:p>
            <w:pPr>
              <w:spacing w:after="0"/>
              <w:rPr>
                <w:sz w:val="1"/>
                <w:szCs w:val="1"/>
                <w:color w:val="auto"/>
              </w:rPr>
            </w:pPr>
          </w:p>
        </w:tc>
      </w:tr>
      <w:tr>
        <w:trPr>
          <w:trHeight w:val="207"/>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1,243,493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1,464,345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395,747</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Noncurrent assets classified as discontinued operations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1,927,126</w:t>
            </w:r>
          </w:p>
        </w:tc>
        <w:tc>
          <w:tcPr>
            <w:tcW w:w="0" w:type="dxa"/>
            <w:vAlign w:val="bottom"/>
          </w:tcPr>
          <w:p>
            <w:pPr>
              <w:spacing w:after="0"/>
              <w:rPr>
                <w:sz w:val="1"/>
                <w:szCs w:val="1"/>
                <w:color w:val="auto"/>
              </w:rPr>
            </w:pPr>
          </w:p>
        </w:tc>
      </w:tr>
      <w:tr>
        <w:trPr>
          <w:trHeight w:val="212"/>
        </w:trPr>
        <w:tc>
          <w:tcPr>
            <w:tcW w:w="75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2,334,028</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10,328,579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12,072,906</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$1 par (authorized - 120,000,000 shares;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- 72,180,889 and 71,782,756 shares)</w:t>
            </w: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2,893,066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999,399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 attributable to Southwest Gas Holdings, Inc. stockholders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0" w:type="dxa"/>
            <w:vAlign w:val="bottom"/>
          </w:tcPr>
          <w:p>
            <w:pPr>
              <w:spacing w:after="0"/>
              <w:rPr>
                <w:sz w:val="1"/>
                <w:szCs w:val="1"/>
                <w:color w:val="auto"/>
              </w:rPr>
            </w:pPr>
          </w:p>
        </w:tc>
      </w:tr>
      <w:tr>
        <w:trPr>
          <w:trHeight w:val="212"/>
        </w:trPr>
        <w:tc>
          <w:tcPr>
            <w:tcW w:w="752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7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7,660</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3,507,120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3,504,477</w:t>
            </w:r>
          </w:p>
        </w:tc>
        <w:tc>
          <w:tcPr>
            <w:tcW w:w="0" w:type="dxa"/>
            <w:vAlign w:val="bottom"/>
          </w:tcPr>
          <w:p>
            <w:pPr>
              <w:spacing w:after="0"/>
              <w:rPr>
                <w:sz w:val="1"/>
                <w:szCs w:val="1"/>
                <w:color w:val="auto"/>
              </w:rPr>
            </w:pPr>
          </w:p>
        </w:tc>
      </w:tr>
      <w:tr>
        <w:trPr>
          <w:trHeight w:val="204"/>
        </w:trPr>
        <w:tc>
          <w:tcPr>
            <w:tcW w:w="75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7,435,799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7,193,559</w:t>
            </w: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7"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787"/>
        </w:trPr>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September 30, 2025</w:t>
            </w:r>
          </w:p>
        </w:tc>
        <w:tc>
          <w:tcPr>
            <w:tcW w:w="160" w:type="dxa"/>
            <w:vAlign w:val="bottom"/>
          </w:tcPr>
          <w:p>
            <w:pPr>
              <w:spacing w:after="0"/>
              <w:rPr>
                <w:sz w:val="24"/>
                <w:szCs w:val="24"/>
                <w:color w:val="auto"/>
              </w:rPr>
            </w:pPr>
          </w:p>
        </w:tc>
        <w:tc>
          <w:tcPr>
            <w:tcW w:w="16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9"/>
        </w:trPr>
        <w:tc>
          <w:tcPr>
            <w:tcW w:w="752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Short-term debt</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680,000</w:t>
            </w:r>
          </w:p>
        </w:tc>
      </w:tr>
      <w:tr>
        <w:trPr>
          <w:trHeight w:val="219"/>
        </w:trPr>
        <w:tc>
          <w:tcPr>
            <w:tcW w:w="7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190,918</w:t>
            </w:r>
          </w:p>
        </w:tc>
      </w:tr>
      <w:tr>
        <w:trPr>
          <w:trHeight w:val="213"/>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63,876</w:t>
            </w:r>
          </w:p>
        </w:tc>
      </w:tr>
      <w:tr>
        <w:trPr>
          <w:trHeight w:val="219"/>
        </w:trPr>
        <w:tc>
          <w:tcPr>
            <w:tcW w:w="7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59,353</w:t>
            </w:r>
          </w:p>
        </w:tc>
      </w:tr>
      <w:tr>
        <w:trPr>
          <w:trHeight w:val="213"/>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35,668</w:t>
            </w:r>
          </w:p>
        </w:tc>
      </w:tr>
      <w:tr>
        <w:trPr>
          <w:trHeight w:val="219"/>
        </w:trPr>
        <w:tc>
          <w:tcPr>
            <w:tcW w:w="7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255,398</w:t>
            </w:r>
          </w:p>
        </w:tc>
      </w:tr>
      <w:tr>
        <w:trPr>
          <w:trHeight w:val="213"/>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44,505</w:t>
            </w:r>
          </w:p>
        </w:tc>
      </w:tr>
      <w:tr>
        <w:trPr>
          <w:trHeight w:val="219"/>
        </w:trPr>
        <w:tc>
          <w:tcPr>
            <w:tcW w:w="7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119,357</w:t>
            </w:r>
          </w:p>
        </w:tc>
      </w:tr>
      <w:tr>
        <w:trPr>
          <w:trHeight w:val="213"/>
        </w:trPr>
        <w:tc>
          <w:tcPr>
            <w:tcW w:w="752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Current liabilities classified as discontinued operations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382,892</w:t>
            </w:r>
          </w:p>
        </w:tc>
      </w:tr>
      <w:tr>
        <w:trPr>
          <w:trHeight w:val="212"/>
        </w:trPr>
        <w:tc>
          <w:tcPr>
            <w:tcW w:w="752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1,831,967</w:t>
            </w:r>
          </w:p>
        </w:tc>
      </w:tr>
      <w:tr>
        <w:trPr>
          <w:trHeight w:val="21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905,604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857,982</w:t>
            </w:r>
          </w:p>
        </w:tc>
      </w:tr>
      <w:tr>
        <w:trPr>
          <w:trHeight w:val="213"/>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r>
      <w:tr>
        <w:trPr>
          <w:trHeight w:val="219"/>
        </w:trPr>
        <w:tc>
          <w:tcPr>
            <w:tcW w:w="75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700,672</w:t>
            </w:r>
          </w:p>
        </w:tc>
      </w:tr>
      <w:tr>
        <w:trPr>
          <w:trHeight w:val="213"/>
        </w:trPr>
        <w:tc>
          <w:tcPr>
            <w:tcW w:w="75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Noncurrent liabilities classified as discontinued operations</w:t>
            </w:r>
          </w:p>
        </w:tc>
        <w:tc>
          <w:tcPr>
            <w:tcW w:w="16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1,016,726</w:t>
            </w:r>
          </w:p>
        </w:tc>
      </w:tr>
      <w:tr>
        <w:trPr>
          <w:trHeight w:val="212"/>
        </w:trPr>
        <w:tc>
          <w:tcPr>
            <w:tcW w:w="7520" w:type="dxa"/>
            <w:vAlign w:val="bottom"/>
            <w:tcBorders>
              <w:top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2,088,077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3,047,380</w:t>
            </w:r>
          </w:p>
        </w:tc>
      </w:tr>
      <w:tr>
        <w:trPr>
          <w:trHeight w:val="207"/>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10,328,579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12,072,906</w:t>
            </w:r>
          </w:p>
        </w:tc>
      </w:tr>
      <w:tr>
        <w:trPr>
          <w:trHeight w:val="23"/>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257" w:right="3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6"/>
          </w:tcPr>
          <w:p>
            <w:pPr>
              <w:jc w:val="center"/>
              <w:ind w:left="130"/>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60" w:type="dxa"/>
            <w:vAlign w:val="bottom"/>
            <w:gridSpan w:val="2"/>
          </w:tcPr>
          <w:p>
            <w:pPr>
              <w:jc w:val="center"/>
              <w:ind w:left="295"/>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60" w:type="dxa"/>
            <w:vAlign w:val="bottom"/>
            <w:gridSpan w:val="4"/>
          </w:tcPr>
          <w:p>
            <w:pPr>
              <w:jc w:val="right"/>
              <w:ind w:right="419"/>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6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color w:val="auto"/>
              </w:rPr>
              <w:t>September 30,</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4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r>
      <w:tr>
        <w:trPr>
          <w:trHeight w:val="199"/>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revenues:</w:t>
            </w: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2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359,131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1,459,645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1,922,157</w:t>
            </w: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operating revenues</w:t>
            </w:r>
          </w:p>
        </w:tc>
        <w:tc>
          <w:tcPr>
            <w:tcW w:w="2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316,911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359,131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1,459,645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1,922,157</w:t>
            </w:r>
          </w:p>
        </w:tc>
      </w:tr>
      <w:tr>
        <w:trPr>
          <w:trHeight w:val="193"/>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984,188</w:t>
            </w:r>
          </w:p>
        </w:tc>
      </w:tr>
      <w:tr>
        <w:trPr>
          <w:trHeight w:val="213"/>
        </w:trPr>
        <w:tc>
          <w:tcPr>
            <w:tcW w:w="60" w:type="dxa"/>
            <w:vAlign w:val="bottom"/>
          </w:tcPr>
          <w:p>
            <w:pPr>
              <w:spacing w:after="0"/>
              <w:rPr>
                <w:sz w:val="18"/>
                <w:szCs w:val="18"/>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394,957</w:t>
            </w:r>
          </w:p>
        </w:tc>
      </w:tr>
      <w:tr>
        <w:trPr>
          <w:trHeight w:val="219"/>
        </w:trPr>
        <w:tc>
          <w:tcPr>
            <w:tcW w:w="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220,663</w:t>
            </w:r>
          </w:p>
        </w:tc>
      </w:tr>
      <w:tr>
        <w:trPr>
          <w:trHeight w:val="213"/>
        </w:trPr>
        <w:tc>
          <w:tcPr>
            <w:tcW w:w="6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2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66,414</w:t>
            </w:r>
          </w:p>
        </w:tc>
      </w:tr>
      <w:tr>
        <w:trPr>
          <w:trHeight w:val="212"/>
        </w:trPr>
        <w:tc>
          <w:tcPr>
            <w:tcW w:w="6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339,009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1,144,425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1,666,222</w:t>
            </w:r>
          </w:p>
        </w:tc>
      </w:tr>
      <w:tr>
        <w:trPr>
          <w:trHeight w:val="207"/>
        </w:trPr>
        <w:tc>
          <w:tcPr>
            <w:tcW w:w="4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37,008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255,935</w:t>
            </w:r>
          </w:p>
        </w:tc>
      </w:tr>
      <w:tr>
        <w:trPr>
          <w:trHeight w:val="199"/>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(152,452)</w:t>
            </w:r>
          </w:p>
        </w:tc>
      </w:tr>
      <w:tr>
        <w:trPr>
          <w:trHeight w:val="219"/>
        </w:trPr>
        <w:tc>
          <w:tcPr>
            <w:tcW w:w="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2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48,918</w:t>
            </w:r>
          </w:p>
        </w:tc>
      </w:tr>
      <w:tr>
        <w:trPr>
          <w:trHeight w:val="207"/>
        </w:trPr>
        <w:tc>
          <w:tcPr>
            <w:tcW w:w="6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2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(103,534)</w:t>
            </w:r>
          </w:p>
        </w:tc>
      </w:tr>
      <w:tr>
        <w:trPr>
          <w:trHeight w:val="212"/>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152,401</w:t>
            </w:r>
          </w:p>
        </w:tc>
      </w:tr>
      <w:tr>
        <w:trPr>
          <w:trHeight w:val="213"/>
        </w:trPr>
        <w:tc>
          <w:tcPr>
            <w:tcW w:w="4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18,259</w:t>
            </w:r>
          </w:p>
        </w:tc>
      </w:tr>
      <w:tr>
        <w:trPr>
          <w:trHeight w:val="212"/>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134,142</w:t>
            </w:r>
          </w:p>
        </w:tc>
      </w:tr>
      <w:tr>
        <w:trPr>
          <w:trHeight w:val="213"/>
        </w:trPr>
        <w:tc>
          <w:tcPr>
            <w:tcW w:w="410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income tax</w:t>
            </w:r>
          </w:p>
        </w:tc>
        <w:tc>
          <w:tcPr>
            <w:tcW w:w="2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(23,707)</w:t>
            </w:r>
          </w:p>
        </w:tc>
      </w:tr>
      <w:tr>
        <w:trPr>
          <w:trHeight w:val="212"/>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110,435</w:t>
            </w:r>
          </w:p>
        </w:tc>
      </w:tr>
      <w:tr>
        <w:trPr>
          <w:trHeight w:val="213"/>
        </w:trPr>
        <w:tc>
          <w:tcPr>
            <w:tcW w:w="6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2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w:t>
            </w:r>
          </w:p>
        </w:tc>
      </w:tr>
      <w:tr>
        <w:trPr>
          <w:trHeight w:val="237"/>
        </w:trPr>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Southwest Gas Holdings, Inc.</w:t>
            </w:r>
          </w:p>
        </w:tc>
        <w:tc>
          <w:tcPr>
            <w:tcW w:w="2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270,476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106,359</w:t>
            </w:r>
          </w:p>
        </w:tc>
      </w:tr>
      <w:tr>
        <w:trPr>
          <w:trHeight w:val="20"/>
        </w:trPr>
        <w:tc>
          <w:tcPr>
            <w:tcW w:w="4100" w:type="dxa"/>
            <w:vAlign w:val="bottom"/>
            <w:tcBorders>
              <w:top w:val="single" w:sz="8" w:color="CCEEFF"/>
            </w:tcBorders>
            <w:gridSpan w:val="4"/>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9"/>
        </w:trPr>
        <w:tc>
          <w:tcPr>
            <w:tcW w:w="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09"/>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4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Continuing operations</w:t>
            </w:r>
          </w:p>
        </w:tc>
        <w:tc>
          <w:tcPr>
            <w:tcW w:w="26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3"/>
        </w:trPr>
        <w:tc>
          <w:tcPr>
            <w:tcW w:w="6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(0.39)</w:t>
            </w:r>
          </w:p>
        </w:tc>
      </w:tr>
      <w:tr>
        <w:trPr>
          <w:trHeight w:val="237"/>
        </w:trPr>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4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4100" w:type="dxa"/>
            <w:vAlign w:val="bottom"/>
            <w:tcBorders>
              <w:top w:val="single" w:sz="8" w:color="CCEEFF"/>
            </w:tcBorders>
            <w:gridSpan w:val="4"/>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71,816</w:t>
            </w:r>
          </w:p>
        </w:tc>
      </w:tr>
      <w:tr>
        <w:trPr>
          <w:trHeight w:val="219"/>
        </w:trPr>
        <w:tc>
          <w:tcPr>
            <w:tcW w:w="6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71,994</w:t>
            </w: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900" w:type="dxa"/>
            <w:vAlign w:val="bottom"/>
            <w:gridSpan w:val="9"/>
          </w:tcPr>
          <w:p>
            <w:pPr>
              <w:jc w:val="center"/>
              <w:ind w:left="213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40" w:type="dxa"/>
            <w:vAlign w:val="bottom"/>
            <w:gridSpan w:val="4"/>
          </w:tcPr>
          <w:p>
            <w:pPr>
              <w:jc w:val="right"/>
              <w:ind w:right="39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40" w:type="dxa"/>
            <w:vAlign w:val="bottom"/>
            <w:gridSpan w:val="4"/>
          </w:tcPr>
          <w:p>
            <w:pPr>
              <w:jc w:val="right"/>
              <w:ind w:right="598"/>
              <w:spacing w:after="0"/>
              <w:rPr>
                <w:sz w:val="20"/>
                <w:szCs w:val="20"/>
                <w:color w:val="auto"/>
              </w:rPr>
            </w:pPr>
            <w:r>
              <w:rPr>
                <w:rFonts w:ascii="Times New Roman" w:cs="Times New Roman" w:eastAsia="Times New Roman" w:hAnsi="Times New Roman"/>
                <w:sz w:val="16"/>
                <w:szCs w:val="16"/>
                <w:color w:val="auto"/>
              </w:rPr>
              <w:t>September 30,</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2024</w:t>
            </w:r>
          </w:p>
        </w:tc>
      </w:tr>
      <w:tr>
        <w:trPr>
          <w:trHeight w:val="212"/>
        </w:trPr>
        <w:tc>
          <w:tcPr>
            <w:tcW w:w="6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267,959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110,435</w:t>
            </w:r>
          </w:p>
        </w:tc>
      </w:tr>
      <w:tr>
        <w:trPr>
          <w:trHeight w:val="193"/>
        </w:trPr>
        <w:tc>
          <w:tcPr>
            <w:tcW w:w="65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65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 net of tax of $11, $11, $33 and $33, respectively</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9"/>
        </w:trPr>
        <w:tc>
          <w:tcPr>
            <w:tcW w:w="60" w:type="dxa"/>
            <w:vAlign w:val="bottom"/>
            <w:shd w:val="clear" w:color="auto" w:fill="CCEEFF"/>
          </w:tcPr>
          <w:p>
            <w:pPr>
              <w:spacing w:after="0"/>
              <w:rPr>
                <w:sz w:val="19"/>
                <w:szCs w:val="19"/>
                <w:color w:val="auto"/>
              </w:rPr>
            </w:pPr>
          </w:p>
        </w:tc>
        <w:tc>
          <w:tcPr>
            <w:tcW w:w="6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 net of tax of $226, $458, $678 and $1,375, respectively</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r>
      <w:tr>
        <w:trPr>
          <w:trHeight w:val="213"/>
        </w:trPr>
        <w:tc>
          <w:tcPr>
            <w:tcW w:w="60" w:type="dxa"/>
            <w:vAlign w:val="bottom"/>
            <w:tcBorders>
              <w:bottom w:val="single" w:sz="8" w:color="CCEEFF"/>
            </w:tcBorders>
          </w:tcPr>
          <w:p>
            <w:pPr>
              <w:spacing w:after="0"/>
              <w:rPr>
                <w:sz w:val="18"/>
                <w:szCs w:val="18"/>
                <w:color w:val="auto"/>
              </w:rPr>
            </w:pPr>
          </w:p>
        </w:tc>
        <w:tc>
          <w:tcPr>
            <w:tcW w:w="6500" w:type="dxa"/>
            <w:vAlign w:val="bottom"/>
            <w:tcBorders>
              <w:bottom w:val="single" w:sz="8" w:color="CCEEFF"/>
            </w:tcBorders>
            <w:gridSpan w:val="3"/>
          </w:tcPr>
          <w:p>
            <w:pPr>
              <w:ind w:left="160"/>
              <w:spacing w:after="0"/>
              <w:rPr>
                <w:sz w:val="20"/>
                <w:szCs w:val="20"/>
                <w:color w:val="auto"/>
              </w:rPr>
            </w:pPr>
            <w:r>
              <w:rPr>
                <w:rFonts w:ascii="Times New Roman" w:cs="Times New Roman" w:eastAsia="Times New Roman" w:hAnsi="Times New Roman"/>
                <w:sz w:val="16"/>
                <w:szCs w:val="16"/>
                <w:color w:val="auto"/>
              </w:rPr>
              <w:t>Regulatory adjustment, net of tax of ($153), ($347), ($457) and ($1,043), respectively</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w:t>
            </w:r>
          </w:p>
        </w:tc>
      </w:tr>
      <w:tr>
        <w:trPr>
          <w:trHeight w:val="212"/>
        </w:trPr>
        <w:tc>
          <w:tcPr>
            <w:tcW w:w="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07"/>
        </w:trPr>
        <w:tc>
          <w:tcPr>
            <w:tcW w:w="60" w:type="dxa"/>
            <w:vAlign w:val="bottom"/>
            <w:tcBorders>
              <w:bottom w:val="single" w:sz="8" w:color="CCEEFF"/>
            </w:tcBorders>
          </w:tcPr>
          <w:p>
            <w:pPr>
              <w:spacing w:after="0"/>
              <w:rPr>
                <w:sz w:val="17"/>
                <w:szCs w:val="17"/>
                <w:color w:val="auto"/>
              </w:rPr>
            </w:pPr>
          </w:p>
        </w:tc>
        <w:tc>
          <w:tcPr>
            <w:tcW w:w="6500" w:type="dxa"/>
            <w:vAlign w:val="bottom"/>
            <w:tcBorders>
              <w:bottom w:val="single" w:sz="8" w:color="CCEEFF"/>
            </w:tcBorders>
            <w:gridSpan w:val="3"/>
          </w:tcPr>
          <w:p>
            <w:pPr>
              <w:ind w:left="80"/>
              <w:spacing w:after="0"/>
              <w:rPr>
                <w:sz w:val="20"/>
                <w:szCs w:val="20"/>
                <w:color w:val="auto"/>
              </w:rPr>
            </w:pPr>
            <w:r>
              <w:rPr>
                <w:rFonts w:ascii="Times New Roman" w:cs="Times New Roman" w:eastAsia="Times New Roman" w:hAnsi="Times New Roman"/>
                <w:sz w:val="16"/>
                <w:szCs w:val="16"/>
                <w:color w:val="auto"/>
              </w:rPr>
              <w:t>Other comprehensive income (loss) related to discontinued operations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r>
      <w:tr>
        <w:trPr>
          <w:trHeight w:val="212"/>
        </w:trPr>
        <w:tc>
          <w:tcPr>
            <w:tcW w:w="65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r>
      <w:tr>
        <w:trPr>
          <w:trHeight w:val="207"/>
        </w:trPr>
        <w:tc>
          <w:tcPr>
            <w:tcW w:w="65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266,566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109,293</w:t>
            </w:r>
          </w:p>
        </w:tc>
      </w:tr>
      <w:tr>
        <w:trPr>
          <w:trHeight w:val="216"/>
        </w:trPr>
        <w:tc>
          <w:tcPr>
            <w:tcW w:w="60" w:type="dxa"/>
            <w:vAlign w:val="bottom"/>
            <w:shd w:val="clear" w:color="auto" w:fill="CCEEFF"/>
          </w:tcPr>
          <w:p>
            <w:pPr>
              <w:spacing w:after="0"/>
              <w:rPr>
                <w:sz w:val="18"/>
                <w:szCs w:val="18"/>
                <w:color w:val="auto"/>
              </w:rPr>
            </w:pPr>
          </w:p>
        </w:tc>
        <w:tc>
          <w:tcPr>
            <w:tcW w:w="6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w:t>
            </w:r>
          </w:p>
        </w:tc>
      </w:tr>
      <w:tr>
        <w:trPr>
          <w:trHeight w:val="212"/>
        </w:trPr>
        <w:tc>
          <w:tcPr>
            <w:tcW w:w="65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Southwest Gas Holdings,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269,879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377,131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866"/>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SOUTHWEST GAS HOLDINGS,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Nine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6"/>
                <w:szCs w:val="16"/>
                <w:color w:val="auto"/>
              </w:rPr>
              <w:t>September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9"/>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366,817</w:t>
            </w:r>
          </w:p>
        </w:tc>
        <w:tc>
          <w:tcPr>
            <w:tcW w:w="100" w:type="dxa"/>
            <w:vAlign w:val="bottom"/>
          </w:tcPr>
          <w:p>
            <w:pPr>
              <w:spacing w:after="0"/>
              <w:rPr>
                <w:sz w:val="18"/>
                <w:szCs w:val="18"/>
                <w:color w:val="auto"/>
              </w:rPr>
            </w:pPr>
          </w:p>
        </w:tc>
        <w:tc>
          <w:tcPr>
            <w:tcW w:w="620" w:type="dxa"/>
            <w:vAlign w:val="bottom"/>
          </w:tcPr>
          <w:p>
            <w:pPr>
              <w:jc w:val="right"/>
              <w:ind w:right="436"/>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Less: Income (loss) from discontinued operations, net of income tax</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201,814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(23,707)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Income from continuing operations, net of income tax</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241,703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220,663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48,141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Gains on sale of property and equipment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Accounts receivable, net of allowances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92,437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137,655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114,768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678,478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108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(37,054)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509,136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1,062,478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(used) by operating activities of discontinued operations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91,858</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474,508</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1,154,336</w:t>
            </w:r>
          </w:p>
        </w:tc>
        <w:tc>
          <w:tcPr>
            <w:tcW w:w="0" w:type="dxa"/>
            <w:vAlign w:val="bottom"/>
          </w:tcPr>
          <w:p>
            <w:pPr>
              <w:spacing w:after="0"/>
              <w:rPr>
                <w:sz w:val="1"/>
                <w:szCs w:val="1"/>
                <w:color w:val="auto"/>
              </w:rPr>
            </w:pPr>
          </w:p>
        </w:tc>
      </w:tr>
      <w:tr>
        <w:trPr>
          <w:trHeight w:val="199"/>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Capital expenditures and property additions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(570,351)</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(643,720)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 of continuing operations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(561,492)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(628,031)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740"/>
              <w:spacing w:after="0" w:line="219" w:lineRule="exact"/>
              <w:rPr>
                <w:sz w:val="20"/>
                <w:szCs w:val="20"/>
                <w:color w:val="auto"/>
              </w:rPr>
            </w:pPr>
            <w:r>
              <w:rPr>
                <w:rFonts w:ascii="Times New Roman" w:cs="Times New Roman" w:eastAsia="Times New Roman" w:hAnsi="Times New Roman"/>
                <w:sz w:val="16"/>
                <w:szCs w:val="16"/>
                <w:color w:val="auto"/>
              </w:rPr>
              <w:t xml:space="preserve">Net cash provided (used) in investing activities of discontinued operations </w:t>
            </w:r>
            <w:r>
              <w:rPr>
                <w:rFonts w:ascii="Times New Roman" w:cs="Times New Roman" w:eastAsia="Times New Roman" w:hAnsi="Times New Roman"/>
                <w:sz w:val="21"/>
                <w:szCs w:val="21"/>
                <w:color w:val="auto"/>
                <w:vertAlign w:val="superscript"/>
              </w:rPr>
              <w:t>(1)</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776,678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provided (used) in investing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215,186</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(687,322)</w:t>
            </w:r>
          </w:p>
        </w:tc>
        <w:tc>
          <w:tcPr>
            <w:tcW w:w="0" w:type="dxa"/>
            <w:vAlign w:val="bottom"/>
          </w:tcPr>
          <w:p>
            <w:pPr>
              <w:spacing w:after="0"/>
              <w:rPr>
                <w:sz w:val="1"/>
                <w:szCs w:val="1"/>
                <w:color w:val="auto"/>
              </w:rPr>
            </w:pPr>
          </w:p>
        </w:tc>
      </w:tr>
      <w:tr>
        <w:trPr>
          <w:trHeight w:val="199"/>
        </w:trPr>
        <w:tc>
          <w:tcPr>
            <w:tcW w:w="7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(133,855)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short-term portion of credit facility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(130,000)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Repayment of short-term debt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(550,000)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 of continuing operations</w:t>
            </w:r>
          </w:p>
        </w:tc>
        <w:tc>
          <w:tcPr>
            <w:tcW w:w="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(803,069)</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(97,540)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Net cash provided (used) in financing activities of discontinued operations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528,344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(274,725)</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(116,765)</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Effects of currency translation in discontinued operations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Change in cash and cash equivalents, including discontinued operations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414,842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including discontinued operations,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363,789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Cash and cash equivalents, including discontinued operations, at end of period</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778,631</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456,643</w:t>
            </w:r>
          </w:p>
        </w:tc>
        <w:tc>
          <w:tcPr>
            <w:tcW w:w="0" w:type="dxa"/>
            <w:vAlign w:val="bottom"/>
          </w:tcPr>
          <w:p>
            <w:pPr>
              <w:spacing w:after="0"/>
              <w:rPr>
                <w:sz w:val="1"/>
                <w:szCs w:val="1"/>
                <w:color w:val="auto"/>
              </w:rPr>
            </w:pPr>
          </w:p>
        </w:tc>
      </w:tr>
      <w:tr>
        <w:trPr>
          <w:trHeight w:val="26"/>
        </w:trPr>
        <w:tc>
          <w:tcPr>
            <w:tcW w:w="7800" w:type="dxa"/>
            <w:vAlign w:val="bottom"/>
            <w:gridSpan w:val="4"/>
            <w:vMerge w:val="restart"/>
          </w:tcPr>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Includes change in cash and cash equivalent of Centuri of $49 million.</w:t>
            </w: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7800" w:type="dxa"/>
            <w:vAlign w:val="bottom"/>
            <w:gridSpan w:val="4"/>
            <w:vMerge w:val="continue"/>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257" w:right="359" w:bottom="1440" w:gutter="0" w:footer="0" w:header="0"/>
        </w:sectPr>
      </w:pP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10" w:name="page11"/>
    <w:bookmarkEnd w:id="10"/>
    <w:tbl>
      <w:tblPr>
        <w:tblLayout w:type="fixed"/>
        <w:tblInd w:w="2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 - continuing operations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145,104</w:t>
            </w:r>
          </w:p>
        </w:tc>
      </w:tr>
      <w:tr>
        <w:trPr>
          <w:trHeight w:val="213"/>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 - discontinued operations</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43,300</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59,031</w:t>
            </w:r>
          </w:p>
        </w:tc>
      </w:tr>
      <w:tr>
        <w:trPr>
          <w:trHeight w:val="212"/>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204,135</w:t>
            </w:r>
          </w:p>
        </w:tc>
      </w:tr>
      <w:tr>
        <w:trPr>
          <w:trHeight w:val="216"/>
        </w:trPr>
        <w:tc>
          <w:tcPr>
            <w:tcW w:w="7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(benefit) paid, net - continuing operations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r>
      <w:tr>
        <w:trPr>
          <w:trHeight w:val="213"/>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taxes paid, net - discontinued operations</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29,237</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10,367</w:t>
            </w:r>
          </w:p>
        </w:tc>
      </w:tr>
      <w:tr>
        <w:trPr>
          <w:trHeight w:val="23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paid, net</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29,237</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7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7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 continuing operations</w:t>
            </w: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213"/>
        </w:trPr>
        <w:tc>
          <w:tcPr>
            <w:tcW w:w="7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 - discontinued operations</w:t>
            </w: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(11,087)</w:t>
            </w:r>
          </w:p>
        </w:tc>
      </w:tr>
      <w:tr>
        <w:trPr>
          <w:trHeight w:val="234"/>
        </w:trPr>
        <w:tc>
          <w:tcPr>
            <w:tcW w:w="7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961"/>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00" w:type="dxa"/>
            <w:vAlign w:val="bottom"/>
            <w:gridSpan w:val="17"/>
          </w:tcPr>
          <w:p>
            <w:pPr>
              <w:jc w:val="center"/>
              <w:ind w:right="820"/>
              <w:spacing w:after="0"/>
              <w:rPr>
                <w:sz w:val="20"/>
                <w:szCs w:val="20"/>
                <w:color w:val="auto"/>
              </w:rPr>
            </w:pPr>
            <w:r>
              <w:rPr>
                <w:rFonts w:ascii="Times New Roman" w:cs="Times New Roman" w:eastAsia="Times New Roman" w:hAnsi="Times New Roman"/>
                <w:sz w:val="18"/>
                <w:szCs w:val="18"/>
                <w:color w:val="auto"/>
                <w:w w:val="99"/>
              </w:rPr>
              <w:t>SOUTHWEST GAS HOLDINGS, INC. AND SUBSIDIARIES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900" w:type="dxa"/>
            <w:vAlign w:val="bottom"/>
            <w:gridSpan w:val="17"/>
          </w:tcPr>
          <w:p>
            <w:pPr>
              <w:jc w:val="center"/>
              <w:ind w:right="82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gridSpan w:val="11"/>
          </w:tcPr>
          <w:p>
            <w:pPr>
              <w:jc w:val="center"/>
              <w:ind w:right="46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Equity</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71,783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2,721,343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758,649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3,504,187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177,235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3,681,422</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113,870</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(45,066)</w:t>
            </w: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loss attributable to 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71,911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73,541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2,726,758</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(48,866)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827,453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3,578,886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172,559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3,751,445</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(12,883)</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(44,847)</w:t>
            </w:r>
          </w:p>
        </w:tc>
        <w:tc>
          <w:tcPr>
            <w:tcW w:w="0" w:type="dxa"/>
            <w:vAlign w:val="bottom"/>
          </w:tcPr>
          <w:p>
            <w:pPr>
              <w:spacing w:after="0"/>
              <w:rPr>
                <w:sz w:val="1"/>
                <w:szCs w:val="1"/>
                <w:color w:val="auto"/>
              </w:rPr>
            </w:pPr>
          </w:p>
        </w:tc>
      </w:tr>
      <w:tr>
        <w:trPr>
          <w:trHeight w:val="216"/>
        </w:trPr>
        <w:tc>
          <w:tcPr>
            <w:tcW w:w="30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Centuri stock sales and other </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405,501</w:t>
            </w: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73,608</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2,872,681</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769,723</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3,674,657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441,148</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4,115,805</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270,476</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18,708</w:t>
            </w:r>
          </w:p>
        </w:tc>
        <w:tc>
          <w:tcPr>
            <w:tcW w:w="0" w:type="dxa"/>
            <w:vAlign w:val="bottom"/>
          </w:tcPr>
          <w:p>
            <w:pPr>
              <w:spacing w:after="0"/>
              <w:rPr>
                <w:sz w:val="1"/>
                <w:szCs w:val="1"/>
                <w:color w:val="auto"/>
              </w:rPr>
            </w:pPr>
          </w:p>
        </w:tc>
      </w:tr>
      <w:tr>
        <w:trPr>
          <w:trHeight w:val="219"/>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(45,016)</w:t>
            </w:r>
          </w:p>
        </w:tc>
        <w:tc>
          <w:tcPr>
            <w:tcW w:w="0" w:type="dxa"/>
            <w:vAlign w:val="bottom"/>
          </w:tcPr>
          <w:p>
            <w:pPr>
              <w:spacing w:after="0"/>
              <w:rPr>
                <w:sz w:val="1"/>
                <w:szCs w:val="1"/>
                <w:color w:val="auto"/>
              </w:rPr>
            </w:pPr>
          </w:p>
        </w:tc>
      </w:tr>
      <w:tr>
        <w:trPr>
          <w:trHeight w:val="216"/>
        </w:trPr>
        <w:tc>
          <w:tcPr>
            <w:tcW w:w="308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Centuri stock sales and other </w:t>
            </w:r>
            <w:r>
              <w:rPr>
                <w:rFonts w:ascii="Times New Roman" w:cs="Times New Roman" w:eastAsia="Times New Roman" w:hAnsi="Times New Roman"/>
                <w:sz w:val="21"/>
                <w:szCs w:val="21"/>
                <w:color w:val="auto"/>
                <w:vertAlign w:val="superscript"/>
              </w:rPr>
              <w:t>(1)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20,569</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Centuri deconsolidation</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(447,944)</w:t>
            </w: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loss attributable to noncontrolling</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(2,526)</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216"/>
        </w:trPr>
        <w:tc>
          <w:tcPr>
            <w:tcW w:w="3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3"/>
        </w:trPr>
        <w:tc>
          <w:tcPr>
            <w:tcW w:w="30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8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2,893,066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999,399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3,928,679</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180" w:hanging="154"/>
        <w:spacing w:after="0"/>
        <w:tabs>
          <w:tab w:leader="none" w:pos="1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the impact of the contributed Tax Assets - see Note 6 - Centuri Separation</w:t>
      </w:r>
      <w:r>
        <w:rPr>
          <w:rFonts w:ascii="Times New Roman" w:cs="Times New Roman" w:eastAsia="Times New Roman" w:hAnsi="Times New Roman"/>
          <w:sz w:val="15"/>
          <w:szCs w:val="15"/>
          <w:b w:val="1"/>
          <w:bCs w:val="1"/>
          <w:color w:val="auto"/>
        </w:rPr>
        <w:t>.</w:t>
      </w:r>
    </w:p>
    <w:p>
      <w:pPr>
        <w:spacing w:after="0" w:line="200" w:lineRule="exact"/>
        <w:rPr>
          <w:rFonts w:ascii="Times New Roman" w:cs="Times New Roman" w:eastAsia="Times New Roman" w:hAnsi="Times New Roman"/>
          <w:sz w:val="19"/>
          <w:szCs w:val="19"/>
          <w:color w:val="auto"/>
          <w:vertAlign w:val="superscript"/>
        </w:rPr>
      </w:pPr>
    </w:p>
    <w:p>
      <w:pPr>
        <w:spacing w:after="0" w:line="381" w:lineRule="exact"/>
        <w:rPr>
          <w:rFonts w:ascii="Times New Roman" w:cs="Times New Roman" w:eastAsia="Times New Roman" w:hAnsi="Times New Roman"/>
          <w:sz w:val="19"/>
          <w:szCs w:val="19"/>
          <w:color w:val="auto"/>
          <w:vertAlign w:val="superscript"/>
        </w:rPr>
      </w:pPr>
    </w:p>
    <w:p>
      <w:pPr>
        <w:ind w:left="552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15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color w:val="auto"/>
              </w:rPr>
              <w:t>Common stock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Number</w:t>
            </w:r>
          </w:p>
        </w:tc>
        <w:tc>
          <w:tcPr>
            <w:tcW w:w="14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Stated</w:t>
            </w:r>
          </w:p>
        </w:tc>
        <w:tc>
          <w:tcPr>
            <w:tcW w:w="120" w:type="dxa"/>
            <w:vAlign w:val="bottom"/>
          </w:tcPr>
          <w:p>
            <w:pPr>
              <w:spacing w:after="0"/>
              <w:rPr>
                <w:sz w:val="12"/>
                <w:szCs w:val="12"/>
                <w:color w:val="auto"/>
              </w:rPr>
            </w:pPr>
          </w:p>
        </w:tc>
        <w:tc>
          <w:tcPr>
            <w:tcW w:w="94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6"/>
                <w:szCs w:val="16"/>
                <w:color w:val="auto"/>
              </w:rPr>
              <w:t>Additional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6"/>
                <w:szCs w:val="16"/>
                <w:color w:val="auto"/>
              </w:rPr>
              <w:t>Southwest Gas</w:t>
            </w:r>
          </w:p>
        </w:tc>
        <w:tc>
          <w:tcPr>
            <w:tcW w:w="120" w:type="dxa"/>
            <w:vAlign w:val="bottom"/>
          </w:tcPr>
          <w:p>
            <w:pPr>
              <w:spacing w:after="0"/>
              <w:rPr>
                <w:sz w:val="12"/>
                <w:szCs w:val="12"/>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color w:val="auto"/>
              </w:rPr>
              <w:t>Noncontrolling</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color w:val="auto"/>
                <w:w w:val="99"/>
              </w:rPr>
              <w:t>Paid-in</w:t>
            </w:r>
          </w:p>
        </w:tc>
        <w:tc>
          <w:tcPr>
            <w:tcW w:w="160" w:type="dxa"/>
            <w:vAlign w:val="bottom"/>
          </w:tcPr>
          <w:p>
            <w:pPr>
              <w:spacing w:after="0"/>
              <w:rPr>
                <w:sz w:val="14"/>
                <w:szCs w:val="14"/>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AOCI</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rPr>
              <w:t>Holdings, Inc.</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Total Equity</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of Shares</w:t>
            </w:r>
          </w:p>
        </w:tc>
        <w:tc>
          <w:tcPr>
            <w:tcW w:w="14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Value</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Capital</w:t>
            </w: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Equity</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Interest</w:t>
            </w: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2,541,790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738,839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3,310,036</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87,737</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(44,699)</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Promissory notes in association with</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4,187</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value adjustments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73,295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2,547,485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3,356,241</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18,333</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(44,649)</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Centuri IPO</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172,501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327,992</w:t>
            </w: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71,709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2,709,674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(45,615)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755,367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3,492,765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174,199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3,666,964</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issuances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5,315</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 ($0.62 per share)</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(44,716)</w:t>
            </w: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attributable to noncontrolling</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holders</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Foreign currency exchange translation</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w:t>
            </w: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0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w:t>
            </w: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amortization of unamortized benefit plan</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net of tax</w:t>
            </w: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September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71,740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73,370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2,714,958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(43,875)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710,940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3,455,393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176,857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3,632,250</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866"/>
        </w:trPr>
        <w:tc>
          <w:tcPr>
            <w:tcW w:w="4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80" w:type="dxa"/>
            <w:vAlign w:val="bottom"/>
            <w:gridSpan w:val="5"/>
          </w:tcPr>
          <w:p>
            <w:pPr>
              <w:jc w:val="center"/>
              <w:ind w:right="114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CONDENSED CONSOLIDATED BALANCE SHEETS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340" w:type="dxa"/>
            <w:vAlign w:val="bottom"/>
            <w:gridSpan w:val="2"/>
          </w:tcPr>
          <w:p>
            <w:pPr>
              <w:jc w:val="center"/>
              <w:ind w:right="739"/>
              <w:spacing w:after="0"/>
              <w:rPr>
                <w:sz w:val="20"/>
                <w:szCs w:val="20"/>
                <w:color w:val="auto"/>
              </w:rPr>
            </w:pPr>
            <w:r>
              <w:rPr>
                <w:rFonts w:ascii="Times New Roman" w:cs="Times New Roman" w:eastAsia="Times New Roman" w:hAnsi="Times New Roman"/>
                <w:sz w:val="18"/>
                <w:szCs w:val="18"/>
                <w:color w:val="auto"/>
              </w:rPr>
              <w:t>(Thousands of dollars)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340" w:type="dxa"/>
            <w:vAlign w:val="bottom"/>
            <w:gridSpan w:val="2"/>
          </w:tcPr>
          <w:p>
            <w:pPr>
              <w:jc w:val="center"/>
              <w:ind w:right="739"/>
              <w:spacing w:after="0"/>
              <w:rPr>
                <w:sz w:val="20"/>
                <w:szCs w:val="20"/>
                <w:color w:val="auto"/>
              </w:rPr>
            </w:pPr>
            <w:r>
              <w:rPr>
                <w:rFonts w:ascii="Times New Roman" w:cs="Times New Roman" w:eastAsia="Times New Roman" w:hAnsi="Times New Roman"/>
                <w:sz w:val="18"/>
                <w:szCs w:val="18"/>
                <w:color w:val="auto"/>
              </w:rPr>
              <w:t>(Unaudited)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4"/>
        </w:trPr>
        <w:tc>
          <w:tcPr>
            <w:tcW w:w="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September 30, 2025</w:t>
            </w:r>
          </w:p>
        </w:tc>
        <w:tc>
          <w:tcPr>
            <w:tcW w:w="140" w:type="dxa"/>
            <w:vAlign w:val="bottom"/>
          </w:tcPr>
          <w:p>
            <w:pPr>
              <w:spacing w:after="0"/>
              <w:rPr>
                <w:sz w:val="24"/>
                <w:szCs w:val="24"/>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December 31, 2024</w:t>
            </w:r>
          </w:p>
        </w:tc>
      </w:tr>
      <w:tr>
        <w:trPr>
          <w:trHeight w:val="199"/>
        </w:trPr>
        <w:tc>
          <w:tcPr>
            <w:tcW w:w="40" w:type="dxa"/>
            <w:vAlign w:val="bottom"/>
          </w:tcPr>
          <w:p>
            <w:pPr>
              <w:spacing w:after="0"/>
              <w:rPr>
                <w:sz w:val="17"/>
                <w:szCs w:val="17"/>
                <w:color w:val="auto"/>
              </w:rPr>
            </w:pPr>
          </w:p>
        </w:tc>
        <w:tc>
          <w:tcPr>
            <w:tcW w:w="42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Regulated operations plant: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Gas plant</w:t>
            </w:r>
          </w:p>
        </w:tc>
        <w:tc>
          <w:tcPr>
            <w:tcW w:w="3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11,289,621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10,844,895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(3,025,110)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(2,914,457)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Construction work in progress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231,095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178,647</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Net regulated operations plant</w:t>
            </w:r>
          </w:p>
        </w:tc>
        <w:tc>
          <w:tcPr>
            <w:tcW w:w="3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8,495,606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8,109,085</w:t>
            </w:r>
          </w:p>
        </w:tc>
        <w:tc>
          <w:tcPr>
            <w:tcW w:w="20" w:type="dxa"/>
            <w:vAlign w:val="bottom"/>
          </w:tcPr>
          <w:p>
            <w:pPr>
              <w:spacing w:after="0"/>
              <w:rPr>
                <w:sz w:val="17"/>
                <w:szCs w:val="17"/>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property and investments, net</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166,135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159,678</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202,947</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utility revenue</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96,600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Income taxes receivable, net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13,807</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Receivable from parent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Materials, supplies, and gas inventories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140,873</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648,874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859,055</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403,707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394,852</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noncurrent assets</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414,862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406,007</w:t>
            </w:r>
          </w:p>
        </w:tc>
        <w:tc>
          <w:tcPr>
            <w:tcW w:w="20" w:type="dxa"/>
            <w:vAlign w:val="bottom"/>
          </w:tcPr>
          <w:p>
            <w:pPr>
              <w:spacing w:after="0"/>
              <w:rPr>
                <w:sz w:val="18"/>
                <w:szCs w:val="18"/>
                <w:color w:val="auto"/>
              </w:rPr>
            </w:pPr>
          </w:p>
        </w:tc>
      </w:tr>
      <w:tr>
        <w:trPr>
          <w:trHeight w:val="207"/>
        </w:trPr>
        <w:tc>
          <w:tcPr>
            <w:tcW w:w="40" w:type="dxa"/>
            <w:vAlign w:val="bottom"/>
          </w:tcPr>
          <w:p>
            <w:pPr>
              <w:spacing w:after="0"/>
              <w:rPr>
                <w:sz w:val="17"/>
                <w:szCs w:val="17"/>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9,725,477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9,533,825</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 AND LIABILITIES</w:t>
            </w:r>
          </w:p>
        </w:tc>
        <w:tc>
          <w:tcPr>
            <w:tcW w:w="3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w:t>
            </w:r>
          </w:p>
        </w:tc>
        <w:tc>
          <w:tcPr>
            <w:tcW w:w="3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2,171,752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net</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3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1,233,196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3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3,416,463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20" w:type="dxa"/>
            <w:vAlign w:val="bottom"/>
          </w:tcPr>
          <w:p>
            <w:pPr>
              <w:spacing w:after="0"/>
              <w:rPr>
                <w:sz w:val="18"/>
                <w:szCs w:val="18"/>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3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3,507,120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3,504,477</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capitalization</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6,923,583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6,776,339</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190,612</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Customer deposits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63,876</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general taxes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Accrued interest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35,460</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255,398</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Payable to parent</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declared</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44,600</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119,357</w:t>
            </w:r>
          </w:p>
        </w:tc>
        <w:tc>
          <w:tcPr>
            <w:tcW w:w="20" w:type="dxa"/>
            <w:vAlign w:val="bottom"/>
          </w:tcPr>
          <w:p>
            <w:pPr>
              <w:spacing w:after="0"/>
              <w:rPr>
                <w:sz w:val="18"/>
                <w:szCs w:val="18"/>
                <w:color w:val="auto"/>
              </w:rPr>
            </w:pPr>
          </w:p>
        </w:tc>
      </w:tr>
      <w:tr>
        <w:trPr>
          <w:trHeight w:val="212"/>
        </w:trPr>
        <w:tc>
          <w:tcPr>
            <w:tcW w:w="40" w:type="dxa"/>
            <w:vAlign w:val="bottom"/>
          </w:tcPr>
          <w:p>
            <w:pPr>
              <w:spacing w:after="0"/>
              <w:rPr>
                <w:sz w:val="18"/>
                <w:szCs w:val="18"/>
                <w:color w:val="auto"/>
              </w:rPr>
            </w:pPr>
          </w:p>
        </w:tc>
        <w:tc>
          <w:tcPr>
            <w:tcW w:w="42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769,026</w:t>
            </w:r>
          </w:p>
        </w:tc>
        <w:tc>
          <w:tcPr>
            <w:tcW w:w="20" w:type="dxa"/>
            <w:vAlign w:val="bottom"/>
          </w:tcPr>
          <w:p>
            <w:pPr>
              <w:spacing w:after="0"/>
              <w:rPr>
                <w:sz w:val="18"/>
                <w:szCs w:val="18"/>
                <w:color w:val="auto"/>
              </w:rPr>
            </w:pPr>
          </w:p>
        </w:tc>
      </w:tr>
      <w:tr>
        <w:trPr>
          <w:trHeight w:val="193"/>
        </w:trPr>
        <w:tc>
          <w:tcPr>
            <w:tcW w:w="40" w:type="dxa"/>
            <w:vAlign w:val="bottom"/>
          </w:tcPr>
          <w:p>
            <w:pPr>
              <w:spacing w:after="0"/>
              <w:rPr>
                <w:sz w:val="16"/>
                <w:szCs w:val="16"/>
                <w:color w:val="auto"/>
              </w:rPr>
            </w:pPr>
          </w:p>
        </w:tc>
        <w:tc>
          <w:tcPr>
            <w:tcW w:w="4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credits:</w:t>
            </w:r>
          </w:p>
        </w:tc>
        <w:tc>
          <w:tcPr>
            <w:tcW w:w="3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 and investment tax credits, net</w:t>
            </w:r>
          </w:p>
        </w:tc>
        <w:tc>
          <w:tcPr>
            <w:tcW w:w="3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872,344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819,973</w:t>
            </w:r>
          </w:p>
        </w:tc>
        <w:tc>
          <w:tcPr>
            <w:tcW w:w="2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42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Accumulated removal costs</w:t>
            </w: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472,000</w:t>
            </w:r>
          </w:p>
        </w:tc>
        <w:tc>
          <w:tcPr>
            <w:tcW w:w="20" w:type="dxa"/>
            <w:vAlign w:val="bottom"/>
          </w:tcPr>
          <w:p>
            <w:pPr>
              <w:spacing w:after="0"/>
              <w:rPr>
                <w:sz w:val="18"/>
                <w:szCs w:val="18"/>
                <w:color w:val="auto"/>
              </w:rPr>
            </w:pPr>
          </w:p>
        </w:tc>
      </w:tr>
      <w:tr>
        <w:trPr>
          <w:trHeight w:val="219"/>
        </w:trPr>
        <w:tc>
          <w:tcPr>
            <w:tcW w:w="40" w:type="dxa"/>
            <w:vAlign w:val="bottom"/>
          </w:tcPr>
          <w:p>
            <w:pPr>
              <w:spacing w:after="0"/>
              <w:rPr>
                <w:sz w:val="19"/>
                <w:szCs w:val="19"/>
                <w:color w:val="auto"/>
              </w:rPr>
            </w:pPr>
          </w:p>
        </w:tc>
        <w:tc>
          <w:tcPr>
            <w:tcW w:w="42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deferred credits and other long-term liabilities</w:t>
            </w:r>
          </w:p>
        </w:tc>
        <w:tc>
          <w:tcPr>
            <w:tcW w:w="3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688,272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696,487</w:t>
            </w:r>
          </w:p>
        </w:tc>
        <w:tc>
          <w:tcPr>
            <w:tcW w:w="20" w:type="dxa"/>
            <w:vAlign w:val="bottom"/>
          </w:tcPr>
          <w:p>
            <w:pPr>
              <w:spacing w:after="0"/>
              <w:rPr>
                <w:sz w:val="19"/>
                <w:szCs w:val="19"/>
                <w:color w:val="auto"/>
              </w:rPr>
            </w:pPr>
          </w:p>
        </w:tc>
      </w:tr>
      <w:tr>
        <w:trPr>
          <w:trHeight w:val="207"/>
        </w:trPr>
        <w:tc>
          <w:tcPr>
            <w:tcW w:w="40" w:type="dxa"/>
            <w:vAlign w:val="bottom"/>
          </w:tcPr>
          <w:p>
            <w:pPr>
              <w:spacing w:after="0"/>
              <w:rPr>
                <w:sz w:val="17"/>
                <w:szCs w:val="17"/>
                <w:color w:val="auto"/>
              </w:rPr>
            </w:pPr>
          </w:p>
        </w:tc>
        <w:tc>
          <w:tcPr>
            <w:tcW w:w="426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6"/>
                <w:szCs w:val="16"/>
                <w:color w:val="auto"/>
              </w:rPr>
              <w:t>Total deferred income taxes and other credits</w:t>
            </w:r>
          </w:p>
        </w:tc>
        <w:tc>
          <w:tcPr>
            <w:tcW w:w="3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2,050,616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1,988,460</w:t>
            </w:r>
          </w:p>
        </w:tc>
        <w:tc>
          <w:tcPr>
            <w:tcW w:w="20" w:type="dxa"/>
            <w:vAlign w:val="bottom"/>
          </w:tcPr>
          <w:p>
            <w:pPr>
              <w:spacing w:after="0"/>
              <w:rPr>
                <w:sz w:val="17"/>
                <w:szCs w:val="17"/>
                <w:color w:val="auto"/>
              </w:rPr>
            </w:pPr>
          </w:p>
        </w:tc>
      </w:tr>
      <w:tr>
        <w:trPr>
          <w:trHeight w:val="234"/>
        </w:trPr>
        <w:tc>
          <w:tcPr>
            <w:tcW w:w="40" w:type="dxa"/>
            <w:vAlign w:val="bottom"/>
          </w:tcPr>
          <w:p>
            <w:pPr>
              <w:spacing w:after="0"/>
              <w:rPr>
                <w:sz w:val="19"/>
                <w:szCs w:val="19"/>
                <w:color w:val="auto"/>
              </w:rPr>
            </w:pPr>
          </w:p>
        </w:tc>
        <w:tc>
          <w:tcPr>
            <w:tcW w:w="4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capitalization and liabilities</w:t>
            </w:r>
          </w:p>
        </w:tc>
        <w:tc>
          <w:tcPr>
            <w:tcW w:w="3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9,725,477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9,533,825</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124460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2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8"/>
              </w:rPr>
              <w:t>CONDENSED CONSOLIDATED STATEMENTS OF INCOME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(Thousands of dollars)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31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Regulated operations revenues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359,131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1,459,645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1,922,157</w:t>
            </w:r>
          </w:p>
        </w:tc>
      </w:tr>
      <w:tr>
        <w:trPr>
          <w:trHeight w:val="19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Net cost of gas sold</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984,188</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Operations and maintenance</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390,229</w:t>
            </w:r>
          </w:p>
        </w:tc>
      </w:tr>
      <w:tr>
        <w:trPr>
          <w:trHeight w:val="213"/>
        </w:trPr>
        <w:tc>
          <w:tcPr>
            <w:tcW w:w="60" w:type="dxa"/>
            <w:vAlign w:val="bottom"/>
          </w:tcPr>
          <w:p>
            <w:pPr>
              <w:spacing w:after="0"/>
              <w:rPr>
                <w:sz w:val="18"/>
                <w:szCs w:val="18"/>
                <w:color w:val="auto"/>
              </w:rPr>
            </w:pPr>
          </w:p>
        </w:tc>
        <w:tc>
          <w:tcPr>
            <w:tcW w:w="306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220,663</w:t>
            </w: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70,379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66,414</w:t>
            </w:r>
          </w:p>
        </w:tc>
      </w:tr>
      <w:tr>
        <w:trPr>
          <w:trHeight w:val="20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278,934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337,884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1,141,347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1,661,494</w:t>
            </w:r>
          </w:p>
        </w:tc>
      </w:tr>
      <w:tr>
        <w:trPr>
          <w:trHeight w:val="212"/>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318,298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260,663</w:t>
            </w:r>
          </w:p>
        </w:tc>
      </w:tr>
      <w:tr>
        <w:trPr>
          <w:trHeight w:val="193"/>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Other income and (expenses):</w:t>
            </w:r>
          </w:p>
        </w:tc>
        <w:tc>
          <w:tcPr>
            <w:tcW w:w="3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30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interest deductions</w:t>
            </w:r>
          </w:p>
        </w:tc>
        <w:tc>
          <w:tcPr>
            <w:tcW w:w="3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(118,595)</w:t>
            </w:r>
          </w:p>
        </w:tc>
      </w:tr>
      <w:tr>
        <w:trPr>
          <w:trHeight w:val="213"/>
        </w:trPr>
        <w:tc>
          <w:tcPr>
            <w:tcW w:w="6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 income</w:t>
            </w:r>
          </w:p>
        </w:tc>
        <w:tc>
          <w:tcPr>
            <w:tcW w:w="3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13,277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40,385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48,976</w:t>
            </w:r>
          </w:p>
        </w:tc>
      </w:tr>
      <w:tr>
        <w:trPr>
          <w:trHeight w:val="212"/>
        </w:trPr>
        <w:tc>
          <w:tcPr>
            <w:tcW w:w="6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(expenses)</w:t>
            </w:r>
          </w:p>
        </w:tc>
        <w:tc>
          <w:tcPr>
            <w:tcW w:w="3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(95,139)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(69,619)</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191,044</w:t>
            </w:r>
          </w:p>
        </w:tc>
      </w:tr>
      <w:tr>
        <w:trPr>
          <w:trHeight w:val="219"/>
        </w:trPr>
        <w:tc>
          <w:tcPr>
            <w:tcW w:w="31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27,053</w:t>
            </w:r>
          </w:p>
        </w:tc>
      </w:tr>
      <w:tr>
        <w:trPr>
          <w:trHeight w:val="207"/>
        </w:trPr>
        <w:tc>
          <w:tcPr>
            <w:tcW w:w="31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36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182,139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163,991</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2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860" w:type="dxa"/>
            <w:vAlign w:val="bottom"/>
            <w:gridSpan w:val="9"/>
          </w:tcPr>
          <w:p>
            <w:pPr>
              <w:jc w:val="center"/>
              <w:ind w:left="2176"/>
              <w:spacing w:after="0"/>
              <w:rPr>
                <w:sz w:val="20"/>
                <w:szCs w:val="20"/>
                <w:color w:val="auto"/>
              </w:rPr>
            </w:pPr>
            <w:r>
              <w:rPr>
                <w:rFonts w:ascii="Times New Roman" w:cs="Times New Roman" w:eastAsia="Times New Roman" w:hAnsi="Times New Roman"/>
                <w:sz w:val="18"/>
                <w:szCs w:val="18"/>
                <w:color w:val="auto"/>
                <w:w w:val="99"/>
              </w:rPr>
              <w:t>CONDENSED CONSOLIDATED STATEMENTS OF COMPREHENSIVE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Three Months Ended</w:t>
            </w:r>
          </w:p>
        </w:tc>
        <w:tc>
          <w:tcPr>
            <w:tcW w:w="240" w:type="dxa"/>
            <w:vAlign w:val="bottom"/>
          </w:tcPr>
          <w:p>
            <w:pPr>
              <w:spacing w:after="0"/>
              <w:rPr>
                <w:sz w:val="24"/>
                <w:szCs w:val="24"/>
                <w:color w:val="auto"/>
              </w:rPr>
            </w:pPr>
          </w:p>
        </w:tc>
        <w:tc>
          <w:tcPr>
            <w:tcW w:w="2080" w:type="dxa"/>
            <w:vAlign w:val="bottom"/>
            <w:gridSpan w:val="4"/>
          </w:tcPr>
          <w:p>
            <w:pPr>
              <w:jc w:val="right"/>
              <w:ind w:right="418"/>
              <w:spacing w:after="0"/>
              <w:rPr>
                <w:sz w:val="20"/>
                <w:szCs w:val="20"/>
                <w:color w:val="auto"/>
              </w:rPr>
            </w:pPr>
            <w:r>
              <w:rPr>
                <w:rFonts w:ascii="Times New Roman" w:cs="Times New Roman" w:eastAsia="Times New Roman" w:hAnsi="Times New Roman"/>
                <w:sz w:val="16"/>
                <w:szCs w:val="16"/>
                <w:color w:val="auto"/>
              </w:rPr>
              <w:t>Nine Months Ended</w:t>
            </w: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color w:val="auto"/>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618"/>
              <w:spacing w:after="0"/>
              <w:rPr>
                <w:sz w:val="20"/>
                <w:szCs w:val="20"/>
                <w:color w:val="auto"/>
              </w:rPr>
            </w:pPr>
            <w:r>
              <w:rPr>
                <w:rFonts w:ascii="Times New Roman" w:cs="Times New Roman" w:eastAsia="Times New Roman" w:hAnsi="Times New Roman"/>
                <w:sz w:val="16"/>
                <w:szCs w:val="16"/>
                <w:color w:val="auto"/>
              </w:rPr>
              <w:t>September 30,</w:t>
            </w:r>
          </w:p>
        </w:tc>
      </w:tr>
      <w:tr>
        <w:trPr>
          <w:trHeight w:val="212"/>
        </w:trPr>
        <w:tc>
          <w:tcPr>
            <w:tcW w:w="6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2024</w:t>
            </w:r>
          </w:p>
        </w:tc>
      </w:tr>
      <w:tr>
        <w:trPr>
          <w:trHeight w:val="207"/>
        </w:trPr>
        <w:tc>
          <w:tcPr>
            <w:tcW w:w="64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182,139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163,991</w:t>
            </w:r>
          </w:p>
        </w:tc>
      </w:tr>
      <w:tr>
        <w:trPr>
          <w:trHeight w:val="199"/>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64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Defined benefit pension plans: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prior service cost, net of tax of $11, $11, $33 and $33, respectively</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3"/>
        </w:trPr>
        <w:tc>
          <w:tcPr>
            <w:tcW w:w="60" w:type="dxa"/>
            <w:vAlign w:val="bottom"/>
          </w:tcPr>
          <w:p>
            <w:pPr>
              <w:spacing w:after="0"/>
              <w:rPr>
                <w:sz w:val="18"/>
                <w:szCs w:val="18"/>
                <w:color w:val="auto"/>
              </w:rPr>
            </w:pPr>
          </w:p>
        </w:tc>
        <w:tc>
          <w:tcPr>
            <w:tcW w:w="64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Amortization of net actuarial loss, net of tax of $226, $458, $678 and $1,375, respectively</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r>
      <w:tr>
        <w:trPr>
          <w:trHeight w:val="219"/>
        </w:trPr>
        <w:tc>
          <w:tcPr>
            <w:tcW w:w="60" w:type="dxa"/>
            <w:vAlign w:val="bottom"/>
            <w:shd w:val="clear" w:color="auto" w:fill="CCEEFF"/>
          </w:tcPr>
          <w:p>
            <w:pPr>
              <w:spacing w:after="0"/>
              <w:rPr>
                <w:sz w:val="19"/>
                <w:szCs w:val="19"/>
                <w:color w:val="auto"/>
              </w:rPr>
            </w:pPr>
          </w:p>
        </w:tc>
        <w:tc>
          <w:tcPr>
            <w:tcW w:w="64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Regulatory adjustment, net of tax of ($153), ($347), ($457) and ($1,043), respectively</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r>
      <w:tr>
        <w:trPr>
          <w:trHeight w:val="207"/>
        </w:trPr>
        <w:tc>
          <w:tcPr>
            <w:tcW w:w="6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Net defined benefit pension plans, net of tax</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12"/>
        </w:trPr>
        <w:tc>
          <w:tcPr>
            <w:tcW w:w="6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 net of tax</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r>
      <w:tr>
        <w:trPr>
          <w:trHeight w:val="207"/>
        </w:trPr>
        <w:tc>
          <w:tcPr>
            <w:tcW w:w="64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182,943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165,145</w:t>
            </w:r>
          </w:p>
        </w:tc>
      </w:tr>
      <w:tr>
        <w:trPr>
          <w:trHeight w:val="2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60" w:type="dxa"/>
            <w:vAlign w:val="bottom"/>
            <w:gridSpan w:val="2"/>
          </w:tcPr>
          <w:p>
            <w:pPr>
              <w:jc w:val="center"/>
              <w:ind w:right="439"/>
              <w:spacing w:after="0"/>
              <w:rPr>
                <w:sz w:val="20"/>
                <w:szCs w:val="20"/>
                <w:color w:val="auto"/>
              </w:rPr>
            </w:pPr>
            <w:r>
              <w:rPr>
                <w:rFonts w:ascii="Times New Roman" w:cs="Times New Roman" w:eastAsia="Times New Roman" w:hAnsi="Times New Roman"/>
                <w:sz w:val="18"/>
                <w:szCs w:val="18"/>
                <w:color w:val="auto"/>
                <w:w w:val="98"/>
              </w:rPr>
              <w:t>CONDENSED CONSOLIDATED STATEMENTS OF CASH FLOWS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(Thousands of dollars)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Nine Months Ended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38"/>
              <w:spacing w:after="0"/>
              <w:rPr>
                <w:sz w:val="20"/>
                <w:szCs w:val="20"/>
                <w:color w:val="auto"/>
              </w:rPr>
            </w:pPr>
            <w:r>
              <w:rPr>
                <w:rFonts w:ascii="Times New Roman" w:cs="Times New Roman" w:eastAsia="Times New Roman" w:hAnsi="Times New Roman"/>
                <w:sz w:val="16"/>
                <w:szCs w:val="16"/>
                <w:color w:val="auto"/>
              </w:rPr>
              <w:t>September 30,</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182,139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163,991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241,703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220,663</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Deferred income taxes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52,890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Gain on sale of property</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undistributed stock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Equity AFUDC</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Changes in current assets and liabilities: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Accounts receivable, net of allowance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92,372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137,635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Accrued utility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Deferred purchased gas costs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678,478</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(103,708)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Accrued taxes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(74,382)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(38,518)</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Changes in deferred charges and other assets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(42,684)</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(39,098)</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620"/>
              <w:spacing w:after="0"/>
              <w:rPr>
                <w:sz w:val="20"/>
                <w:szCs w:val="20"/>
                <w:color w:val="auto"/>
              </w:rPr>
            </w:pPr>
            <w:r>
              <w:rPr>
                <w:rFonts w:ascii="Times New Roman" w:cs="Times New Roman" w:eastAsia="Times New Roman" w:hAnsi="Times New Roman"/>
                <w:sz w:val="16"/>
                <w:szCs w:val="16"/>
                <w:color w:val="auto"/>
              </w:rPr>
              <w:t>Changes in other liabilities and deferred credits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(20,216)</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(24,537)</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526,359</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1,094,455</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INVESTING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Capital expenditures and property additions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(570,351)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(643,720)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Proceeds from the sale of property</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customer advances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0" w:type="dxa"/>
            <w:vAlign w:val="bottom"/>
          </w:tcPr>
          <w:p>
            <w:pPr>
              <w:spacing w:after="0"/>
              <w:rPr>
                <w:sz w:val="1"/>
                <w:szCs w:val="1"/>
                <w:color w:val="auto"/>
              </w:rPr>
            </w:pPr>
          </w:p>
        </w:tc>
      </w:tr>
      <w:tr>
        <w:trPr>
          <w:trHeight w:val="213"/>
        </w:trPr>
        <w:tc>
          <w:tcPr>
            <w:tcW w:w="60" w:type="dxa"/>
            <w:vAlign w:val="bottom"/>
            <w:tcBorders>
              <w:bottom w:val="single" w:sz="8" w:color="CCEEFF"/>
            </w:tcBorders>
          </w:tcPr>
          <w:p>
            <w:pPr>
              <w:spacing w:after="0"/>
              <w:rPr>
                <w:sz w:val="18"/>
                <w:szCs w:val="18"/>
                <w:color w:val="auto"/>
              </w:rPr>
            </w:pPr>
          </w:p>
        </w:tc>
        <w:tc>
          <w:tcPr>
            <w:tcW w:w="7780" w:type="dxa"/>
            <w:vAlign w:val="bottom"/>
            <w:tcBorders>
              <w:bottom w:val="single" w:sz="8" w:color="CCEEFF"/>
            </w:tcBorders>
            <w:gridSpan w:val="3"/>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212"/>
        </w:trPr>
        <w:tc>
          <w:tcPr>
            <w:tcW w:w="60" w:type="dxa"/>
            <w:vAlign w:val="bottom"/>
            <w:shd w:val="clear" w:color="auto" w:fill="CCEEFF"/>
          </w:tcPr>
          <w:p>
            <w:pPr>
              <w:spacing w:after="0"/>
              <w:rPr>
                <w:sz w:val="18"/>
                <w:szCs w:val="18"/>
                <w:color w:val="auto"/>
              </w:rPr>
            </w:pPr>
          </w:p>
        </w:tc>
        <w:tc>
          <w:tcPr>
            <w:tcW w:w="77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(560,859)</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(626,903)</w:t>
            </w:r>
          </w:p>
        </w:tc>
        <w:tc>
          <w:tcPr>
            <w:tcW w:w="0" w:type="dxa"/>
            <w:vAlign w:val="bottom"/>
          </w:tcPr>
          <w:p>
            <w:pPr>
              <w:spacing w:after="0"/>
              <w:rPr>
                <w:sz w:val="1"/>
                <w:szCs w:val="1"/>
                <w:color w:val="auto"/>
              </w:rPr>
            </w:pPr>
          </w:p>
        </w:tc>
      </w:tr>
      <w:tr>
        <w:trPr>
          <w:trHeight w:val="193"/>
        </w:trPr>
        <w:tc>
          <w:tcPr>
            <w:tcW w:w="78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FLOW FROM FINANCING ACTIVITIES:</w:t>
            </w: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Dividends paid</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(89,209)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(133,500)</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78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Withholding remittance - share-based compensation</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19"/>
        </w:trPr>
        <w:tc>
          <w:tcPr>
            <w:tcW w:w="60" w:type="dxa"/>
            <w:vAlign w:val="bottom"/>
            <w:shd w:val="clear" w:color="auto" w:fill="CCEEFF"/>
          </w:tcPr>
          <w:p>
            <w:pPr>
              <w:spacing w:after="0"/>
              <w:rPr>
                <w:sz w:val="19"/>
                <w:szCs w:val="19"/>
                <w:color w:val="auto"/>
              </w:rPr>
            </w:pPr>
          </w:p>
        </w:tc>
        <w:tc>
          <w:tcPr>
            <w:tcW w:w="77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including principal payments on finance leases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0" w:type="dxa"/>
            <w:vAlign w:val="bottom"/>
          </w:tcPr>
          <w:p>
            <w:pPr>
              <w:spacing w:after="0"/>
              <w:rPr>
                <w:sz w:val="1"/>
                <w:szCs w:val="1"/>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7780" w:type="dxa"/>
            <w:vAlign w:val="bottom"/>
            <w:tcBorders>
              <w:bottom w:val="single" w:sz="8" w:color="CCEEFF"/>
            </w:tcBorders>
            <w:gridSpan w:val="3"/>
          </w:tcPr>
          <w:p>
            <w:pPr>
              <w:ind w:left="7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(94,577)</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(137,053)</w:t>
            </w:r>
          </w:p>
        </w:tc>
        <w:tc>
          <w:tcPr>
            <w:tcW w:w="0" w:type="dxa"/>
            <w:vAlign w:val="bottom"/>
          </w:tcPr>
          <w:p>
            <w:pPr>
              <w:spacing w:after="0"/>
              <w:rPr>
                <w:sz w:val="1"/>
                <w:szCs w:val="1"/>
                <w:color w:val="auto"/>
              </w:rPr>
            </w:pPr>
          </w:p>
        </w:tc>
      </w:tr>
      <w:tr>
        <w:trPr>
          <w:trHeight w:val="212"/>
        </w:trPr>
        <w:tc>
          <w:tcPr>
            <w:tcW w:w="78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(129,077)</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330,499</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311,073</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71,154</w:t>
            </w:r>
          </w:p>
        </w:tc>
        <w:tc>
          <w:tcPr>
            <w:tcW w:w="0" w:type="dxa"/>
            <w:vAlign w:val="bottom"/>
          </w:tcPr>
          <w:p>
            <w:pPr>
              <w:spacing w:after="0"/>
              <w:rPr>
                <w:sz w:val="1"/>
                <w:szCs w:val="1"/>
                <w:color w:val="auto"/>
              </w:rPr>
            </w:pPr>
          </w:p>
        </w:tc>
      </w:tr>
      <w:tr>
        <w:trPr>
          <w:trHeight w:val="235"/>
        </w:trPr>
        <w:tc>
          <w:tcPr>
            <w:tcW w:w="784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181,996</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401,653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gridSpan w:val="4"/>
            <w:vMerge w:val="continue"/>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paid, net of amounts capitalized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128,858</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111,610</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778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Times New Roman" w:cs="Times New Roman" w:eastAsia="Times New Roman" w:hAnsi="Times New Roman"/>
                <w:sz w:val="16"/>
                <w:szCs w:val="16"/>
                <w:color w:val="auto"/>
              </w:rPr>
              <w:t>Income taxes paid, net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0" w:type="dxa"/>
            <w:vAlign w:val="bottom"/>
          </w:tcPr>
          <w:p>
            <w:pPr>
              <w:spacing w:after="0"/>
              <w:rPr>
                <w:sz w:val="16"/>
                <w:szCs w:val="16"/>
                <w:color w:val="auto"/>
              </w:rPr>
            </w:pPr>
          </w:p>
        </w:tc>
        <w:tc>
          <w:tcPr>
            <w:tcW w:w="7780" w:type="dxa"/>
            <w:vAlign w:val="bottom"/>
            <w:gridSpan w:val="3"/>
            <w:vMerge w:val="continue"/>
          </w:tcPr>
          <w:p>
            <w:pPr>
              <w:spacing w:after="0"/>
              <w:rPr>
                <w:sz w:val="16"/>
                <w:szCs w:val="16"/>
                <w:color w:val="auto"/>
              </w:rPr>
            </w:pP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20" w:type="dxa"/>
            <w:vAlign w:val="bottom"/>
          </w:tcPr>
          <w:p>
            <w:pPr>
              <w:spacing w:after="0"/>
              <w:rPr>
                <w:sz w:val="16"/>
                <w:szCs w:val="16"/>
                <w:color w:val="auto"/>
              </w:rPr>
            </w:pPr>
          </w:p>
        </w:tc>
        <w:tc>
          <w:tcPr>
            <w:tcW w:w="6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0" w:type="dxa"/>
            <w:vAlign w:val="bottom"/>
            <w:tcBorders>
              <w:bottom w:val="single" w:sz="8" w:color="CCEEFF"/>
            </w:tcBorders>
            <w:shd w:val="clear" w:color="auto" w:fill="CCEEFF"/>
          </w:tcPr>
          <w:p>
            <w:pPr>
              <w:spacing w:after="0"/>
              <w:rPr>
                <w:sz w:val="20"/>
                <w:szCs w:val="20"/>
                <w:color w:val="auto"/>
              </w:rPr>
            </w:pPr>
          </w:p>
        </w:tc>
        <w:tc>
          <w:tcPr>
            <w:tcW w:w="7780" w:type="dxa"/>
            <w:vAlign w:val="bottom"/>
            <w:tcBorders>
              <w:bottom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Decrease of capital expenditures in Accounts payable or Other current liabilities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1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0" w:type="dxa"/>
            <w:vAlign w:val="bottom"/>
          </w:tcPr>
          <w:p>
            <w:pPr>
              <w:spacing w:after="0"/>
              <w:rPr>
                <w:sz w:val="1"/>
                <w:szCs w:val="1"/>
                <w:color w:val="auto"/>
              </w:rPr>
            </w:pPr>
          </w:p>
        </w:tc>
      </w:tr>
      <w:tr>
        <w:trPr>
          <w:trHeight w:val="86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10"/>
          </w:tcPr>
          <w:p>
            <w:pPr>
              <w:jc w:val="center"/>
              <w:ind w:left="310"/>
              <w:spacing w:after="0"/>
              <w:rPr>
                <w:sz w:val="20"/>
                <w:szCs w:val="20"/>
                <w:color w:val="auto"/>
              </w:rPr>
            </w:pPr>
            <w:r>
              <w:rPr>
                <w:rFonts w:ascii="Times New Roman" w:cs="Times New Roman" w:eastAsia="Times New Roman" w:hAnsi="Times New Roman"/>
                <w:sz w:val="18"/>
                <w:szCs w:val="18"/>
                <w:color w:val="auto"/>
                <w:w w:val="99"/>
              </w:rPr>
              <w:t>SOUTHWEST GAS CORPORATION AND SUBSIDIARIES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20" w:type="dxa"/>
            <w:vAlign w:val="bottom"/>
            <w:gridSpan w:val="12"/>
          </w:tcPr>
          <w:p>
            <w:pPr>
              <w:jc w:val="center"/>
              <w:ind w:right="400"/>
              <w:spacing w:after="0"/>
              <w:rPr>
                <w:sz w:val="20"/>
                <w:szCs w:val="20"/>
                <w:color w:val="auto"/>
              </w:rPr>
            </w:pPr>
            <w:r>
              <w:rPr>
                <w:rFonts w:ascii="Times New Roman" w:cs="Times New Roman" w:eastAsia="Times New Roman" w:hAnsi="Times New Roman"/>
                <w:sz w:val="18"/>
                <w:szCs w:val="18"/>
                <w:color w:val="auto"/>
                <w:w w:val="98"/>
              </w:rPr>
              <w:t>CONDENSED CONSOLIDATED STATEMENTS OF EQUITY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(Thousands of dollars)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880" w:type="dxa"/>
            <w:vAlign w:val="bottom"/>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4"/>
                <w:szCs w:val="14"/>
                <w:color w:val="auto"/>
              </w:rPr>
            </w:pPr>
          </w:p>
        </w:tc>
        <w:tc>
          <w:tcPr>
            <w:tcW w:w="14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Corporation Equity</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2,165,002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1,096,149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3,271,862</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142,942</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0" w:type="dxa"/>
            <w:vAlign w:val="bottom"/>
          </w:tcPr>
          <w:p>
            <w:pPr>
              <w:spacing w:after="0"/>
              <w:rPr>
                <w:sz w:val="1"/>
                <w:szCs w:val="1"/>
                <w:color w:val="auto"/>
              </w:rPr>
            </w:pPr>
          </w:p>
        </w:tc>
      </w:tr>
      <w:tr>
        <w:trPr>
          <w:trHeight w:val="162"/>
        </w:trPr>
        <w:tc>
          <w:tcPr>
            <w:tcW w:w="47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2025</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2,167,118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3,416,872</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33,677</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(44,609)</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June 30, 2025</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2,169,367</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(37,866)</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1,227,760</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3,408,373</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September 30, 2025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2,171,752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(37,597)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1,233,196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3,416,463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16"/>
                <w:szCs w:val="16"/>
                <w:color w:val="auto"/>
              </w:rPr>
              <w:t>Common stock shares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Borders>
              <w:top w:val="single" w:sz="8" w:color="auto"/>
            </w:tcBorders>
            <w:gridSpan w:val="2"/>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60"/>
              <w:spacing w:after="0" w:line="161" w:lineRule="exact"/>
              <w:rPr>
                <w:sz w:val="20"/>
                <w:szCs w:val="20"/>
                <w:color w:val="auto"/>
              </w:rPr>
            </w:pPr>
            <w:r>
              <w:rPr>
                <w:rFonts w:ascii="Times New Roman" w:cs="Times New Roman" w:eastAsia="Times New Roman" w:hAnsi="Times New Roman"/>
                <w:sz w:val="16"/>
                <w:szCs w:val="16"/>
                <w:color w:val="auto"/>
              </w:rPr>
              <w:t>Stated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color w:val="auto"/>
              </w:rPr>
              <w:t>Additional</w:t>
            </w:r>
          </w:p>
        </w:tc>
        <w:tc>
          <w:tcPr>
            <w:tcW w:w="22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AOCI</w:t>
            </w:r>
          </w:p>
        </w:tc>
        <w:tc>
          <w:tcPr>
            <w:tcW w:w="160" w:type="dxa"/>
            <w:vAlign w:val="bottom"/>
          </w:tcPr>
          <w:p>
            <w:pPr>
              <w:spacing w:after="0"/>
              <w:rPr>
                <w:sz w:val="14"/>
                <w:szCs w:val="14"/>
                <w:color w:val="auto"/>
              </w:rPr>
            </w:pPr>
          </w:p>
        </w:tc>
        <w:tc>
          <w:tcPr>
            <w:tcW w:w="880" w:type="dxa"/>
            <w:vAlign w:val="bottom"/>
          </w:tcPr>
          <w:p>
            <w:pPr>
              <w:jc w:val="right"/>
              <w:ind w:right="159"/>
              <w:spacing w:after="0" w:line="161" w:lineRule="exact"/>
              <w:rPr>
                <w:sz w:val="20"/>
                <w:szCs w:val="20"/>
                <w:color w:val="auto"/>
              </w:rPr>
            </w:pPr>
            <w:r>
              <w:rPr>
                <w:rFonts w:ascii="Times New Roman" w:cs="Times New Roman" w:eastAsia="Times New Roman" w:hAnsi="Times New Roman"/>
                <w:sz w:val="16"/>
                <w:szCs w:val="16"/>
                <w:color w:val="auto"/>
              </w:rPr>
              <w:t>Retained</w:t>
            </w:r>
          </w:p>
        </w:tc>
        <w:tc>
          <w:tcPr>
            <w:tcW w:w="100" w:type="dxa"/>
            <w:vAlign w:val="bottom"/>
          </w:tcPr>
          <w:p>
            <w:pPr>
              <w:spacing w:after="0"/>
              <w:rPr>
                <w:sz w:val="14"/>
                <w:szCs w:val="14"/>
                <w:color w:val="auto"/>
              </w:rPr>
            </w:pPr>
          </w:p>
        </w:tc>
        <w:tc>
          <w:tcPr>
            <w:tcW w:w="142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color w:val="auto"/>
              </w:rPr>
              <w:t>Total Southwest Gas</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Value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rPr>
              <w:t>Paid-in Capital</w:t>
            </w:r>
          </w:p>
        </w:tc>
        <w:tc>
          <w:tcPr>
            <w:tcW w:w="2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Earnings</w:t>
            </w:r>
          </w:p>
        </w:tc>
        <w:tc>
          <w:tcPr>
            <w:tcW w:w="1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Corporation Equity</w:t>
            </w: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2,156,577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1,018,474</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3,183,615</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135,825</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(41,699)</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March 31, 2024</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2,156,318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(40,164)</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1,112,273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3,277,539</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(52,101)</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w:t>
            </w:r>
          </w:p>
        </w:tc>
        <w:tc>
          <w:tcPr>
            <w:tcW w:w="0" w:type="dxa"/>
            <w:vAlign w:val="bottom"/>
          </w:tcPr>
          <w:p>
            <w:pPr>
              <w:spacing w:after="0"/>
              <w:rPr>
                <w:sz w:val="1"/>
                <w:szCs w:val="1"/>
                <w:color w:val="auto"/>
              </w:rPr>
            </w:pPr>
          </w:p>
        </w:tc>
      </w:tr>
      <w:tr>
        <w:trPr>
          <w:trHeight w:val="162"/>
        </w:trPr>
        <w:tc>
          <w:tcPr>
            <w:tcW w:w="47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2,160,535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1,087,666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3,257,535</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9"/>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 to Southwest Gas Holdings, Inc.</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(44,500)</w:t>
            </w:r>
          </w:p>
        </w:tc>
        <w:tc>
          <w:tcPr>
            <w:tcW w:w="0" w:type="dxa"/>
            <w:vAlign w:val="bottom"/>
          </w:tcPr>
          <w:p>
            <w:pPr>
              <w:spacing w:after="0"/>
              <w:rPr>
                <w:sz w:val="1"/>
                <w:szCs w:val="1"/>
                <w:color w:val="auto"/>
              </w:rPr>
            </w:pPr>
          </w:p>
        </w:tc>
      </w:tr>
      <w:tr>
        <w:trPr>
          <w:trHeight w:val="213"/>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0" w:type="dxa"/>
            <w:vAlign w:val="bottom"/>
          </w:tcPr>
          <w:p>
            <w:pPr>
              <w:spacing w:after="0"/>
              <w:rPr>
                <w:sz w:val="1"/>
                <w:szCs w:val="1"/>
                <w:color w:val="auto"/>
              </w:rPr>
            </w:pPr>
          </w:p>
        </w:tc>
      </w:tr>
      <w:tr>
        <w:trPr>
          <w:trHeight w:val="165"/>
        </w:trPr>
        <w:tc>
          <w:tcPr>
            <w:tcW w:w="4700" w:type="dxa"/>
            <w:vAlign w:val="bottom"/>
            <w:gridSpan w:val="4"/>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actuarial gain arising during period, less amortization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6"/>
        </w:trPr>
        <w:tc>
          <w:tcPr>
            <w:tcW w:w="4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benefit plan cost, net of tax</w:t>
            </w: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Balance, September 30, 2024</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2,162,196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(39,394)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1,043,648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3,215,562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Organization</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Nature of Operations. </w:t>
      </w:r>
      <w:r>
        <w:rPr>
          <w:rFonts w:ascii="Times New Roman" w:cs="Times New Roman" w:eastAsia="Times New Roman" w:hAnsi="Times New Roman"/>
          <w:sz w:val="18"/>
          <w:szCs w:val="18"/>
          <w:color w:val="auto"/>
        </w:rPr>
        <w:t>The Company, a Delaware corporation, is a holding company owning all of the shares of common stock of Southwest Gas; and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22, 2024, all of the shares of common stock of Centuri. The Company’s common stock trades under the ticker symbol “SWX.”</w:t>
      </w:r>
    </w:p>
    <w:p>
      <w:pPr>
        <w:spacing w:after="0" w:line="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Company’s businesses were managed within two separate reportable segments until August 2025, our Natural Gas Distribution segment (Southwest Gas) and our Utility Infrastructure Services segment (Centuri). After August 2025, our business is solely comprised of our Natural Gas Distribution segment (see </w:t>
      </w:r>
      <w:r>
        <w:rPr>
          <w:rFonts w:ascii="Times New Roman" w:cs="Times New Roman" w:eastAsia="Times New Roman" w:hAnsi="Times New Roman"/>
          <w:sz w:val="18"/>
          <w:szCs w:val="18"/>
          <w:b w:val="1"/>
          <w:bCs w:val="1"/>
          <w:color w:val="auto"/>
        </w:rPr>
        <w:t>Note 7 – Segment Information)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Southwest Gas is engaged in the business of purchasing, distributing, and transporting natural gas for customers in portions of Arizona, Nevada, and California. Public utility rates, practices, facilities, and service territories of Southwest Gas are subject to regulatory oversight. The timing and amount of rate relief can materially impact results of operations. Natural gas purchases and the timing of related recoveries can materially impact liquidity. While mechanisms exist in all states in which Southwest Gas operates, which decouple authorized operating cost recovery and profitability from the volume of natural gas sold, thereby also incentivizing energy conservation, results for the Natural Gas Distribution segment are higher during winter periods due to the seasonality incorporated in its regulatory rate structures.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part of a simplification strategy, the Company previously communicated that it would pursue a separation of Centuri. In April 2024, the Company and Centuri announced the completion of the Centuri IPO. Following the Centuri IPO, the Company owned approximately 81% of Centuri. From May 2025 through September 2025, the Company completed a series of secondary public offerings and private placements of its holdings of Centuri common stock and, on September 5, 2025, completed a sale of its remaining shares. The Company’s sale of Centuri (which represents the entirety of the Company’s Utility Infrastructure Services segment) met the criteria to be presented as discontinued operations in accordance with U.S. GAAP. See also </w:t>
      </w:r>
      <w:r>
        <w:rPr>
          <w:rFonts w:ascii="Times New Roman" w:cs="Times New Roman" w:eastAsia="Times New Roman" w:hAnsi="Times New Roman"/>
          <w:sz w:val="18"/>
          <w:szCs w:val="18"/>
          <w:b w:val="1"/>
          <w:bCs w:val="1"/>
          <w:color w:val="auto"/>
        </w:rPr>
        <w:t>Note 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Note 6 - Centuri Separation</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condensed consolidated financial statements of the Company and Southwest Gas included herein have been prepared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and regulations of the SEC. The year-end 2024 condensed consolidated balance sheet data was derived from audited financial statements. Certain information and footnote disclosures normally included in financial statements prepared in accordance with U.S. GAAP have been condensed or omitted pursuant to such rules and regulations.</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On August 11, 2025, the Company completed a secondary public offering and a concurrent private placement transaction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Icahn investment entities. These transactions resulted in the sale of a combined total of 18,823,500 shares of Centuri common stock previously held by the Company (see </w:t>
      </w:r>
      <w:r>
        <w:rPr>
          <w:rFonts w:ascii="Times New Roman" w:cs="Times New Roman" w:eastAsia="Times New Roman" w:hAnsi="Times New Roman"/>
          <w:sz w:val="18"/>
          <w:szCs w:val="18"/>
          <w:b w:val="1"/>
          <w:bCs w:val="1"/>
          <w:color w:val="auto"/>
        </w:rPr>
        <w:t>Note 6 - Centuri Separation</w:t>
      </w:r>
      <w:r>
        <w:rPr>
          <w:rFonts w:ascii="Times New Roman" w:cs="Times New Roman" w:eastAsia="Times New Roman" w:hAnsi="Times New Roman"/>
          <w:sz w:val="18"/>
          <w:szCs w:val="18"/>
          <w:color w:val="auto"/>
        </w:rPr>
        <w:t>). Following the completion of these transactions, the Company no longer maintained a controlling financial interest in Centuri. Accordingly, Centuri’s assets, liabilities, and results of operations are no longer included in the Company’s consolidated financial statements.</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sale of Centuri, which comprised the Company’s Utility Infrastructure Services segment, represents a strategic shift that has a significant impact on the Company’s operations and financial results. Therefore, Centuri meets the criteria to be reported as discontinued operations in accordance with U.S. GAAP. The results of discontinued operations are aggregated and presented separately in the Condensed Consolidated Statements of Income and Condensed Consolidated Statements of Cash Flows for all periods presented. Assets and liabilities of the discontinued operations are aggregated and reported separately on the Condensed Consolidated Balance Sheets as of December 31, 2024. Unless otherwise noted, the financial disclosures and related information provided herein relate to our continuing operations, which exclude our former Utility Infrastructure Services segment, and we have recast prior period amounts to reflect discontinued operations.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notes thereto of Southwest Gas and the Company included in our 2024 Annual Report on Form 10-K for the fiscal year ended December 31, 2024.</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Property and Investments. </w:t>
      </w:r>
      <w:r>
        <w:rPr>
          <w:rFonts w:ascii="Times New Roman" w:cs="Times New Roman" w:eastAsia="Times New Roman" w:hAnsi="Times New Roman"/>
          <w:sz w:val="18"/>
          <w:szCs w:val="18"/>
          <w:color w:val="auto"/>
        </w:rPr>
        <w:t>Other property and investments on Southwest Gas’ and the Company’s Condensed Consolidated Balance Sheets includes: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surrender value of COLI policies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155,199</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r>
      <w:tr>
        <w:trPr>
          <w:trHeight w:val="223"/>
        </w:trPr>
        <w:tc>
          <w:tcPr>
            <w:tcW w:w="7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Corporation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159,678</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Southwest Gas Holdings,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Prepaid and other current assets. </w:t>
      </w:r>
      <w:r>
        <w:rPr>
          <w:rFonts w:ascii="Times New Roman" w:cs="Times New Roman" w:eastAsia="Times New Roman" w:hAnsi="Times New Roman"/>
          <w:sz w:val="18"/>
          <w:szCs w:val="18"/>
          <w:color w:val="auto"/>
        </w:rPr>
        <w:t>Prepaid and other current assets for the Company and Southwest Gas include, among other things, $82.7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$32.4 million related to a regulatory asset associated with the Arizona decoupling mechanism as of September 30, 2025 and December 31, 2024, respectively.</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(Deductions). </w:t>
      </w:r>
      <w:r>
        <w:rPr>
          <w:rFonts w:ascii="Times New Roman" w:cs="Times New Roman" w:eastAsia="Times New Roman" w:hAnsi="Times New Roman"/>
          <w:sz w:val="18"/>
          <w:szCs w:val="18"/>
          <w:color w:val="auto"/>
        </w:rPr>
        <w:t>The following table provides the composition of significant items included in Other income (deductions) in Southwest 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Company’s Condensed Consolidated Statements of Income: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7"/>
                <w:szCs w:val="17"/>
                <w:color w:val="auto"/>
              </w:rPr>
            </w:pPr>
          </w:p>
        </w:tc>
        <w:tc>
          <w:tcPr>
            <w:tcW w:w="20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0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322"/>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COLI policies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r>
      <w:tr>
        <w:trPr>
          <w:trHeight w:val="229"/>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AFUDC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29"/>
        </w:trPr>
        <w:tc>
          <w:tcPr>
            <w:tcW w:w="6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Miscellaneous income and (expense)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Southwest Gas Corporation - total other income (deductions)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48,976</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 total other income (deductions)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48,918</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primarily relates to Southwest Gas’ regulatory asset balances, including its deferred purchased gas cost mechanisms. Interest income is earned on asset balances and interest expense is incurred on liability balances. Corporate and administrative costs are those incurred directly by the parent entity, Southwest Gas Holdings. Refer also to </w:t>
      </w:r>
      <w:r>
        <w:rPr>
          <w:rFonts w:ascii="Times New Roman" w:cs="Times New Roman" w:eastAsia="Times New Roman" w:hAnsi="Times New Roman"/>
          <w:sz w:val="18"/>
          <w:szCs w:val="18"/>
          <w:b w:val="1"/>
          <w:bCs w:val="1"/>
          <w:color w:val="auto"/>
        </w:rPr>
        <w:t>Note 5 – Components of Net Periodic Benefit Cost</w:t>
      </w:r>
      <w:r>
        <w:rPr>
          <w:rFonts w:ascii="Times New Roman" w:cs="Times New Roman" w:eastAsia="Times New Roman" w:hAnsi="Times New Roman"/>
          <w:sz w:val="18"/>
          <w:szCs w:val="18"/>
          <w:color w:val="auto"/>
        </w:rPr>
        <w:t xml:space="preserve"> for details regarding Other components of net periodic benefit cost.</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EPS. </w:t>
      </w:r>
      <w:r>
        <w:rPr>
          <w:rFonts w:ascii="Times New Roman" w:cs="Times New Roman" w:eastAsia="Times New Roman" w:hAnsi="Times New Roman"/>
          <w:sz w:val="18"/>
          <w:szCs w:val="18"/>
          <w:color w:val="auto"/>
        </w:rPr>
        <w:t>Basic EPS in each period of this report were calculated by dividing net income attributable to the Company by the weighted-average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those periods. Diluted EPS includes additional weighted-average common stock equivalents (performance stock units and restricted stock units). Unless otherwise noted, the term EPS refers to Basic EPS. A reconciliation of the denominator used in Basic and Diluted EPS calculations is shown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2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32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4"/>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w:t>
            </w:r>
          </w:p>
        </w:tc>
        <w:tc>
          <w:tcPr>
            <w:tcW w:w="23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Restricted stock units </w:t>
            </w:r>
            <w:r>
              <w:rPr>
                <w:rFonts w:ascii="Times New Roman" w:cs="Times New Roman" w:eastAsia="Times New Roman" w:hAnsi="Times New Roman"/>
                <w:sz w:val="23"/>
                <w:szCs w:val="23"/>
                <w:color w:val="auto"/>
                <w:vertAlign w:val="superscript"/>
              </w:rPr>
              <w:t>(1)(2)</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72,086</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72,265</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71,994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180" w:hanging="10"/>
        <w:spacing w:after="0" w:line="237" w:lineRule="auto"/>
        <w:tabs>
          <w:tab w:leader="none" w:pos="35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securities included 161,000 and 165,000 performance stock units during the three months ended September 30, 2025 and September 30, 2024. During the nine months ended September 30, 2025 and September 30, 2024, respectively, the number of securities included 136,000 and 148,000 performance stock units, the total of which was derived by assuming that target performance will be achieved during the relevant performance period.</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0"/>
        <w:spacing w:after="0" w:line="225" w:lineRule="auto"/>
        <w:tabs>
          <w:tab w:leader="none" w:pos="347"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number of anti-dilutive restricted stock units excluded from the calculation of diluted shares from continuing operations during the three months ended September 30, 2024 is 206,000 and from discontinued operations during the nine months ended September 30, 2024 is 178,000, respectively.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Company’s effective tax rate was (23.8)% for the three months ended September 30, 2025, compared to 46.0% for the corresponding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primarily due to pre-tax income differences, the amortization of excess deferred income taxes, and COLI. The Company’s effective tax rate was 17.9% for the nine months ended September 30, 2025, compared to 12.0% for the corresponding period in 2024, primarily due to pre-tax income differences, amortization of excess deferred income taxes, and COLI.</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effective tax rate was (8.3)% for the three months ended September 30, 2025, compared to 113.0% for the corresponding period in 2024, primarily due to pre-tax income differences, the amortization of excess deferred income taxes, and COLI. Southwest Gas’ effective tax rate was 18.4% for the nine months ended September 30, 2025, compared to 14.2% in the corresponding period in 2024 primarily due to pre-tax income differences, the amortization of excess accumulated deferred income taxes, and COLI.</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OBBBA was signed into law,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and Southwest Gas have determined that the new legislation does not materially impact the results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Recently issued accounting pronouncements that will be effective in 2025 and thereafter:</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update, among other amendments, provides for enhanced disclosures primarily related to changes in the effective income tax rate reconciliation and information regarding income taxes paid. The update is effective for annual periods beginning after December 15, 2024. Management plans to adopt ASU 2023-09 beginning with the fourth quarter of fiscal 2025 and utilize the retrospective application. The adoption of this ASU is not expected to have a material impact the Company’s and Southwest Gas’ disclosures.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update requires disclosure of disaggregated information about certain income statement expense line items in the notes to the financial statements. The update is effective for fiscal years beginning after December 15, 2026, and interim periods within fiscal years beginning after December 15, 2027; early adoption is permitted. The update should be applied prospectively; however, retrospective application is also permitted. Management is evaluating the impacts this update might have on the Company’s and Southwest Gas’ disclosures.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amendments in this update provide a practical expedient permitting an entity to assume that conditions at the balance sheet date remain unchanged over the life of the asset when estimating expected credit losses for current accounts receivable and current contract assets. The update is effective for annual periods beginning after December 15, 2025; early adoption is permitted. Management plans to adopt ASU 2025-05 beginning with the fourth quarter of fiscal 2025 and utilize the practical expedient provided therein. The adoption of this ASU is not expected to have a material impact on the Company’s or Southwest Gas’ financial position or results of operations.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early adoption is permitted. Management is evaluating the impacts this update might have on the Company’s and Southwest Gas’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operating revenues, but not its profits, are directly impacted by variability between comparative periods in the cost of natural gas procured for customers as such costs are incorporated in customer rates. When incorporated (for customers other than those taking transportation-only service), such costs are passed along to customers, generally dollar-for-dollar without markup. Southwest Gas’ revenues overall, reflected on the Condensed Consolidated Statements of Income of both the</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Company and Southwest Gas, include revenue from contracts with customers, which is shown below, disaggregated by customer type, in addition to other categories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40" w:type="dxa"/>
            <w:vAlign w:val="bottom"/>
          </w:tcPr>
          <w:p>
            <w:pPr>
              <w:spacing w:after="0"/>
              <w:rPr>
                <w:sz w:val="17"/>
                <w:szCs w:val="17"/>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6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20"/>
                <w:szCs w:val="20"/>
                <w:color w:val="auto"/>
              </w:rPr>
            </w:pPr>
          </w:p>
        </w:tc>
        <w:tc>
          <w:tcPr>
            <w:tcW w:w="22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168,742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1,283,945</w:t>
            </w:r>
          </w:p>
        </w:tc>
      </w:tr>
      <w:tr>
        <w:trPr>
          <w:trHeight w:val="229"/>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commercial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387,793</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commercial</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87,895</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49,737</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28,226</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82,875</w:t>
            </w:r>
          </w:p>
        </w:tc>
      </w:tr>
      <w:tr>
        <w:trPr>
          <w:trHeight w:val="22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1,399,603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1,892,245</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 revenues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r>
      <w:tr>
        <w:trPr>
          <w:trHeight w:val="230"/>
        </w:trPr>
        <w:tc>
          <w:tcPr>
            <w:tcW w:w="6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r>
      <w:tr>
        <w:trPr>
          <w:trHeight w:val="248"/>
        </w:trPr>
        <w:tc>
          <w:tcPr>
            <w:tcW w:w="6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Regulated operations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1,922,157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320" w:hanging="150"/>
        <w:spacing w:after="0"/>
        <w:tabs>
          <w:tab w:leader="none" w:pos="3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Amounts include late fees and other miscellaneous revenues, and may also include the impact of certain regulatory mechanisms.</w:t>
      </w:r>
    </w:p>
    <w:p>
      <w:pPr>
        <w:spacing w:after="0" w:line="78"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b w:val="1"/>
          <w:bCs w:val="1"/>
          <w:color w:val="auto"/>
        </w:rPr>
        <w:t>Note 4 –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Long-term debt is recognized in the Company’s and Southwest Gas’ Condensed Consolidated Balance Sheets generally at the carrying value of the obligations outstanding. Details surrounding the fair value and individual carrying values of instruments are provided in the table that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September 30, 2025</w:t>
            </w:r>
          </w:p>
        </w:tc>
        <w:tc>
          <w:tcPr>
            <w:tcW w:w="180" w:type="dxa"/>
            <w:vAlign w:val="bottom"/>
          </w:tcPr>
          <w:p>
            <w:pPr>
              <w:spacing w:after="0"/>
              <w:rPr>
                <w:sz w:val="20"/>
                <w:szCs w:val="20"/>
                <w:color w:val="auto"/>
              </w:rPr>
            </w:pPr>
          </w:p>
        </w:tc>
        <w:tc>
          <w:tcPr>
            <w:tcW w:w="22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9"/>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2"/>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4"/>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 and Southwest Gas Corporation: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Southwest Gas 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3,532,500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3,121,449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Southwest Gas Holdings, Inc. and Southwest Gas Corporation total long-term debt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3,507,120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3,504,477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current maturities)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Southwest Gas has a $400 million revolving credit facility that is scheduled to expire in August 2029. Southwest Gas designates $150 million of associated capacity as long-term debt and the remaining $250 million for working capital purposes. In June 2025, Southwest Gas amended this revolving credit agreement, which among other things, added a swingline loan sub-facility in an aggregate principal amount at any time outstanding not to exceed $30 million and added a one-week interest period option with an interest rate equal to Daily Simple SOFR plus 0.03839% plus the applicable margin. At September 30, 2025, the applicable margin is 1.125% for loans bearing interest with reference to SOFR and 0.125% for loans bearing interest with reference to the alternative base rate. At September 30, 2025, no borrowings were outstanding on the long-term portion (including under the commercial paper program), nor under the short-term portion of the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Debt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June 2025, Southwest Gas Holdings entered into a new $300 million revolving credit agreement that matures in August 2029, replacing Southwest Gas Holdings’ existing $300 million credit facility that was set to expire in December 2026. At September 30, 2025, the applicable margin is 1.25% for loans bearing interest to SOFR and 0.25% for loans bearing interest with reference to the alternative base. Southwest Gas Holdings has a one-week interest period option with an interest rate equal to Daily Simple SOFR plus 0.03839% plus the applicable margin. Southwest Gas Holdings is also required to pay a commitment fee on the unfunded portion of the commitments which ranges from 0.075% to 0.200%. The revolving credit agreement also contains a swingline loan sub-facility in an aggregate principal amount at any time outstanding not to exceed $30 million. At September 30, 2025, there were no borrowings outstanding under this credit facility.</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August 2024, Southwest Gas Holdings entered into a $550 million term loan that had been set to mature in July 2025. In June 2025, Southwest Gas Holdings entered into a second amended and restated term loan credit agreement, extending the maturity date of this agreement to June 2026 and excluding Centuri and its subsidiaries from certain material representations, covenants, and events of default. Prior to the execution of the amendment, Southwest Gas Holdings prepaid a portion of the indebtedness, decreasing the balance from $550 million to $225 million, utilizing proceeds received from the Centuri separation transactions. In August 2025, Southwest Gas Holdings paid the remaining balance of $225 million utilizing proceeds received from additional Centuri separation transactions. See </w:t>
      </w:r>
      <w:r>
        <w:rPr>
          <w:rFonts w:ascii="Times New Roman" w:cs="Times New Roman" w:eastAsia="Times New Roman" w:hAnsi="Times New Roman"/>
          <w:sz w:val="18"/>
          <w:szCs w:val="18"/>
          <w:b w:val="1"/>
          <w:bCs w:val="1"/>
          <w:color w:val="auto"/>
        </w:rPr>
        <w:t>Note 6 - Centuri Separation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of all short-term borrowings is 5.63% at December 31, 2024. There were no short-term borrowings at September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Components of Net Periodic Benefit Cost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Southwest Gas' net periodic benefit cost for its QRP, SERP, and PBOP for the three and nine months ended September 30, 2025 and 2024 are presented in the following tables.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SERP</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QRP</w:t>
            </w:r>
          </w:p>
        </w:tc>
        <w:tc>
          <w:tcPr>
            <w:tcW w:w="240" w:type="dxa"/>
            <w:vAlign w:val="bottom"/>
          </w:tcPr>
          <w:p>
            <w:pPr>
              <w:spacing w:after="0"/>
              <w:rPr>
                <w:sz w:val="19"/>
                <w:szCs w:val="19"/>
                <w:color w:val="auto"/>
              </w:rPr>
            </w:pPr>
          </w:p>
        </w:tc>
        <w:tc>
          <w:tcPr>
            <w:tcW w:w="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SERP</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QRP</w:t>
            </w:r>
          </w:p>
        </w:tc>
        <w:tc>
          <w:tcPr>
            <w:tcW w:w="260" w:type="dxa"/>
            <w:vAlign w:val="bottom"/>
          </w:tcPr>
          <w:p>
            <w:pPr>
              <w:spacing w:after="0"/>
              <w:rPr>
                <w:sz w:val="19"/>
                <w:szCs w:val="19"/>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SERP</w:t>
            </w:r>
          </w:p>
        </w:tc>
        <w:tc>
          <w:tcPr>
            <w:tcW w:w="2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PBOP</w:t>
            </w:r>
          </w:p>
        </w:tc>
        <w:tc>
          <w:tcPr>
            <w:tcW w:w="0" w:type="dxa"/>
            <w:vAlign w:val="bottom"/>
          </w:tcPr>
          <w:p>
            <w:pPr>
              <w:spacing w:after="0"/>
              <w:rPr>
                <w:sz w:val="1"/>
                <w:szCs w:val="1"/>
                <w:color w:val="auto"/>
              </w:rPr>
            </w:pPr>
          </w:p>
        </w:tc>
      </w:tr>
      <w:tr>
        <w:trPr>
          <w:trHeight w:val="250"/>
        </w:trPr>
        <w:tc>
          <w:tcPr>
            <w:tcW w:w="36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 (gain)</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Centuri Separation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Company and Centuri announced the completion of the Centuri IPO, prior to which Centuri was a wholly owned subsidiary of the Company. Immediately upon the completion of the Centuri IPO, the Company continued to own approximately 81% of the outstanding shares of common stock of Centuri.</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the Company completed a secondary public offering of 10,350,000 shares of Centuri’s common stock owned by the Company (inclusive of 1,350,000 shares related to the exercise of the overallotment option) at a price of $17.50 per share. In addition, the Company sold 2,857,142 shares at a price equal to the public offering price to the Icahn investment entities in a concurrent private placement. The net proceeds to the Company from this public offering and concurrent private placement, after deducting underwriting discounts and commissions of $6.6 million and other fees, were approximately $224.6 million.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the Company completed an additional secondary public offering of 11,212,500 shares of Centuri’s common stock owned by the Company (inclusive of 1,462,500 shares related to the exercise of the overallotment option) at a price of $20.75 per share. The net proceeds to the Company from the public offering, after deducting underwriting discounts and commissions of $8.6 million and other fees, were approximately $224.1 million. In addition, in July 2025 the Company closed the concurrent private placement sale of an additional 1,060,240 shares at a price equal to the June 2025 Centuri public offering price, with</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Icahn investment entities. The net proceeds to the Company from this concurrent private placement were approximately $22.0 million. After completion of the June 2025 public offering and July 2025 private placement, the Company owned approximately 52.1% of the then-outstanding Centuri common stock.</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On August 11, 2025, the Company completed an additional secondary public offering and concurrent private placement sale with Icahn investment entities for a combined total of 18,823,500 shares of Centuri common stock owned by the Company at a price of $19.50 per share. The net proceeds to the Company, after deducting underwriting discounts and commissions of $11.8 million and other fees, were approximately $355.2 million. The Company used the proceeds for the repayment of outstanding indebtedness, the third quarter dividends to stockholders, and will use the remainder for general corporate purposes (see </w:t>
      </w:r>
      <w:r>
        <w:rPr>
          <w:rFonts w:ascii="Times New Roman" w:cs="Times New Roman" w:eastAsia="Times New Roman" w:hAnsi="Times New Roman"/>
          <w:sz w:val="18"/>
          <w:szCs w:val="18"/>
          <w:b w:val="1"/>
          <w:bCs w:val="1"/>
          <w:color w:val="auto"/>
        </w:rPr>
        <w:t>Note 4 – Debt</w:t>
      </w:r>
      <w:r>
        <w:rPr>
          <w:rFonts w:ascii="Times New Roman" w:cs="Times New Roman" w:eastAsia="Times New Roman" w:hAnsi="Times New Roman"/>
          <w:sz w:val="18"/>
          <w:szCs w:val="18"/>
          <w:color w:val="auto"/>
        </w:rPr>
        <w:t>). After completion of the offering and concurrent private placement, the Company owned approximately 30.9% of the then-outstanding Centuri common stock, and, therefore, no longer had a controlling financial interest in Centuri. As a result, the Company met the requirements for the deconsolidation of Centuri. In addition, the sale of Centuri, which comprised the Company’s Utility Infrastructure Services segment, represents a strategic shift that has a significant impact on the Company’s operations and financial results. Therefore, the sale meets the criteria to be reported as discontinued operations in accordance with U.S. GAAP. Accordingly, the historical financial results of Centuri, for all periods presented, are reflected in the Condensed Consolidated Financial Statements as discontinued operations. On August 11, 2025, following the deconsolidation of Centuri, the Company remeasured its retained 30.9% ownership interest at fair value. This remeasurement resulted in a gain of $230.4 million, which was included in the total gain recognized upon deconsolidation further described below. Subsequent to this date, the Company elected to continue measuring its retained interest, accounted for under the equity method, at fair value through the date of final disposition on September 5, 2025. Upon final disposition, the Company recognized a loss of $9.7 million. After considering the initial fair value adjustment, the Company recorded a net gain of $220.7 million related to the disposition on its retained interest in Centuri.</w:t>
      </w:r>
    </w:p>
    <w:p>
      <w:pPr>
        <w:spacing w:after="0" w:line="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2025, the Company completed a final additional secondary public offering of 27,362,210 shares of Centuri common stock owned by the Company at a price of $19.18 per share. After completion of the offering, the Company no longer owns any shares of Centuri common stock and no longer has governance rights afforded to it under the Separation Agreement, including the right to nominate any of Centuri’s directors and any remaining consent rights over certain of Centuri’s corporate actions. The net proceeds to the Company from the public offering, after deducting other fees of approximately $900,000, were approximately $524.0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Centuri did not receive any of the proceeds from the series of public offerings or private placements subsequent to the Centuri IPO. The Company expects to use the proceeds for general corporate purposes including support for future capital investments at Southwest Gas as well as the potential 2028 expansion of Great Basin, and future dividend payments to stockholders that would otherwise have been funded by Southwest Gas.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net proceeds received by the Company for the sale of Centuri common stock subsequent to the Centuri IPO: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Net Proceeds</w:t>
            </w:r>
          </w:p>
        </w:tc>
      </w:tr>
      <w:tr>
        <w:trPr>
          <w:trHeight w:val="243"/>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Secondary Offering Information</w:t>
            </w: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0"/>
              <w:spacing w:after="0" w:line="243" w:lineRule="exact"/>
              <w:rPr>
                <w:sz w:val="20"/>
                <w:szCs w:val="20"/>
                <w:color w:val="auto"/>
              </w:rPr>
            </w:pPr>
            <w:r>
              <w:rPr>
                <w:rFonts w:ascii="Times New Roman" w:cs="Times New Roman" w:eastAsia="Times New Roman" w:hAnsi="Times New Roman"/>
                <w:sz w:val="18"/>
                <w:szCs w:val="18"/>
                <w:color w:val="auto"/>
                <w:w w:val="99"/>
              </w:rPr>
              <w:t xml:space="preserve">(in million) </w:t>
            </w:r>
            <w:r>
              <w:rPr>
                <w:rFonts w:ascii="Times New Roman" w:cs="Times New Roman" w:eastAsia="Times New Roman" w:hAnsi="Times New Roman"/>
                <w:sz w:val="23"/>
                <w:szCs w:val="23"/>
                <w:color w:val="auto"/>
                <w:w w:val="99"/>
                <w:vertAlign w:val="superscript"/>
              </w:rPr>
              <w:t>(1)</w:t>
            </w: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22, 2025 public offering and private placement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18, 2025 public offering</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8, 2025 private placement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 2025 public offering and private placement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5, 2025 public offering</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r>
      <w:tr>
        <w:trPr>
          <w:trHeight w:val="223"/>
        </w:trPr>
        <w:tc>
          <w:tcPr>
            <w:tcW w:w="9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1,349.9</w:t>
            </w:r>
          </w:p>
        </w:tc>
      </w:tr>
      <w:tr>
        <w:trPr>
          <w:trHeight w:val="20"/>
        </w:trPr>
        <w:tc>
          <w:tcPr>
            <w:tcW w:w="9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proceeds, net of transaction costs</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gain on deconsolidation as of August 11, 2025 is calculated as follows (in thousands):</w:t>
            </w: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9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9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of the retained investment in Centuri </w:t>
            </w:r>
            <w:r>
              <w:rPr>
                <w:rFonts w:ascii="Times New Roman" w:cs="Times New Roman" w:eastAsia="Times New Roman" w:hAnsi="Times New Roman"/>
                <w:sz w:val="23"/>
                <w:szCs w:val="23"/>
                <w:color w:val="auto"/>
                <w:vertAlign w:val="superscript"/>
              </w:rPr>
              <w:t>(1)</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533,636</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proceeds received from the August 11, 2025 public offering and private placement</w:t>
            </w:r>
          </w:p>
        </w:tc>
        <w:tc>
          <w:tcPr>
            <w:tcW w:w="8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355,220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value of noncontrolling interest attributable to Centuri prior to deconsolidation</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460,897</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Carrying value of Centuri net assets prior to deconsolidation, including AOCI</w:t>
            </w: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(982,396)</w:t>
            </w:r>
          </w:p>
        </w:tc>
      </w:tr>
      <w:tr>
        <w:trPr>
          <w:trHeight w:val="223"/>
        </w:trPr>
        <w:tc>
          <w:tcPr>
            <w:tcW w:w="9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Gain on deconsolidation of Centuri before income tax </w:t>
            </w:r>
            <w:r>
              <w:rPr>
                <w:rFonts w:ascii="Times New Roman" w:cs="Times New Roman" w:eastAsia="Times New Roman" w:hAnsi="Times New Roman"/>
                <w:sz w:val="23"/>
                <w:szCs w:val="23"/>
                <w:color w:val="auto"/>
                <w:vertAlign w:val="superscript"/>
              </w:rPr>
              <w:t>(2)</w:t>
            </w:r>
          </w:p>
        </w:tc>
        <w:tc>
          <w:tcPr>
            <w:tcW w:w="8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367,357</w:t>
            </w:r>
          </w:p>
        </w:tc>
      </w:tr>
      <w:tr>
        <w:trPr>
          <w:trHeight w:val="230"/>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88,566</w:t>
            </w:r>
          </w:p>
        </w:tc>
      </w:tr>
      <w:tr>
        <w:trPr>
          <w:trHeight w:val="248"/>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deconsolidation of Centuri, net of tax</w:t>
            </w: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278,791</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320" w:hanging="150"/>
        <w:spacing w:after="0"/>
        <w:tabs>
          <w:tab w:leader="none" w:pos="3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Centuri’s quoted stock price is used for fair value measurement, which is classified as level 1 in the fair value hierarchy as of August 11, 2025.</w:t>
      </w:r>
    </w:p>
    <w:p>
      <w:pPr>
        <w:ind w:left="320" w:hanging="150"/>
        <w:spacing w:after="0" w:line="211" w:lineRule="auto"/>
        <w:tabs>
          <w:tab w:leader="none" w:pos="3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$136.9 million gain on interest sold and $230.4 million gain on the investment retained.</w:t>
      </w:r>
    </w:p>
    <w:p>
      <w:pPr>
        <w:spacing w:after="0" w:line="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assets and liabilities of discontinued operations on the Company’s Condensed Consolidated Balance Sheets at September 30, 2025 and December 31,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0"/>
                <w:szCs w:val="20"/>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2025</w:t>
            </w:r>
          </w:p>
        </w:tc>
        <w:tc>
          <w:tcPr>
            <w:tcW w:w="200" w:type="dxa"/>
            <w:vAlign w:val="bottom"/>
          </w:tcPr>
          <w:p>
            <w:pPr>
              <w:spacing w:after="0"/>
              <w:rPr>
                <w:sz w:val="20"/>
                <w:szCs w:val="20"/>
                <w:color w:val="auto"/>
              </w:rPr>
            </w:pP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7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49,019</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519,610</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w:t>
            </w:r>
          </w:p>
        </w:tc>
      </w:tr>
      <w:tr>
        <w:trPr>
          <w:trHeight w:val="223"/>
        </w:trPr>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current assets classified as discontinued operations</w:t>
            </w:r>
          </w:p>
        </w:tc>
        <w:tc>
          <w:tcPr>
            <w:tcW w:w="18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601,384</w:t>
            </w: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investments, net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1,025,700</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770,046</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52,376</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79,004</w:t>
            </w:r>
          </w:p>
        </w:tc>
      </w:tr>
      <w:tr>
        <w:trPr>
          <w:trHeight w:val="223"/>
        </w:trPr>
        <w:tc>
          <w:tcPr>
            <w:tcW w:w="7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assets classified as discontinued operations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1,927,126</w:t>
            </w:r>
          </w:p>
        </w:tc>
      </w:tr>
      <w:tr>
        <w:trPr>
          <w:trHeight w:val="250"/>
        </w:trPr>
        <w:tc>
          <w:tcPr>
            <w:tcW w:w="7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140,889</w:t>
            </w:r>
          </w:p>
        </w:tc>
      </w:tr>
      <w:tr>
        <w:trPr>
          <w:trHeight w:val="230"/>
        </w:trPr>
        <w:tc>
          <w:tcPr>
            <w:tcW w:w="7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Income tax payable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211,985</w:t>
            </w:r>
          </w:p>
        </w:tc>
      </w:tr>
      <w:tr>
        <w:trPr>
          <w:trHeight w:val="223"/>
        </w:trPr>
        <w:tc>
          <w:tcPr>
            <w:tcW w:w="72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 classified as discontinued operations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382,892</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843,863</w:t>
            </w: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deferred credits</w:t>
            </w:r>
          </w:p>
        </w:tc>
        <w:tc>
          <w:tcPr>
            <w:tcW w:w="1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172,863</w:t>
            </w:r>
          </w:p>
        </w:tc>
      </w:tr>
      <w:tr>
        <w:trPr>
          <w:trHeight w:val="224"/>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 classified as discontinued operations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0</wp:posOffset>
            </wp:positionV>
            <wp:extent cx="2554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280" w:hanging="146"/>
        <w:spacing w:after="0"/>
        <w:tabs>
          <w:tab w:leader="none" w:pos="28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Estimated tax payable related to Centuri disposition.</w:t>
      </w: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results from discontinued operations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6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7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infrastructure services 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338,981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1,613,113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1,920,151</w:t>
            </w:r>
          </w:p>
        </w:tc>
        <w:tc>
          <w:tcPr>
            <w:tcW w:w="0" w:type="dxa"/>
            <w:vAlign w:val="bottom"/>
          </w:tcPr>
          <w:p>
            <w:pPr>
              <w:spacing w:after="0"/>
              <w:rPr>
                <w:sz w:val="1"/>
                <w:szCs w:val="1"/>
                <w:color w:val="auto"/>
              </w:rPr>
            </w:pPr>
          </w:p>
        </w:tc>
      </w:tr>
      <w:tr>
        <w:trPr>
          <w:trHeight w:val="229"/>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infrastructure services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(319,523)</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(1,507,543)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(1,771,344)</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interest deductions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(70,653)</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deconsolidation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final disposition of retained interest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(deductions),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346,749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328,180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155"/>
        </w:trPr>
        <w:tc>
          <w:tcPr>
            <w:tcW w:w="49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income (loss) from discontinued operations attributable to</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80" w:type="dxa"/>
            <w:vAlign w:val="bottom"/>
          </w:tcPr>
          <w:p>
            <w:pPr>
              <w:spacing w:after="0"/>
              <w:rPr>
                <w:sz w:val="13"/>
                <w:szCs w:val="13"/>
                <w:color w:val="auto"/>
              </w:rPr>
            </w:pPr>
          </w:p>
        </w:tc>
        <w:tc>
          <w:tcPr>
            <w:tcW w:w="5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10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206,460</w:t>
            </w:r>
          </w:p>
        </w:tc>
        <w:tc>
          <w:tcPr>
            <w:tcW w:w="80" w:type="dxa"/>
            <w:vAlign w:val="bottom"/>
          </w:tcPr>
          <w:p>
            <w:pPr>
              <w:spacing w:after="0"/>
              <w:rPr>
                <w:sz w:val="13"/>
                <w:szCs w:val="13"/>
                <w:color w:val="auto"/>
              </w:rPr>
            </w:pPr>
          </w:p>
        </w:tc>
        <w:tc>
          <w:tcPr>
            <w:tcW w:w="5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(27,783)</w:t>
            </w:r>
          </w:p>
        </w:tc>
        <w:tc>
          <w:tcPr>
            <w:tcW w:w="0" w:type="dxa"/>
            <w:vAlign w:val="bottom"/>
          </w:tcPr>
          <w:p>
            <w:pPr>
              <w:spacing w:after="0"/>
              <w:rPr>
                <w:sz w:val="1"/>
                <w:szCs w:val="1"/>
                <w:color w:val="auto"/>
              </w:rPr>
            </w:pPr>
          </w:p>
        </w:tc>
      </w:tr>
      <w:tr>
        <w:trPr>
          <w:trHeight w:val="221"/>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second quarter 2025, following the May 2025 sale of Centuri common stock, the Company was no longer eligible to include Centuri in its consolidated federal and certain state income tax returns (tax deconsolidation) and the Company’s tax-free spin protection plan expired. As such, the Company could no longer assert the ability to complete a tax-free disposition of its investment in Centuri. This event required the Company to recognize a previously unrecorded deferred tax liability related to the outside basis of its investment in Centuri. The Company recognized tax expense of $14.4 million and $66.8 million for the three-month and nine-month periods ended September 30, 2025, respectively, related to the recognition of outside basis differences. Following the sale of the Company’s remaining shares of Centuri common stock in September 2025, the Company was no longer eligible to include Centuri in its remaining state income tax returns.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tax benefit of $15.7 million and $22.7 million for the three-month and nine-month periods ended September 30, 2025, respectively, related to deferred tax assets. These benefits reflect state net operating losses that are now expected to be utilized in connection with the disposition of Centuri shares. The combined effect of these items resulted in a net tax benefit of $1.3 million for the three-month period ended September 30, 2025, and a net tax expense of $44.1 million for the nine-month period ended September 30, 2025.</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2025, the Company entered into a Tax Assets Agreement with Centuri. The Tax Assets Agreement addresses the Company’s arrangements with Centuri with respect to certain Tax Assets that each company will retain following any deconsolidation for U.S. federal and relevant state income tax laws. Under the terms of the Tax Assets Agreement, the Company contributed $56.4 million of Tax Assets to Centuri, which were treated as a deemed capital contribution. This amount is subject to change and will be finalized upon the filing of the 2024 and 2025 final consolidated or combined federal and state income tax returns. Any future changes to the Tax Assets contributed to Centuri will be recorded in discontinued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businesses were managed within two separate reportable segments until August 2025, our Natural Gas Distribution segment (Southwest Gas) and our Utility Infrastructure Services segment (Centuri). After August 2025, our business is solely comprised of our Natural Gas Distribution segment, see </w:t>
      </w:r>
      <w:r>
        <w:rPr>
          <w:rFonts w:ascii="Times New Roman" w:cs="Times New Roman" w:eastAsia="Times New Roman" w:hAnsi="Times New Roman"/>
          <w:sz w:val="18"/>
          <w:szCs w:val="18"/>
          <w:b w:val="1"/>
          <w:bCs w:val="1"/>
          <w:color w:val="auto"/>
        </w:rPr>
        <w:t>Note 6 - Centuri Separation</w:t>
      </w:r>
      <w:r>
        <w:rPr>
          <w:rFonts w:ascii="Times New Roman" w:cs="Times New Roman" w:eastAsia="Times New Roman" w:hAnsi="Times New Roman"/>
          <w:sz w:val="18"/>
          <w:szCs w:val="18"/>
          <w:color w:val="auto"/>
        </w:rPr>
        <w:t>. The results of the Utility Infrastructure Services segment are presented as discontinued operations in the Condensed Consolidated Statements of Income and, as such, have been excluded from continuing operations and segment results for all periods presented. Previously reported results for the Natural Gas Distribution segment were not impacted by the Centuri deconsolidation.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reconcile to net income as disclosed in the Condensed Consolidated Statements of Income, an Other column is included below associated with certain unallocated expenses that represent the corporate and administrative activities associated with Southwest Gas Holdings, such as costs related to the Centuri separation and net interest deductions.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information is presented in a similar manner to how the CODM, the Company’s CEO and President, reviews operating results in assessing performance and allocating resources. The CODM evaluates the performance of the reportable segment based on the segment’s net income (loss). The CODM considers budget-to-actual variances when making decisions about allocating capital and personnel to the segment. The CODM also uses net income (loss) to assess the return on assets of the segment including margin earned and in the compensation of certain employees.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The financial information pertaining to the Natural Gas Distribution segment is as follows: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70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0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September 30, 2025</w:t>
            </w:r>
          </w:p>
        </w:tc>
      </w:tr>
      <w:tr>
        <w:trPr>
          <w:trHeight w:val="178"/>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Natural Gas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20"/>
                <w:szCs w:val="20"/>
                <w:color w:val="auto"/>
              </w:rPr>
            </w:pPr>
          </w:p>
        </w:tc>
        <w:tc>
          <w:tcPr>
            <w:tcW w:w="1460" w:type="dxa"/>
            <w:vAlign w:val="bottom"/>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273,985</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42,926</w:t>
            </w:r>
          </w:p>
        </w:tc>
      </w:tr>
      <w:tr>
        <w:trPr>
          <w:trHeight w:val="223"/>
        </w:trPr>
        <w:tc>
          <w:tcPr>
            <w:tcW w:w="7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134,777</w:t>
            </w:r>
          </w:p>
        </w:tc>
      </w:tr>
      <w:tr>
        <w:trPr>
          <w:trHeight w:val="230"/>
        </w:trPr>
        <w:tc>
          <w:tcPr>
            <w:tcW w:w="70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136,077</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r>
      <w:tr>
        <w:trPr>
          <w:trHeight w:val="45"/>
        </w:trPr>
        <w:tc>
          <w:tcPr>
            <w:tcW w:w="70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0"/>
        </w:trPr>
        <w:tc>
          <w:tcPr>
            <w:tcW w:w="706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auto"/>
            </w:tcBorders>
            <w:shd w:val="clear" w:color="auto" w:fill="CCEEFF"/>
          </w:tcPr>
          <w:p>
            <w:pPr>
              <w:spacing w:after="0"/>
              <w:rPr>
                <w:sz w:val="16"/>
                <w:szCs w:val="16"/>
                <w:color w:val="auto"/>
              </w:rPr>
            </w:pPr>
          </w:p>
        </w:tc>
        <w:tc>
          <w:tcPr>
            <w:tcW w:w="10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263,784</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267,959</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270,476</w:t>
            </w:r>
          </w:p>
        </w:tc>
      </w:tr>
      <w:tr>
        <w:trPr>
          <w:trHeight w:val="21"/>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ind w:left="180" w:hanging="154"/>
        <w:spacing w:after="0" w:line="230" w:lineRule="auto"/>
        <w:tabs>
          <w:tab w:leader="none" w:pos="1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segment items includes: Depreciation and amortization, Taxes other than income taxes, Net interest deductions, and Other income (deductions).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7"/>
          </w:tcPr>
          <w:p>
            <w:pPr>
              <w:jc w:val="center"/>
              <w:ind w:right="70"/>
              <w:spacing w:after="0"/>
              <w:rPr>
                <w:sz w:val="20"/>
                <w:szCs w:val="20"/>
                <w:color w:val="auto"/>
              </w:rPr>
            </w:pPr>
            <w:r>
              <w:rPr>
                <w:rFonts w:ascii="Times New Roman" w:cs="Times New Roman" w:eastAsia="Times New Roman" w:hAnsi="Times New Roman"/>
                <w:sz w:val="18"/>
                <w:szCs w:val="18"/>
                <w:color w:val="auto"/>
              </w:rPr>
              <w:t>Three Months Ended September 30, 2025</w:t>
            </w:r>
          </w:p>
        </w:tc>
      </w:tr>
      <w:tr>
        <w:trPr>
          <w:trHeight w:val="178"/>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Natural Gas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46,156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2,847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49,003</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9,725,477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603,102</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10,328,579</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207,894</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SOUTHWEST GAS CORPORATION</w:t>
            </w:r>
          </w:p>
        </w:tc>
        <w:tc>
          <w:tcPr>
            <w:tcW w:w="4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r>
        <w:trPr>
          <w:trHeight w:val="938"/>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September 30, 2024</w:t>
            </w:r>
          </w:p>
        </w:tc>
      </w:tr>
      <w:tr>
        <w:trPr>
          <w:trHeight w:val="178"/>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ind w:left="60"/>
              <w:spacing w:after="0" w:line="177" w:lineRule="exact"/>
              <w:rPr>
                <w:sz w:val="20"/>
                <w:szCs w:val="20"/>
                <w:color w:val="auto"/>
              </w:rPr>
            </w:pPr>
            <w:r>
              <w:rPr>
                <w:rFonts w:ascii="Times New Roman" w:cs="Times New Roman" w:eastAsia="Times New Roman" w:hAnsi="Times New Roman"/>
                <w:sz w:val="18"/>
                <w:szCs w:val="18"/>
                <w:color w:val="auto"/>
              </w:rPr>
              <w:t>Natural Gas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4"/>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20"/>
                <w:szCs w:val="20"/>
                <w:color w:val="auto"/>
              </w:rPr>
            </w:pPr>
          </w:p>
        </w:tc>
        <w:tc>
          <w:tcPr>
            <w:tcW w:w="14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06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321,391</w:t>
            </w:r>
          </w:p>
        </w:tc>
      </w:tr>
      <w:tr>
        <w:trPr>
          <w:trHeight w:val="230"/>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37,740</w:t>
            </w:r>
          </w:p>
        </w:tc>
      </w:tr>
      <w:tr>
        <w:trPr>
          <w:trHeight w:val="223"/>
        </w:trPr>
        <w:tc>
          <w:tcPr>
            <w:tcW w:w="60" w:type="dxa"/>
            <w:vAlign w:val="bottom"/>
            <w:tcBorders>
              <w:top w:val="single" w:sz="8" w:color="CCEEFF"/>
            </w:tcBorders>
            <w:shd w:val="clear" w:color="auto" w:fill="CCEEFF"/>
          </w:tcPr>
          <w:p>
            <w:pPr>
              <w:spacing w:after="0"/>
              <w:rPr>
                <w:sz w:val="19"/>
                <w:szCs w:val="19"/>
                <w:color w:val="auto"/>
              </w:rPr>
            </w:pPr>
          </w:p>
        </w:tc>
        <w:tc>
          <w:tcPr>
            <w:tcW w:w="7000" w:type="dxa"/>
            <w:vAlign w:val="bottom"/>
            <w:tcBorders>
              <w:top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segment revenue</w:t>
            </w: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w:t>
            </w:r>
          </w:p>
        </w:tc>
      </w:tr>
      <w:tr>
        <w:trPr>
          <w:trHeight w:val="229"/>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111,712</w:t>
            </w:r>
          </w:p>
        </w:tc>
      </w:tr>
      <w:tr>
        <w:trPr>
          <w:trHeight w:val="229"/>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130,861</w:t>
            </w:r>
          </w:p>
        </w:tc>
      </w:tr>
      <w:tr>
        <w:trPr>
          <w:trHeight w:val="230"/>
        </w:trPr>
        <w:tc>
          <w:tcPr>
            <w:tcW w:w="706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133,643</w:t>
            </w:r>
          </w:p>
        </w:tc>
      </w:tr>
      <w:tr>
        <w:trPr>
          <w:trHeight w:val="223"/>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(17,085)</w:t>
            </w:r>
          </w:p>
        </w:tc>
      </w:tr>
      <w:tr>
        <w:trPr>
          <w:trHeight w:val="230"/>
        </w:trPr>
        <w:tc>
          <w:tcPr>
            <w:tcW w:w="7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w:t>
            </w:r>
          </w:p>
        </w:tc>
      </w:tr>
      <w:tr>
        <w:trPr>
          <w:trHeight w:val="223"/>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r>
      <w:tr>
        <w:trPr>
          <w:trHeight w:val="45"/>
        </w:trPr>
        <w:tc>
          <w:tcPr>
            <w:tcW w:w="60" w:type="dxa"/>
            <w:vAlign w:val="bottom"/>
            <w:tcBorders>
              <w:bottom w:val="single" w:sz="8" w:color="CCEEFF"/>
            </w:tcBorders>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0"/>
        </w:trPr>
        <w:tc>
          <w:tcPr>
            <w:tcW w:w="7060" w:type="dxa"/>
            <w:vAlign w:val="bottom"/>
            <w:tcBorders>
              <w:top w:val="single" w:sz="8" w:color="CCEEFF"/>
            </w:tcBorders>
            <w:gridSpan w:val="4"/>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6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auto"/>
            </w:tcBorders>
            <w:shd w:val="clear" w:color="auto" w:fill="CCEEFF"/>
          </w:tcPr>
          <w:p>
            <w:pPr>
              <w:spacing w:after="0"/>
              <w:rPr>
                <w:sz w:val="16"/>
                <w:szCs w:val="16"/>
                <w:color w:val="auto"/>
              </w:rPr>
            </w:pPr>
          </w:p>
        </w:tc>
        <w:tc>
          <w:tcPr>
            <w:tcW w:w="10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11,890</w:t>
            </w:r>
          </w:p>
        </w:tc>
      </w:tr>
      <w:tr>
        <w:trPr>
          <w:trHeight w:val="223"/>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29"/>
        </w:trPr>
        <w:tc>
          <w:tcPr>
            <w:tcW w:w="70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8"/>
        </w:trPr>
        <w:tc>
          <w:tcPr>
            <w:tcW w:w="70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-2540</wp:posOffset>
            </wp:positionV>
            <wp:extent cx="840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ind w:left="180" w:hanging="154"/>
        <w:spacing w:after="0"/>
        <w:tabs>
          <w:tab w:leader="none" w:pos="1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segment items includes: Depreciation and amortization, Taxes other than income taxes, Net interest deductions, and Other income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-124460</wp:posOffset>
            </wp:positionV>
            <wp:extent cx="8401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20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gridSpan w:val="10"/>
          </w:tcPr>
          <w:p>
            <w:pPr>
              <w:jc w:val="center"/>
              <w:ind w:right="70"/>
              <w:spacing w:after="0"/>
              <w:rPr>
                <w:sz w:val="20"/>
                <w:szCs w:val="20"/>
                <w:color w:val="auto"/>
              </w:rPr>
            </w:pPr>
            <w:r>
              <w:rPr>
                <w:rFonts w:ascii="Times New Roman" w:cs="Times New Roman" w:eastAsia="Times New Roman" w:hAnsi="Times New Roman"/>
                <w:sz w:val="18"/>
                <w:szCs w:val="18"/>
                <w:color w:val="auto"/>
              </w:rPr>
              <w:t>Three Months Ended September 30, 2024</w:t>
            </w:r>
          </w:p>
        </w:tc>
        <w:tc>
          <w:tcPr>
            <w:tcW w:w="0" w:type="dxa"/>
            <w:vAlign w:val="bottom"/>
          </w:tcPr>
          <w:p>
            <w:pPr>
              <w:spacing w:after="0"/>
              <w:rPr>
                <w:sz w:val="1"/>
                <w:szCs w:val="1"/>
                <w:color w:val="auto"/>
              </w:rPr>
            </w:pPr>
          </w:p>
        </w:tc>
      </w:tr>
      <w:tr>
        <w:trPr>
          <w:trHeight w:val="178"/>
        </w:trPr>
        <w:tc>
          <w:tcPr>
            <w:tcW w:w="5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60"/>
              <w:spacing w:after="0" w:line="177" w:lineRule="exact"/>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0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Borders>
              <w:top w:val="single" w:sz="8" w:color="CCEEFF"/>
            </w:tcBorders>
            <w:vMerge w:val="continue"/>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42,312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11,494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53,806</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Borders>
              <w:top w:val="single" w:sz="8" w:color="CCEEFF"/>
            </w:tcBorders>
            <w:vMerge w:val="continue"/>
          </w:tcPr>
          <w:p>
            <w:pPr>
              <w:spacing w:after="0"/>
              <w:rPr>
                <w:sz w:val="17"/>
                <w:szCs w:val="17"/>
                <w:color w:val="auto"/>
              </w:rPr>
            </w:pPr>
          </w:p>
        </w:tc>
        <w:tc>
          <w:tcPr>
            <w:tcW w:w="204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252,373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gridSpan w:val="2"/>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252,373</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9"/>
          </w:tcPr>
          <w:p>
            <w:pPr>
              <w:jc w:val="center"/>
              <w:ind w:left="750"/>
              <w:spacing w:after="0"/>
              <w:rPr>
                <w:sz w:val="20"/>
                <w:szCs w:val="20"/>
                <w:color w:val="auto"/>
              </w:rPr>
            </w:pPr>
            <w:r>
              <w:rPr>
                <w:rFonts w:ascii="Times New Roman" w:cs="Times New Roman" w:eastAsia="Times New Roman" w:hAnsi="Times New Roman"/>
                <w:sz w:val="18"/>
                <w:szCs w:val="18"/>
                <w:color w:val="auto"/>
              </w:rPr>
              <w:t>As of December 31, 2024</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20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9,544,396</w:t>
            </w:r>
          </w:p>
        </w:tc>
        <w:tc>
          <w:tcPr>
            <w:tcW w:w="0" w:type="dxa"/>
            <w:vAlign w:val="bottom"/>
          </w:tcPr>
          <w:p>
            <w:pPr>
              <w:spacing w:after="0"/>
              <w:rPr>
                <w:sz w:val="1"/>
                <w:szCs w:val="1"/>
                <w:color w:val="auto"/>
              </w:rPr>
            </w:pPr>
          </w:p>
        </w:tc>
      </w:tr>
      <w:tr>
        <w:trPr>
          <w:trHeight w:val="634"/>
        </w:trPr>
        <w:tc>
          <w:tcPr>
            <w:tcW w:w="5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10"/>
          </w:tcPr>
          <w:p>
            <w:pPr>
              <w:jc w:val="center"/>
              <w:ind w:right="70"/>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color w:val="auto"/>
              </w:rPr>
              <w:t>Natural Gas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spacing w:after="0"/>
              <w:rPr>
                <w:sz w:val="21"/>
                <w:szCs w:val="21"/>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06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1,399,603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1,399,603</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60,042</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20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2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402,945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2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407,221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426,240</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201,062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36,059</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06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165,003</w:t>
            </w:r>
          </w:p>
        </w:tc>
        <w:tc>
          <w:tcPr>
            <w:tcW w:w="0" w:type="dxa"/>
            <w:vAlign w:val="bottom"/>
          </w:tcPr>
          <w:p>
            <w:pPr>
              <w:spacing w:after="0"/>
              <w:rPr>
                <w:sz w:val="1"/>
                <w:szCs w:val="1"/>
                <w:color w:val="auto"/>
              </w:rPr>
            </w:pPr>
          </w:p>
        </w:tc>
      </w:tr>
      <w:tr>
        <w:trPr>
          <w:trHeight w:val="45"/>
        </w:trPr>
        <w:tc>
          <w:tcPr>
            <w:tcW w:w="502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02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20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auto"/>
            </w:tcBorders>
            <w:shd w:val="clear" w:color="auto" w:fill="CCEEFF"/>
          </w:tcPr>
          <w:p>
            <w:pPr>
              <w:spacing w:after="0"/>
              <w:rPr>
                <w:sz w:val="16"/>
                <w:szCs w:val="16"/>
                <w:color w:val="auto"/>
              </w:rPr>
            </w:pPr>
          </w:p>
        </w:tc>
        <w:tc>
          <w:tcPr>
            <w:tcW w:w="10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201,814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0" w:type="dxa"/>
            <w:vAlign w:val="bottom"/>
          </w:tcPr>
          <w:p>
            <w:pPr>
              <w:spacing w:after="0"/>
              <w:rPr>
                <w:sz w:val="1"/>
                <w:szCs w:val="1"/>
                <w:color w:val="auto"/>
              </w:rPr>
            </w:pPr>
          </w:p>
        </w:tc>
      </w:tr>
      <w:tr>
        <w:trPr>
          <w:trHeight w:val="804"/>
        </w:trPr>
        <w:tc>
          <w:tcPr>
            <w:tcW w:w="5020" w:type="dxa"/>
            <w:vAlign w:val="bottom"/>
          </w:tcPr>
          <w:p>
            <w:pPr>
              <w:spacing w:after="0"/>
              <w:rPr>
                <w:sz w:val="24"/>
                <w:szCs w:val="24"/>
                <w:color w:val="auto"/>
              </w:rPr>
            </w:pPr>
          </w:p>
        </w:tc>
        <w:tc>
          <w:tcPr>
            <w:tcW w:w="204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3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960" w:type="dxa"/>
            <w:vAlign w:val="bottom"/>
          </w:tcPr>
          <w:p>
            <w:pPr>
              <w:spacing w:after="0"/>
              <w:rPr>
                <w:sz w:val="18"/>
                <w:szCs w:val="18"/>
                <w:color w:val="auto"/>
              </w:rPr>
            </w:pPr>
          </w:p>
        </w:tc>
        <w:tc>
          <w:tcPr>
            <w:tcW w:w="4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c>
          <w:tcPr>
            <w:tcW w:w="0" w:type="dxa"/>
            <w:vAlign w:val="bottom"/>
          </w:tcPr>
          <w:p>
            <w:pPr>
              <w:spacing w:after="0"/>
              <w:rPr>
                <w:sz w:val="1"/>
                <w:szCs w:val="1"/>
                <w:color w:val="auto"/>
              </w:rPr>
            </w:pPr>
          </w:p>
        </w:tc>
      </w:tr>
      <w:tr>
        <w:trPr>
          <w:trHeight w:val="709"/>
        </w:trPr>
        <w:tc>
          <w:tcPr>
            <w:tcW w:w="69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328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gridSpan w:val="4"/>
            <w:vMerge w:val="continue"/>
          </w:tcPr>
          <w:p>
            <w:pPr>
              <w:spacing w:after="0"/>
              <w:rPr>
                <w:sz w:val="19"/>
                <w:szCs w:val="19"/>
                <w:color w:val="auto"/>
              </w:rPr>
            </w:pPr>
          </w:p>
        </w:tc>
        <w:tc>
          <w:tcPr>
            <w:tcW w:w="30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371,463</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80" w:hanging="154"/>
        <w:spacing w:after="0" w:line="230" w:lineRule="auto"/>
        <w:tabs>
          <w:tab w:leader="none" w:pos="1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segment items includes: Depreciation and amortization, Taxes other than income taxes, Net interest deductions, and Other income (deductions).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gridSpan w:val="9"/>
          </w:tcPr>
          <w:p>
            <w:pPr>
              <w:jc w:val="center"/>
              <w:ind w:right="70"/>
              <w:spacing w:after="0"/>
              <w:rPr>
                <w:sz w:val="20"/>
                <w:szCs w:val="20"/>
                <w:color w:val="auto"/>
              </w:rPr>
            </w:pPr>
            <w:r>
              <w:rPr>
                <w:rFonts w:ascii="Times New Roman" w:cs="Times New Roman" w:eastAsia="Times New Roman" w:hAnsi="Times New Roman"/>
                <w:sz w:val="18"/>
                <w:szCs w:val="18"/>
                <w:color w:val="auto"/>
                <w:w w:val="99"/>
              </w:rPr>
              <w:t>Nine Months Ended September 30, 2025</w:t>
            </w:r>
          </w:p>
        </w:tc>
      </w:tr>
      <w:tr>
        <w:trPr>
          <w:trHeight w:val="178"/>
        </w:trPr>
        <w:tc>
          <w:tcPr>
            <w:tcW w:w="7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80"/>
              <w:spacing w:after="0" w:line="177" w:lineRule="exact"/>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2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03"/>
        </w:trPr>
        <w:tc>
          <w:tcPr>
            <w:tcW w:w="7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135,524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21,263</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156,787</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03"/>
        </w:trPr>
        <w:tc>
          <w:tcPr>
            <w:tcW w:w="7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Segment assets</w:t>
            </w: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9,725,477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603,102</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10,328,579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570,351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08"/>
        </w:trPr>
        <w:tc>
          <w:tcPr>
            <w:tcW w:w="70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9"/>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 Months Ended September 30, 2024</w:t>
            </w:r>
          </w:p>
        </w:tc>
      </w:tr>
      <w:tr>
        <w:trPr>
          <w:trHeight w:val="169"/>
        </w:trPr>
        <w:tc>
          <w:tcPr>
            <w:tcW w:w="7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260" w:type="dxa"/>
            <w:vAlign w:val="bottom"/>
          </w:tcPr>
          <w:p>
            <w:pPr>
              <w:spacing w:after="0"/>
              <w:rPr>
                <w:sz w:val="21"/>
                <w:szCs w:val="21"/>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1,892,245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1,892,245</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 and other revenues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w:t>
            </w:r>
          </w:p>
        </w:tc>
      </w:tr>
      <w:tr>
        <w:trPr>
          <w:trHeight w:val="223"/>
        </w:trPr>
        <w:tc>
          <w:tcPr>
            <w:tcW w:w="70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segment revenue</w:t>
            </w:r>
          </w:p>
        </w:tc>
        <w:tc>
          <w:tcPr>
            <w:tcW w:w="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1,922,157</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984,188</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394,957</w:t>
            </w:r>
          </w:p>
        </w:tc>
      </w:tr>
      <w:tr>
        <w:trPr>
          <w:trHeight w:val="229"/>
        </w:trPr>
        <w:tc>
          <w:tcPr>
            <w:tcW w:w="7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390,611</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152,401</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134,142</w:t>
            </w:r>
          </w:p>
        </w:tc>
      </w:tr>
      <w:tr>
        <w:trPr>
          <w:trHeight w:val="45"/>
        </w:trPr>
        <w:tc>
          <w:tcPr>
            <w:tcW w:w="70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0"/>
        </w:trPr>
        <w:tc>
          <w:tcPr>
            <w:tcW w:w="7000" w:type="dxa"/>
            <w:vAlign w:val="bottom"/>
            <w:tcBorders>
              <w:top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Net (loss) from discontinued operations, net of taxes</w:t>
            </w: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80" w:type="dxa"/>
            <w:vAlign w:val="bottom"/>
            <w:tcBorders>
              <w:top w:val="single" w:sz="8" w:color="CCEEFF"/>
              <w:bottom w:val="single" w:sz="8" w:color="auto"/>
            </w:tcBorders>
            <w:shd w:val="clear" w:color="auto" w:fill="CCEEFF"/>
          </w:tcPr>
          <w:p>
            <w:pPr>
              <w:spacing w:after="0"/>
              <w:rPr>
                <w:sz w:val="16"/>
                <w:szCs w:val="16"/>
                <w:color w:val="auto"/>
              </w:rPr>
            </w:pPr>
          </w:p>
        </w:tc>
        <w:tc>
          <w:tcPr>
            <w:tcW w:w="10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(23,707)</w:t>
            </w: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110,435</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w:t>
            </w:r>
          </w:p>
        </w:tc>
      </w:tr>
      <w:tr>
        <w:trPr>
          <w:trHeight w:val="22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Southwest Gas Holdings, Inc.</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-2540</wp:posOffset>
            </wp:positionV>
            <wp:extent cx="8826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180" w:hanging="154"/>
        <w:spacing w:after="0"/>
        <w:tabs>
          <w:tab w:leader="none" w:pos="1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segment items includes: Depreciation and amortization, Taxes other than income taxes, Net interest deductions, and Other income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-123825</wp:posOffset>
            </wp:positionV>
            <wp:extent cx="8826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8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color w:val="auto"/>
                <w:w w:val="99"/>
              </w:rPr>
              <w:t>Nine Months Ended September 30, 2024</w:t>
            </w:r>
          </w:p>
        </w:tc>
        <w:tc>
          <w:tcPr>
            <w:tcW w:w="0" w:type="dxa"/>
            <w:vAlign w:val="bottom"/>
          </w:tcPr>
          <w:p>
            <w:pPr>
              <w:spacing w:after="0"/>
              <w:rPr>
                <w:sz w:val="1"/>
                <w:szCs w:val="1"/>
                <w:color w:val="auto"/>
              </w:rPr>
            </w:pPr>
          </w:p>
        </w:tc>
      </w:tr>
      <w:tr>
        <w:trPr>
          <w:trHeight w:val="169"/>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Natural Gas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180" w:type="dxa"/>
            <w:vAlign w:val="bottom"/>
          </w:tcPr>
          <w:p>
            <w:pPr>
              <w:spacing w:after="0"/>
              <w:rPr>
                <w:sz w:val="21"/>
                <w:szCs w:val="21"/>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w:t>
            </w:r>
          </w:p>
        </w:tc>
        <w:tc>
          <w:tcPr>
            <w:tcW w:w="260" w:type="dxa"/>
            <w:vAlign w:val="bottom"/>
          </w:tcPr>
          <w:p>
            <w:pPr>
              <w:spacing w:after="0"/>
              <w:rPr>
                <w:sz w:val="21"/>
                <w:szCs w:val="21"/>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8"/>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118,595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33,857</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152,452</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220,663</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0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643,720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643,720</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color w:val="auto"/>
                <w:w w:val="99"/>
              </w:rPr>
              <w:t>As of December 31, 2024</w:t>
            </w: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9,544,396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Holdings is a holding company that owns all of the shares of common stock of Southwest Gas; and until the Centuri IPO in April 22, 2024, all of the shares of common stock of Centuri. The Company’s businesses were managed within two separate reportable segments until August 2025, our Natural Gas Distribution segment (Southwest Gas) and our Utility Infrastructure Services segment (Centuri). After August 2025, our business is solely comprised of our Natural Gas Distribution segment.</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the Company’s earlier determination to simplify the Company’s portfolio of businesses, the Company determined it would pursue a separation of Centuri. In April 2024, the Company and Centuri announced the completion of the Centuri IPO. The Company completed subsequent sales of Centuri stock in May through September 2025. Following the August, 11, 2025 transaction, the Company owned 30.9% of Centuri at which time it no longer had a financial controlling interest in Centuri and therefore met the requirements for deconsolidation. On September 5, 2025, the Company sold its remaining shares of Centuri common stock, and no longer owns any shares of Centuri or has any governance rights afforded to it under the Separation Agreement.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includes Southwest Gas, which is engaged in the business of purchasing, distributing, and transporting natural gas for customers in portions of Arizona, Nevada, and California. Southwest Gas is the largest regulated distributor of natural gas in Arizona and Nevada, and also distributes and transports natural gas for customers in portions of California. Additionally, through its subsidiaries, Southwest Gas operates two regulated interstate pipelines serving portions of Nevada and California. Southwest Gas makes investments in infrastructure to support customer demand associated with population growth and economic development activity, and the safe and reliable operation of its system through adherence to pipeline integrity management programs.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September 30, 2025, Southwest Gas had approximately 2,276,000 residential, commercial, industrial, and other natural gas customers, of which 1,222,000 customers were located in Arizona, 847,000 in Nevada, and 207,000 in California. </w:t>
      </w:r>
      <w:r>
        <w:rPr>
          <w:rFonts w:ascii="Times New Roman" w:cs="Times New Roman" w:eastAsia="Times New Roman" w:hAnsi="Times New Roman"/>
          <w:sz w:val="18"/>
          <w:szCs w:val="18"/>
          <w:color w:val="212529"/>
        </w:rPr>
        <w:t>Over the past twelve months, first-time meter sets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approximately 40,000, of which </w:t>
      </w:r>
      <w:r>
        <w:rPr>
          <w:rFonts w:ascii="Times New Roman" w:cs="Times New Roman" w:eastAsia="Times New Roman" w:hAnsi="Times New Roman"/>
          <w:sz w:val="18"/>
          <w:szCs w:val="18"/>
          <w:color w:val="000000"/>
        </w:rPr>
        <w:t>23,000</w:t>
      </w:r>
      <w:r>
        <w:rPr>
          <w:rFonts w:ascii="Times New Roman" w:cs="Times New Roman" w:eastAsia="Times New Roman" w:hAnsi="Times New Roman"/>
          <w:sz w:val="18"/>
          <w:szCs w:val="18"/>
          <w:color w:val="212529"/>
        </w:rPr>
        <w:t xml:space="preserve"> were added in Arizona, </w:t>
      </w:r>
      <w:r>
        <w:rPr>
          <w:rFonts w:ascii="Times New Roman" w:cs="Times New Roman" w:eastAsia="Times New Roman" w:hAnsi="Times New Roman"/>
          <w:sz w:val="18"/>
          <w:szCs w:val="18"/>
          <w:color w:val="000000"/>
        </w:rPr>
        <w:t>16,000</w:t>
      </w:r>
      <w:r>
        <w:rPr>
          <w:rFonts w:ascii="Times New Roman" w:cs="Times New Roman" w:eastAsia="Times New Roman" w:hAnsi="Times New Roman"/>
          <w:sz w:val="18"/>
          <w:szCs w:val="18"/>
          <w:color w:val="212529"/>
        </w:rPr>
        <w:t xml:space="preserve"> in Nevada, and </w:t>
      </w:r>
      <w:r>
        <w:rPr>
          <w:rFonts w:ascii="Times New Roman" w:cs="Times New Roman" w:eastAsia="Times New Roman" w:hAnsi="Times New Roman"/>
          <w:sz w:val="18"/>
          <w:szCs w:val="18"/>
          <w:color w:val="000000"/>
        </w:rPr>
        <w:t>1,000</w:t>
      </w:r>
      <w:r>
        <w:rPr>
          <w:rFonts w:ascii="Times New Roman" w:cs="Times New Roman" w:eastAsia="Times New Roman" w:hAnsi="Times New Roman"/>
          <w:sz w:val="18"/>
          <w:szCs w:val="18"/>
          <w:color w:val="212529"/>
        </w:rPr>
        <w:t xml:space="preserve"> in California; compared to </w:t>
      </w:r>
      <w:r>
        <w:rPr>
          <w:rFonts w:ascii="Times New Roman" w:cs="Times New Roman" w:eastAsia="Times New Roman" w:hAnsi="Times New Roman"/>
          <w:sz w:val="18"/>
          <w:szCs w:val="18"/>
          <w:color w:val="000000"/>
        </w:rPr>
        <w:t>41,000</w:t>
      </w:r>
      <w:r>
        <w:rPr>
          <w:rFonts w:ascii="Times New Roman" w:cs="Times New Roman" w:eastAsia="Times New Roman" w:hAnsi="Times New Roman"/>
          <w:sz w:val="18"/>
          <w:szCs w:val="18"/>
          <w:color w:val="212529"/>
        </w:rPr>
        <w:t xml:space="preserve"> during the twelve months ended </w:t>
      </w:r>
      <w:r>
        <w:rPr>
          <w:rFonts w:ascii="Times New Roman" w:cs="Times New Roman" w:eastAsia="Times New Roman" w:hAnsi="Times New Roman"/>
          <w:sz w:val="18"/>
          <w:szCs w:val="18"/>
          <w:color w:val="000000"/>
        </w:rPr>
        <w:t>September 30, 2024, of which 23,000 were located in Arizona, 16,000 in Nevada, and 2,000 in California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Residential and small commercial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customers represented over 99% of the total customer base. During the twelve months ended September 30, 2025, 54% of operating margin (Regulated operations revenues less the net cost of gas sold) was earned in Arizona, 34% in Nevada, and 12% in California. During this same period, Southwest Gas earned 85% of its operating margin from residential and small commercial customers, 4% from other sales customers, and 11% from transportation customers. These patterns are expected to remain materially consistent for the foreseeable future subject to the ultimate outcome of the Great Basin Expansion project. Refer to </w:t>
      </w:r>
      <w:r>
        <w:rPr>
          <w:rFonts w:ascii="Times New Roman" w:cs="Times New Roman" w:eastAsia="Times New Roman" w:hAnsi="Times New Roman"/>
          <w:sz w:val="18"/>
          <w:szCs w:val="18"/>
          <w:i w:val="1"/>
          <w:iCs w:val="1"/>
          <w:color w:val="000000"/>
        </w:rPr>
        <w:t>Potential 2028 Great Basin Expansion Project</w:t>
      </w:r>
      <w:r>
        <w:rPr>
          <w:rFonts w:ascii="Times New Roman" w:cs="Times New Roman" w:eastAsia="Times New Roman" w:hAnsi="Times New Roman"/>
          <w:sz w:val="18"/>
          <w:szCs w:val="18"/>
          <w:color w:val="000000"/>
        </w:rPr>
        <w:t xml:space="preserve"> discussion below</w:t>
      </w:r>
      <w:r>
        <w:rPr>
          <w:rFonts w:ascii="Times New Roman" w:cs="Times New Roman" w:eastAsia="Times New Roman" w:hAnsi="Times New Roman"/>
          <w:sz w:val="18"/>
          <w:szCs w:val="18"/>
          <w:i w:val="1"/>
          <w:iCs w:val="1"/>
          <w:color w:val="000000"/>
        </w:rPr>
        <w:t>.</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Southwest Gas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U.S. GAAP. Thus, operating margin is considered a non-GAAP measure. Management uses this financial measure because Regulated operations revenues include the net cost of gas sold, which is a tracked cost that is passed through to customers without markup under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 Gas’ financial performance in a rate-regulated environment. The principal factors affecting changes in operating margin are generally the timing and amount of updated rates (to better align with Southwest Gas’ cost of service and capital investments, including impacts of infrastructure trackers) and customer growth. Public utility commission decisions on the amount and timing of relief may impact our earnings. Refer to the Summary Operating Results table below for a reconciliation of gross margin to operating margin, and refer to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xml:space="preserve"> in this MD&amp;A, for details of various rate proceedings.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natural gas is seasonal, with greater demand in the colder winter months and decreased demand in the warmer summer months. All of Southwest Gas’ service territories have decoupled rate structures (alternative revenue programs), which are designed to eliminate the direct link between volumetric sales and revenue, thereby mitigating the impacts of weather variability and conservation on operating margin, allowing Southwest Gas to pursue energy efficiency initiatives. Nearly all of our customers, and resulting revenue and margin, are included as part of mechanisms that reduce the impact of weather and volume variability on our earnings.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Our business may be impacted by economic conditions that impact businesses generally, such as inflationary impacts on goods and services consumed in the business, rising or sustained high interest rates, labor markets and costs (including in regard to contracted or professional services), and the availability of those resources.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Company’s Annual Report on Form 10-K for the fiscal year ended December 31, 2024, in addition to the Risk Factors included in these documents as may be updated from time to time.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Summary</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items discussed in this Executive Summary are intended to provide an overview of the results of the Company’s and Southwest Gas’ operations and are covered in greater detail in later sections of this MD&amp;A.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Summary Operating Results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color w:val="auto"/>
              </w:rPr>
              <w:t>Period Ended September 30,</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w:t>
            </w:r>
          </w:p>
        </w:tc>
        <w:tc>
          <w:tcPr>
            <w:tcW w:w="26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 Months</w:t>
            </w:r>
          </w:p>
        </w:tc>
        <w:tc>
          <w:tcPr>
            <w:tcW w:w="780" w:type="dxa"/>
            <w:vAlign w:val="bottom"/>
          </w:tcPr>
          <w:p>
            <w:pPr>
              <w:spacing w:after="0"/>
              <w:rPr>
                <w:sz w:val="19"/>
                <w:szCs w:val="19"/>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2024</w:t>
            </w:r>
          </w:p>
        </w:tc>
      </w:tr>
      <w:tr>
        <w:trPr>
          <w:trHeight w:val="169"/>
        </w:trPr>
        <w:tc>
          <w:tcPr>
            <w:tcW w:w="20" w:type="dxa"/>
            <w:vAlign w:val="bottom"/>
            <w:shd w:val="clear" w:color="auto" w:fill="CCEEFF"/>
          </w:tcPr>
          <w:p>
            <w:pPr>
              <w:spacing w:after="0"/>
              <w:rPr>
                <w:sz w:val="14"/>
                <w:szCs w:val="14"/>
                <w:color w:val="auto"/>
              </w:rPr>
            </w:pPr>
          </w:p>
        </w:tc>
        <w:tc>
          <w:tcPr>
            <w:tcW w:w="610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Contribution to net income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1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182,139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163,991</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Corporate and administrative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(29,849)</w:t>
            </w: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134,142</w:t>
            </w: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(loss) from discontinued operations, net of taxes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(27,783)</w:t>
            </w:r>
          </w:p>
        </w:tc>
      </w:tr>
      <w:tr>
        <w:trPr>
          <w:trHeight w:val="223"/>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income attributable to Southwest Gas Holdings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371,463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71,880</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72,104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1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Basic earnings (loss) per share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ind w:left="16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 - 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61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Natural Gas Distribution</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Reconciliation of Gross Margin to Operating Margin (Non-GAAP measure)</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Utility Gross Margin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471,235</w:t>
            </w:r>
          </w:p>
        </w:tc>
      </w:tr>
      <w:tr>
        <w:trPr>
          <w:trHeight w:val="230"/>
        </w:trPr>
        <w:tc>
          <w:tcPr>
            <w:tcW w:w="20" w:type="dxa"/>
            <w:vAlign w:val="bottom"/>
          </w:tcPr>
          <w:p>
            <w:pPr>
              <w:spacing w:after="0"/>
              <w:rPr>
                <w:sz w:val="19"/>
                <w:szCs w:val="19"/>
                <w:color w:val="auto"/>
              </w:rPr>
            </w:pPr>
          </w:p>
        </w:tc>
        <w:tc>
          <w:tcPr>
            <w:tcW w:w="61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Plus: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10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and maintenance (excluding Admin. &amp; General)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246,071</w:t>
            </w:r>
          </w:p>
        </w:tc>
      </w:tr>
      <w:tr>
        <w:trPr>
          <w:trHeight w:val="229"/>
        </w:trPr>
        <w:tc>
          <w:tcPr>
            <w:tcW w:w="2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220,663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hanging="10"/>
        <w:spacing w:after="0" w:line="225" w:lineRule="auto"/>
        <w:tabs>
          <w:tab w:leader="none" w:pos="356"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deconsolidation of Centuri, certain amounts in Corporate and administrative that relate to Centuri separation have been reclassified to discontinued operations for all periods presented as applicable.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3rd Quarter 2025 overview and other recent developments</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Southwest Gas Holdings highlights include the following:</w:t>
      </w:r>
    </w:p>
    <w:p>
      <w:pPr>
        <w:spacing w:after="0" w:line="27" w:lineRule="exact"/>
        <w:rPr>
          <w:sz w:val="20"/>
          <w:szCs w:val="20"/>
          <w:color w:val="auto"/>
        </w:rPr>
      </w:pPr>
    </w:p>
    <w:p>
      <w:pPr>
        <w:jc w:val="both"/>
        <w:ind w:left="66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sale of last remaining shares of Centuri common stock through secondary public offerings and private placements resulting in net proceeds of $901.2 million; collective net proceeds used to repay outstanding indebtedness and the third quarter dividends to stockholders, with expectation to use the remainder for general corporate purposes including support for the potential 2028 Great Basin expansion</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third quarter of 2025 with approximately $779 million of cash on a consolidated basis; the Company does not expect to issue equity in 2025</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Natural gas distribution highlights include the following:</w:t>
      </w:r>
    </w:p>
    <w:p>
      <w:pPr>
        <w:spacing w:after="0" w:line="2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Year-to-date gross margin of $546 million and operating margin of $1.0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 first-time meters sets occurred over the past 12 months, resulting in a 1.8% growth 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quarter with over $182 million in cash (given collection of previously deferred purchased gas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$570.4 million capital investment year-to-date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revenues and cost of gas sold can change depending on natural gas cost included in customer rates, but these changes do not directly affect the company’s profits. Regulatory commissions have set up mechanisms that allow Southwest Gas to adjust customer rates to reflect fluctuations in natural gas cost.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actual cost of gas differs from what is recovered through customer rates, the difference is recorded as a deferred amount.</w:t>
      </w:r>
    </w:p>
    <w:p>
      <w:pPr>
        <w:spacing w:after="0" w:line="3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If Southwest has under-recovered costs, it records a regulatory asset along with interest income.</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Southwest has over-recovered costs, it records a regulatory liability along with interest expense.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deferred amounts are either refunded to or recovered from customers during periods approved by the regulatory commissions.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Natural Gas Distribution</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11"/>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8"/>
                <w:szCs w:val="18"/>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20"/>
                <w:szCs w:val="20"/>
                <w:color w:val="auto"/>
              </w:rPr>
            </w:pP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 operations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1,459,645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1,922,157</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cost of gas sold</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984,188</w:t>
            </w:r>
          </w:p>
        </w:tc>
      </w:tr>
      <w:tr>
        <w:trPr>
          <w:trHeight w:val="22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937,969</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399,867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390,229</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220,663</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66,414</w:t>
            </w:r>
          </w:p>
        </w:tc>
      </w:tr>
      <w:tr>
        <w:trPr>
          <w:trHeight w:val="22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260,663</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48,976</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46,156</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118,595</w:t>
            </w: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223,159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191,044</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27,053</w:t>
            </w:r>
          </w:p>
        </w:tc>
      </w:tr>
      <w:tr>
        <w:trPr>
          <w:trHeight w:val="223"/>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consolidated results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163,991</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September 30, 2025 compared to the same period in 2024, the increase in net income of $4.9 million was primarily due to:</w:t>
      </w:r>
    </w:p>
    <w:p>
      <w:pPr>
        <w:spacing w:after="0" w:line="117" w:lineRule="exact"/>
        <w:rPr>
          <w:sz w:val="20"/>
          <w:szCs w:val="20"/>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 million higher Operating margin primarily driven by updated rates that better align with Southwest Gas’ cost of service and capital investments across all our territories adding approximately $22.3 million of incremental margin and $1.6 million attributable to customer growth. Customer growth is reflective of approximately 40,000 first-time meter sets added during the last twelve months. The combined impacts of increases in recovery/return associated with regulatory accounts balances and the variable interest expense adjustment mechanism in Nevada also resulted in incremental margin between comparable periods.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or 7%, higher Depreciation and amortization expense reflecting a $663.4 million, or 6%, increase in average gas plant in service since the corresponding third quarter of 2024. The increase in plant was attributable to</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pipeline capacity reinforcement work, franchise requirements, scheduled pipe replacement activities, and new infrastructure.</w:t>
      </w:r>
    </w:p>
    <w:p>
      <w:pPr>
        <w:spacing w:after="0" w:line="117"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higher Income tax expense due to pre-tax income differences, the amortization of excess accumulated deferred income taxes, and COLI.</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higher Operations and maintenance expense primarily attributable to increases in employee-related labor, as well as incentive compensation costs of $3.7 million. These increases were partially offset by reductions in bad debt expense and leak survey and line locating expenses.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higher Net interest deductions primarily due to amounts incurred on higher over-collected PGA balances for Arizona and Nevada when compared to the same period in 2024.</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lower Other income (which is net of other deductions) primarily driven by a $3.0 million decrease in interest income, reflecting a reduction in carrying charges on regulatory account balances, notably a reduction in under-collected PGA balances related to California when compared to the same period in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2025 compared to the same period in 2024, the increase in net income of $18.1 million was primarily due to:</w:t>
      </w:r>
    </w:p>
    <w:p>
      <w:pPr>
        <w:spacing w:after="0" w:line="117" w:lineRule="exact"/>
        <w:rPr>
          <w:sz w:val="20"/>
          <w:szCs w:val="20"/>
          <w:color w:val="auto"/>
        </w:rPr>
      </w:pPr>
    </w:p>
    <w:p>
      <w:pPr>
        <w:jc w:val="both"/>
        <w:ind w:left="660" w:hanging="328"/>
        <w:spacing w:after="0" w:line="258"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$92.3 million higher Operating margin primarily driven by updated rates that better align with Southwest Gas’ cost of service and capital investments across all our territories adding approximately $73.4 million of incremental margin and $9.2 million attributable to customer growth. Customer growth is reflective of approximately 40,000 first-time meter sets added during the last twelve months. Contributing to the increase is also $6.4 million related to the combined impacts of increases in recovery/return associated with regulatory account balances and $5.2 million attributable to the variable interest expense adjustment mechanism in Nevada (for which amortization is recognized in interest expense).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million, or 10%, higher Depreciation and amortization expense reflecting a $710.5 million, or 7%, increase in average gas plant in service since the corresponding third quarter of 2024, in addition to $6.4 million in higher amortization related to regulatory account balances. The increase in plant was attributable to pipeline capacity reinforcement work, franchise requirements, scheduled pipe replacement activities, and new infrastructure.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million higher Net interest deductions primarily due to amounts incurred on higher over-collected PGA balances for Arizona and Nevada when compared to the same period in 2024, as well as the impacts of surcharges/surcredits and deferral activity related to a regulatory mechanism associated with Southwest Gas’ industrial development revenue bonds.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million higher Income tax expense due to an increase in pre-tax income compared to the prior period, the amortization of excess accumulated deferred income taxes, and COLI.</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million higher Operations and maintenance expense primarily attributable to increases in employee-related labor, as well as incentive compensation costs of $5.6 million, higher insurance costs of $3.8 million, and outside services costs. These increases were partially offset by reductions in bad debt expense and leak survey and line locating expenses.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million lower Other income (which is net of other deductions) primarily driven by a $10.3 million decrease in interest income. This decrease was mainly driven by lower carrying charges on regulatory account balances, most notably a reduction in the under-collected PGA balance for California. Additionally, Arizona and Nevada transitioned from net under-collected balances during the beginning of 2024 to over-collected balances as of September 30, 2024 and remained over-collected for the nine month period ended September 30, 2025. Partially offsetting the decrease was a $1.6 million gain on the sale of certain miscellaneous assets.</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higher Taxes other than income taxes due to an increase in property taxes across all of Southwest Gas’ jurisdictions.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Administrative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September 30, 2025 compared to the same period in 2024, the reduction in net loss of $8.5 million was primarily due to:</w:t>
      </w:r>
    </w:p>
    <w:p>
      <w:pPr>
        <w:spacing w:after="0" w:line="117" w:lineRule="exact"/>
        <w:rPr>
          <w:sz w:val="20"/>
          <w:szCs w:val="20"/>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$8.6 million lower Net interest deductions primarily driven by the repayment of the $550 million term loan ($225 million outstanding as of June 30, 2025) in August of 2025 (see </w:t>
      </w:r>
      <w:r>
        <w:rPr>
          <w:rFonts w:ascii="Times New Roman" w:cs="Times New Roman" w:eastAsia="Times New Roman" w:hAnsi="Times New Roman"/>
          <w:sz w:val="18"/>
          <w:szCs w:val="18"/>
          <w:b w:val="1"/>
          <w:bCs w:val="1"/>
          <w:color w:val="auto"/>
        </w:rPr>
        <w:t>Note 4 – Debt)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2025 compared to the same period in 2024, the reduction in net loss of $12.7 million was primarily due to:</w:t>
      </w:r>
    </w:p>
    <w:p>
      <w:pPr>
        <w:spacing w:after="0" w:line="113" w:lineRule="exact"/>
        <w:rPr>
          <w:sz w:val="20"/>
          <w:szCs w:val="20"/>
          <w:color w:val="auto"/>
        </w:rPr>
      </w:pPr>
    </w:p>
    <w:p>
      <w:pPr>
        <w:ind w:left="660" w:hanging="328"/>
        <w:spacing w:after="0" w:line="28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$12.6 million lower Net interest deductions primarily driven by the repayment of the $550 million term loan in June and August of 2025 (see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 – Debt)</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months ended September 30, 2025 compared to the same period in 2024, the increase in net income of $256.8 million was primarily due to:</w:t>
      </w:r>
    </w:p>
    <w:p>
      <w:pPr>
        <w:spacing w:after="0" w:line="117"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$367.4 million gain from Centuri deconsolidation, inclusive of a $230.4 million remeasurement gain from adjusting the 30.9% retained interest to fair value as of August 11, 2025. This interest was later sold on September 5, 2025 as described below.</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$77.3 million higher income tax expense primarily related to the gain on deconsolidation of Centuri.</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 million reduction in Centuri’s pre-tax income attributable to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loss from the sale of the Company’s 30.9% retained interest on September 5, 2025.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higher Centuri separation related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2025 compared to the same period in 2024, the increase in net income of $234.2 million was primarily due to:</w:t>
      </w:r>
    </w:p>
    <w:p>
      <w:pPr>
        <w:spacing w:after="0" w:line="117"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$367.4 million gain from Centuri deconsolidation, inclusive of a $230.4 million remeasurement gain from adjusting the 30.9% retained interest to fair value as of August 11, 2025. This interest was later sold on September 5, 2025 as described below.</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reduction in Centuri’s pre-tax loss attributable to the Company.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7" w:lineRule="exact"/>
        <w:rPr>
          <w:sz w:val="20"/>
          <w:szCs w:val="20"/>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$125.5 million higher income tax expense primarily related to the gain on deconsolidation of Centuri and federal and certain state income tax deconsolidation.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loss from the sale of the Company’s 30.9% retained interest on September 5,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Rates and Regulatory Proceedings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Southwest Gas is subject to the regulation of the ACC, the PUCN, and the CPUC, and two of Southwest Gas’ subsidiaries are subject to regulation by the FERC.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Arizona Jurisdiction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Arizona General Rate Case. </w:t>
      </w:r>
      <w:r>
        <w:rPr>
          <w:rFonts w:ascii="Times New Roman" w:cs="Times New Roman" w:eastAsia="Times New Roman" w:hAnsi="Times New Roman"/>
          <w:sz w:val="18"/>
          <w:szCs w:val="18"/>
          <w:color w:val="auto"/>
        </w:rPr>
        <w:t>Southwest Gas filed its 2024 Arizona rate case application in February 2024, proposing an increase in revenue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$126 million and a return on common equity of 10.15%, relative to a 50% target equity ratio, and a proposed twelve-month post-test year adjustment for non-revenue producing plant to reflect the continued significant capital investments in the state and to update rates to more closely align with Southwest Gas’ current level of operations and maintenance expense. The ACC’s final decision in March 2025 authorized an overall annual rate increase of approximately $80.2 million, and a return on common equity of 9.84% relative to a 48.5% equity ratio. Southwest Gas’ proposals for the continuation of full revenue decoupling under the DCA mechanism and a property tax tracking mechanism were approved, but the proposed UGCE mechanism to address timelier recovery of the purchased gas cost portion of uncollectible customer accounts following write-off was ultimately withdrawn in favor of the historical regulatory treatment for uncollectible accounts and related expense. The legacy COYL program was discontinued; however, an application was filed requesting recovery of the associated outstanding revenue requirement of approximately $5.2 million for work through March 2025. Recovery of the outstanding COYL revenue requirement over three years, as requested, was approved by the ACC in September 2025. Rates associated with the ACC’s decision became effective in March 2025, commensurate with the timing of the rate case order.</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Initially included as part of the rate case application, Southwest Gas proposed the establishment of the SIM, a capital tracker designed to support non-revenue producing code and regulatory-related infrastructure replacements in Arizona, which was subsequently bifurcated from the rate case application. A settlement agreement supporting implementation of the SIM was reached with the majority of the parties, including a SIM surcharge effective April 1 each year subject to refund, to recover the</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requirement associated with eligible plant placed in service by December 31 of the prior calendar year. The settlement considered by the ACC included a surcharge cap of $0.02 per therm, which represented approximately $150 million of annual SIM-related investment. In July, the ACC modified the settlement to limit SIM-related investments to $50 million annually. Other key provisions of the settlement remain unchanged.</w:t>
      </w:r>
    </w:p>
    <w:p>
      <w:pPr>
        <w:spacing w:after="0" w:line="6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Delivery Charge Adjustment. </w:t>
      </w:r>
      <w:r>
        <w:rPr>
          <w:rFonts w:ascii="Times New Roman" w:cs="Times New Roman" w:eastAsia="Times New Roman" w:hAnsi="Times New Roman"/>
          <w:sz w:val="18"/>
          <w:szCs w:val="18"/>
          <w:color w:val="auto"/>
        </w:rPr>
        <w:t>The DCA, or Arizona decoupling mechanism, as noted above, includes a filing each April, which along with other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contemplates a rate to return/recover the over- or under-collected margin tracker (decoupling mechanism) balance. The most recent filing was made in April 2025 to request a rate to address the under-collected balance of $40.7 million existing as of March 31, 2025. In August, the ACC approved the application, as filed, to recover the under-collected balance of approximately $40.7 million.</w:t>
      </w:r>
    </w:p>
    <w:p>
      <w:pPr>
        <w:spacing w:after="0" w:line="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Reform. </w:t>
      </w:r>
      <w:r>
        <w:rPr>
          <w:rFonts w:ascii="Times New Roman" w:cs="Times New Roman" w:eastAsia="Times New Roman" w:hAnsi="Times New Roman"/>
          <w:sz w:val="18"/>
          <w:szCs w:val="18"/>
          <w:color w:val="auto"/>
        </w:rPr>
        <w:t>A TEAM was approved in Southwest Gas’ 2019 general rate case to timely recognize tax rate changes resulting from federal or state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legislation following the TEAM implementation. In addition, the TEAM tracks and returns/recovers the revenue requirement impact of changes in amortization of EADIT, including that which resulted from 2017 U.S. federal tax reform, compared to the amount authorized in the most recently concluded general rate case. Following the inaugural surcredit rate establishment under the TEAM mechanism in December 2022, Southwest Gas filed subsequent TEAM rate applications, including a recent filing, which proposed to update the TEAM surcharge to recover approximately $5.2 million resulting from changes related to the amortization of EADIT. The proposed surcharge rate was approved and became effective June 1, 2025.</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On January 27, 2025, Southwest Gas filed a request to increase the GCBA adjustment to allow for a greater credit rate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implemented more quickly in order to facilitate the return of the existing over-collected balance. Typical adjustments authorized by previous decisions limit the increase in the GCBA rate to $0.01 per month. The ACC approved Southwest Gas’ recent request to implement a credit rate of $0.08138 per therm effective April 1, 2025, which is expected to be in place for approximately one year and will terminate when the GCBA balance is reduced to less than $10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Jurisdiction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Nevada General Rate Case</w:t>
      </w:r>
      <w:r>
        <w:rPr>
          <w:rFonts w:ascii="Times New Roman" w:cs="Times New Roman" w:eastAsia="Times New Roman" w:hAnsi="Times New Roman"/>
          <w:sz w:val="18"/>
          <w:szCs w:val="18"/>
          <w:color w:val="auto"/>
        </w:rPr>
        <w:t>. Southwest Gas filed its most recent general rate case in September 2023, updated with a certification filing primarily for plant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placed in service, and incremental annual leak survey costs, through November 2023. Those updates resulted in an updated overall request of approximately $74 million. The PUCN issued a decision approving an annual increase in revenues of $59 million, approving the earlier proposed settlement, and authorizing a return on common equity of 9.5%, including the use of a hypothetical capital structure of 50% debt and 50% equity. Included in the settled items were: a continuation of full revenue decoupling; authority to continue tracking incremental annual leak survey costs in a regulatory asset; and refreshed depreciation rates somewhat lower than those proposed. New rates became effective in April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Revenues Adjustment. </w:t>
      </w:r>
      <w:r>
        <w:rPr>
          <w:rFonts w:ascii="Times New Roman" w:cs="Times New Roman" w:eastAsia="Times New Roman" w:hAnsi="Times New Roman"/>
          <w:sz w:val="18"/>
          <w:szCs w:val="18"/>
          <w:color w:val="auto"/>
        </w:rPr>
        <w:t>The GRA, or Nevada decoupling mechanism, was affirmed as part of Southwest Gas’ most recently concluded general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and adjustments are included in the ARA filings intended to update rates to recover/return amounts associated with various regulatory mechanisms, including the GRA. Recovery of rates and adjustments thereto as part of the ARA primarily impact cash flows, but not net income overall. Rates for the GRA and other regulatory mechanisms relating to the November 2024 ARA filing, associated with balances as of September 30, 2024, became effective July 1, 2025.</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Line Locate Activity Expenses Application. </w:t>
      </w:r>
      <w:r>
        <w:rPr>
          <w:rFonts w:ascii="Times New Roman" w:cs="Times New Roman" w:eastAsia="Times New Roman" w:hAnsi="Times New Roman"/>
          <w:sz w:val="18"/>
          <w:szCs w:val="18"/>
          <w:color w:val="auto"/>
        </w:rPr>
        <w:t>Southwest Gas filed an application with the PUCN for authority to establish regulatory accounting treatment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 locate activity expenses, allowing Southwest Gas to track the actual level of line locate costs in operation and maintenance expense and to record, in a regulatory asset or liability account, the difference between amounts incurred and the level established in the most recent general rate case. In July 2025, the PUCN approved regulatory accounting treatment of the line locate activity expenses, effective January 1, 2025. The proposal did not include carrying charges on the regulatory account balance in order to focus solely on stemming the financial attrition suffered in between rate cases related to this work. Amounts deferred in the regulatory asset will be considered in the next general rate case, where authority to continue regulatory accounting treatment must be requested.</w:t>
      </w:r>
    </w:p>
    <w:p>
      <w:pPr>
        <w:spacing w:after="0" w:line="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i w:val="1"/>
          <w:iCs w:val="1"/>
          <w:color w:val="auto"/>
        </w:rPr>
        <w:t>DEAA Modification</w:t>
      </w:r>
      <w:r>
        <w:rPr>
          <w:rFonts w:ascii="Times New Roman" w:cs="Times New Roman" w:eastAsia="Times New Roman" w:hAnsi="Times New Roman"/>
          <w:sz w:val="18"/>
          <w:szCs w:val="18"/>
          <w:color w:val="auto"/>
        </w:rPr>
        <w:t>. Southwest Gas filed an application with the PUCN for approval to adjust the DEAA rates in excess of the maximum allowable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2.5 cents per therm contemplated by the Nevada Revised Statutes given the significant over-collected balances of the PGA in both southern</w:t>
      </w:r>
    </w:p>
    <w:p>
      <w:pPr>
        <w:jc w:val="both"/>
        <w:spacing w:after="0" w:line="255" w:lineRule="auto"/>
        <w:rPr>
          <w:sz w:val="20"/>
          <w:szCs w:val="20"/>
          <w:color w:val="auto"/>
        </w:rPr>
      </w:pPr>
      <w:r>
        <w:rPr>
          <w:rFonts w:ascii="Times New Roman" w:cs="Times New Roman" w:eastAsia="Times New Roman" w:hAnsi="Times New Roman"/>
          <w:sz w:val="18"/>
          <w:szCs w:val="18"/>
          <w:color w:val="auto"/>
        </w:rPr>
        <w:t>and northern Nevada. A stipulation was reached with the parties and approved by the PUCN providing for the implementation of a DEAA credit of $0.20000 per therm applicable to southern Nevada customers and a credit of $0.25000 per therm applicable to northern Nevada customers effective July 1, 2025. The October 1, 2025 quarterly adjustment was calculated consistent with the statutory cap range resulting in an increased credit rate of $0.22500 in southern Nevada and $0.27500 in northern Nevada. The projected PGA balance for southern Nevada at November 30, 2025 is anticipated to be an over-collection of approximately $206 million and in northern Nevada the balance is anticipated to be an over-collection of approximately $41 million at November 30, 2025. These amounts represent reductions from the existing June 30, 2025 over-collected balances of $229.4 million and $53.5 million for southern and northern Nevada,</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This modification is expected to impact near-term liquidity at Southwest Gas when compared to earlier projections over 2025-2026 while modestly reducing interest expense on a net basis.</w:t>
      </w:r>
    </w:p>
    <w:p>
      <w:pPr>
        <w:spacing w:after="0" w:line="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Resource Plan</w:t>
      </w:r>
      <w:r>
        <w:rPr>
          <w:rFonts w:ascii="Times New Roman" w:cs="Times New Roman" w:eastAsia="Times New Roman" w:hAnsi="Times New Roman"/>
          <w:sz w:val="18"/>
          <w:szCs w:val="18"/>
          <w:color w:val="auto"/>
        </w:rPr>
        <w:t>. In September 2025, Southwest Gas filed an application seeking approval of its first triennial resource plan, required by October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SB 281 (2023). The application seeks approval of certain significant operational or capital requirements, as defined by SB 281, during the three-year action plan period, including two single extension facilities projects in southern Nevada designed to serve more than 2,000 customers, safety-related and system integrity management investments in southern and northern Nevada, and a proposal to commence a vintage 1984/1985 pipe replacement program in southern Nevada. The estimated capital investment associated with these programs is approximately $208 million over the three-year action plan period. The application also seeks approval of an approximate $5 million investment over the action plan period in two new safety-related programs and includes a request to establish regulatory accounting treatment for each program. The natural gas alarm pilot program proposes the purchase and installation of approximately 10,000 natural gas alarms in high occupancy facilities across Southwest Gas’ southern and northern Nevada service territories and the meter protection program proposes the purchase and installation of meter snow shelters to enhance the protection of existing meters in heavy snow load areas in Southwest Gas’ northern Nevada service territory around Lake Tahoe. Southwest Gas is seeking approval to extend the currently authorized COYL replacement program, including the annual statewide capital investment amount of $5 million, and associated regulatory accounting treatment beyond the current program sunset date of July 30, 2027, through the end of 2028. Also included in the application is a request for approval of Southwest Gas’ customer demand forecasting methodology for the applicable three-year action plan period. With respect to gas resources, Southwest Gas requested modification of its currently authorized price cap of $14/dekatherm to $25/dekatherm for RNG purchases to better align with evolving RNG market conditions and to extend its current contract term length and purchasing authority for RNG beyond the currently approved date of December 31, 2029. The application also requests authority to purchase responsibly sourced gas in the form of carbon capture and storage-enabled natural gas for incorporation into Southwest Gas’ gas supply portfolio to meet up to 5% of its normal weather demand in northern and southern Nevada. Southwest Gas also seeks approval of a demand-side management plan and proposed activities and programs, with a total statewide budget of $9.8 million over the three-year action plan period, to promote energy efficiency and conservation. Southwest Gas expects a decision in April 2026.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Jurisdiction</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California General Rate Case. </w:t>
      </w:r>
      <w:r>
        <w:rPr>
          <w:rFonts w:ascii="Times New Roman" w:cs="Times New Roman" w:eastAsia="Times New Roman" w:hAnsi="Times New Roman"/>
          <w:sz w:val="18"/>
          <w:szCs w:val="18"/>
          <w:color w:val="auto"/>
        </w:rPr>
        <w:t>Southwest Gas filed its most recent general rate case in September 2024 related to a future test year (2026), originally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proposing a statewide revenue increase of approximately $49 million. Southwest Gas later updated its request to $43.7 million through supplemental testimony, requesting a revised revenue increase of $36.6 million for the southern California rate jurisdiction, a decrease of $2.8 million for the northern California rate jurisdiction, and an increase of $9.8 million for the South Lake Tahoe rate jurisdiction. The request is based on a capital structure consisting of 50% long-term debt and 50% common equity with a requested return on common equity of 11.35%, a modest increase compared to the 11.16% currently authorized. A continuation of Southwest Gas’ 2.75% PTY margin attrition adjustment for attrition years 2027 – 2030 is included, as well as continued use of the automatic trigger mechanism in lieu of annual cost of capital filings. Southwest Gas’ filing also includes a risk-based decision-making framework, proposing the continuation of the targeted pipe replacement program, the meter protection program, and COYL Program, along with the addition of a new annual leak survey program, collectively, under the IRRAM umbrella. Authority to establish a damage prevention cost balancing account to record and recover (or return) certain costs associated with damage prevention expenses, specifically those related to line locating activities, was also requested. Consolidation of Southwest Gas’ northern California and South Lake Tahoe rate jurisdictions into a single rate-making jurisdiction was also proposed. The Public Advocate's Office (Cal Advocates) filed direct testimony April 4, 2025 recommending a statewide revenue increase of approximately $26 million based on a capital structure consisting of 48% common equity and 52% long-term debt, as well as support for the continuation of the 2.75% PTY margin attrition adjustment as well as the automatic trigger mechanism. Cal Advocates also supported Southwest Gas’ proposed infrastructure investments under the IRRAM, though the level of overall investment was slightly lower than the amount proposed by Southwest Gas. As a result of constructive settlement discussions, Southwest Gas and Cal Advocates successfully reached a partial settlement and agreed to litigate the outstanding issues, limited to capital structure, return on equity and the resultant overall rate of return. The limited-issue hearing was held on July 29, 2025. The all-party partial settlement filed in September 2025 included an agreed-to revenue increase of $39.5 million, before consideration of the litigated capital structure and cost of capital issues. Southwest Gas anticipates a final decision in the fourth quarter of 2025, and new rates are expected to be effective in January 2026. The CPUC granted Southwest Gas’ motion seeking authority to establish a general rate case memorandum account effective January 1, 2026 through the effective date of the CPUC’s final decision in the event the decision is issued after January 1, 2026. This will allow Southwest Gas to track changes in the revenue requirement beginning January 1, 2026.</w:t>
      </w:r>
    </w:p>
    <w:p>
      <w:pPr>
        <w:spacing w:after="0" w:line="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Attrition Filing. </w:t>
      </w:r>
      <w:r>
        <w:rPr>
          <w:rFonts w:ascii="Times New Roman" w:cs="Times New Roman" w:eastAsia="Times New Roman" w:hAnsi="Times New Roman"/>
          <w:sz w:val="18"/>
          <w:szCs w:val="18"/>
          <w:color w:val="auto"/>
        </w:rPr>
        <w:t>Following the 2021 implementation of rates approved as part of the previous general rate case, the continuation of annual PTY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attrition increases of 2.75% began in January 2022. The most recent annual margin attrition</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increase was also inclusive of adjustments related to the amortization of EADIT. The cumulative impact resulted in an annual increase of $7.3 million effective January 2025 for Southwest Gas’ combined southern California, northern California, and South Lake Tahoe rate jurisdictions. The PTY increase of $3.6 million associated with the North Lake Tahoe Lateral revenue requirement became effective February 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Jurisdiction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General Rate Case. </w:t>
      </w:r>
      <w:r>
        <w:rPr>
          <w:rFonts w:ascii="Times New Roman" w:cs="Times New Roman" w:eastAsia="Times New Roman" w:hAnsi="Times New Roman"/>
          <w:sz w:val="18"/>
          <w:szCs w:val="18"/>
          <w:color w:val="auto"/>
        </w:rPr>
        <w:t>Great Basin, a wholly owned subsidiary of Southwest Gas, filed a notice of a change in rates (pursuant to applicable regulations)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6, 2024, requesting that rates for its natural gas service subject to the filing be made effective April 6, 2024. The FERC, however, suspended the case for a five-month period, which allowed rates to go into effect, subject to refund, on September 6, 2024. The filing included a request to continue a term-differentiated rate structure, which was adopted as part of Great Basin’s previous general rate case, to provide an overall annual revenue increase of approximately $13 million, and a return on equity of 11.95% and a capital structure of 50% long-term debt and 50% common equity. A primary driver of the increase was approximately $99 million of capital investments, much of which was placed in service by the end of the August 31, 2024 test year. An all-party settlement was reached recommending approval of a $9.6 million revenue increase based on a 9.76% pretax rate of return. Rate base increased to approximately $191 million, a 41% increase over the previously authorized $135.5 million. The settlement was filed with the FERC for final consideration in December 2024, and a Letter Order was issued in March 2025, approving the uncontested settlement. Since no party requested reconsideration, the Letter Order became effective April 2, 2025 and refund amounts in excess of the base tariff rates established in the settlement were issued timely.</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Potential 2028 Great Basin Expansion Project. </w:t>
      </w:r>
      <w:r>
        <w:rPr>
          <w:rFonts w:ascii="Times New Roman" w:cs="Times New Roman" w:eastAsia="Times New Roman" w:hAnsi="Times New Roman"/>
          <w:sz w:val="18"/>
          <w:szCs w:val="18"/>
          <w:color w:val="auto"/>
        </w:rPr>
        <w:t>In response to inquiries related to available capacity and changing market needs, Great Basin posted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Binding Open Season for a 2028 system expansion. The Binding Open Season, initially scheduled from January 28, 2025 through April 30, 2025 to determine the level of interest of existing and potential shippers for new or additional firm transportation service, was extended through June 2025 to allow for consideration of alternative in-service date requests as part of the bids, and resulted in a potential incremental capacity of up to ~1.76 Bcf of demand per day. Precedent agreements have been tendered to the potential shippers and the level of commitment for the project is anticipated to be determined in the fourth quarter of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PGA Filings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rate schedules in all of Southwest Gas’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Gas result in over- or under-collections. Balances are recovered from, or refunded to, customers on an ongoing basis with interest. As of September 30, 2025, over-collections in Southwest Gas’ Arizona and Nevada service territories resulted in a liability of approximately $356 million and under-collections in California resulted in an asset balance of approximately $99,000 on the Company’s and Southwest Gas’ Condensed Consolidated Balance Sheets. The over-collected balances in the table below reflect the impacts related to specific recovery rates under existing mechanisms, which have exceeded the cost of recent gas supply purchases by Southwest Gas.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Filings to change rates in accordance with PGA clauses are subject to audit by state regulatory commission staffs. The operation of the mechanism in California is typically the most responsive to changes in gas supply costs, and maximum rate adjustments for the earlier build-up (positive or negative) apply to Nevada and Arizona; however, refer to the </w:t>
      </w:r>
      <w:r>
        <w:rPr>
          <w:rFonts w:ascii="Times New Roman" w:cs="Times New Roman" w:eastAsia="Times New Roman" w:hAnsi="Times New Roman"/>
          <w:sz w:val="18"/>
          <w:szCs w:val="18"/>
          <w:i w:val="1"/>
          <w:iCs w:val="1"/>
          <w:color w:val="auto"/>
        </w:rPr>
        <w:t>PGA Modification</w:t>
      </w:r>
      <w:r>
        <w:rPr>
          <w:rFonts w:ascii="Times New Roman" w:cs="Times New Roman" w:eastAsia="Times New Roman" w:hAnsi="Times New Roman"/>
          <w:sz w:val="18"/>
          <w:szCs w:val="18"/>
          <w:color w:val="auto"/>
        </w:rPr>
        <w:t xml:space="preserve"> discussion above related to Arizona and the </w:t>
      </w:r>
      <w:r>
        <w:rPr>
          <w:rFonts w:ascii="Times New Roman" w:cs="Times New Roman" w:eastAsia="Times New Roman" w:hAnsi="Times New Roman"/>
          <w:sz w:val="18"/>
          <w:szCs w:val="18"/>
          <w:i w:val="1"/>
          <w:iCs w:val="1"/>
          <w:color w:val="auto"/>
        </w:rPr>
        <w:t>DEAA Modification</w:t>
      </w:r>
      <w:r>
        <w:rPr>
          <w:rFonts w:ascii="Times New Roman" w:cs="Times New Roman" w:eastAsia="Times New Roman" w:hAnsi="Times New Roman"/>
          <w:sz w:val="18"/>
          <w:szCs w:val="18"/>
          <w:color w:val="auto"/>
        </w:rPr>
        <w:t xml:space="preserve"> in Nevada.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Southwest Gas’ outstanding PGA, including accrued purchased gas costs,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 of dollars)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September 30, 2025</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(36,187)</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(186,684)</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40" w:type="dxa"/>
            <w:vAlign w:val="bottom"/>
          </w:tcPr>
          <w:p>
            <w:pPr>
              <w:spacing w:after="0"/>
              <w:rPr>
                <w:sz w:val="19"/>
                <w:szCs w:val="19"/>
                <w:color w:val="auto"/>
              </w:rPr>
            </w:pPr>
          </w:p>
        </w:tc>
      </w:tr>
      <w:tr>
        <w:trPr>
          <w:trHeight w:val="223"/>
        </w:trPr>
        <w:tc>
          <w:tcPr>
            <w:tcW w:w="46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(356,359)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(213,172)</w:t>
            </w:r>
          </w:p>
        </w:tc>
        <w:tc>
          <w:tcPr>
            <w:tcW w:w="4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04"/>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464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Resources and Liquidity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cash on hand and cash flows from operations have provided a substantial portion of cash used in investing activities (primarily for capital expenditures and property additions). In recent years, Southwest Gas has undertaken substantial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before cash reserves built up at the utility in more recent periods, including from collections under the PGA mechanisms. Southwest Gas Holdings and Southwest Gas’ capitalization strategy is to maintain an appropriate balance of equity and debt to preserve investment-grade credit ratings, which help minimize interest costs. Investment-grade credit ratings have been maintained by Southwest Gas Holdings and Southwest Gas. The only changes to Southwest Gas Holdings’ or Southwest Gas’ ratings by Standard &amp; Poor’s Ratings Services, Moody’s Investors Service, or Fitch Ratings from those included in the Annual Report on Form 10-K for the year ended December 31, 2024, were as follows:</w:t>
      </w:r>
    </w:p>
    <w:p>
      <w:pPr>
        <w:spacing w:after="0" w:line="8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 Ratings adjusted its Issuer ratings outlook for Southwest Gas Holdings’ from Negative to Stable in August 2025.</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&amp; Poor’s Ratings Services adjusted its Issuer rating from BBB- to BBB+ and Outlook from Positive Outlook to Stable Outlook for Southwest Gas Holdings and Senior unsecured long-term debt rating from BBB to BBB+ and Outlook from Positive Outlook to Stable Outlook for Southwest Gas in September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consolidated operating activities of continuing operations decreased $553.3 million in the first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2025 as compared to the same period of 2024. The decrease was primarily driven by the substantial reduction of collection of previously deferred purchased gas costs for Southwest Gas. Recovery rates were in place to collect the earlier build-up of PGA balances, which are collectively now in a liability position. The remaining difference reflects the impacts of changes in other components of working capital overall.</w:t>
      </w:r>
    </w:p>
    <w:p>
      <w:pPr>
        <w:spacing w:after="0" w:line="7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flows used in investing activities of continuing operations decreased $66.5 million in the first nine months of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of 2024. The decrease was driven by reduced outflows for capital expenditures and property additions in the first nine months of 2025 compared to the same period of 2024, partially offset by a reduction in proceeds received from the sale of other property as compared to 2024.</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Cash flows used in consolidated financing activities of continuing operations increased $705.5 million in the first nine months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as compared to the same period of 2024. The increase included payment in full on Southwest Gas Holdings’ term loan of $550.0 million and $130.0 million (net of borrowings) paydown on its revolving credit facility utilizing proceeds from the Company’s secondary public offerings and private placement sales of the Company’s Centuri stock of $1.3 billion. The remaining difference was primarily due to the issuance of Company common stock.</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administrative expenses/outflows for Southwest Gas Holdings in the first nine months of 2025 overall primarily include interest paid on outstanding borrowings.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capital requirements and resources of the Company generally are determined independently at the segment level. Our Natural Gas Distribution segment is generally responsible for securing its own debt financing sources. However, Southwest Gas Holdings may raise funds through equity issuances or other external financing sources in support of our Natural Gas Distribution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11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Cash Flows. </w:t>
      </w:r>
      <w:r>
        <w:rPr>
          <w:rFonts w:ascii="Times New Roman" w:cs="Times New Roman" w:eastAsia="Times New Roman" w:hAnsi="Times New Roman"/>
          <w:sz w:val="18"/>
          <w:szCs w:val="18"/>
          <w:color w:val="auto"/>
        </w:rPr>
        <w:t>Cash flows provided by operating activities decreased approximately $568.1 million in the first nine months of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of 2024 primarily attributable to the substantial reduction in collection of deferred purchased gas costs (as discussed above), in addition to reflecting cash flows from other working capital changes overall.</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Cash used in investing activities decreased $66.0 million in the first nine months of 2025 as compared to the same period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Outflows for capital expenditures decreased by $73.4 million between periods, partially offset by greater inflows from the sale of property in 2024 compared to 2025. See also </w:t>
      </w:r>
      <w:r>
        <w:rPr>
          <w:rFonts w:ascii="Times New Roman" w:cs="Times New Roman" w:eastAsia="Times New Roman" w:hAnsi="Times New Roman"/>
          <w:sz w:val="18"/>
          <w:szCs w:val="18"/>
          <w:i w:val="1"/>
          <w:iCs w:val="1"/>
          <w:color w:val="auto"/>
        </w:rPr>
        <w:t>Natural Gas Distribution Segment Capital Expenditures, Debt Maturities, and Financing</w:t>
      </w:r>
      <w:r>
        <w:rPr>
          <w:rFonts w:ascii="Times New Roman" w:cs="Times New Roman" w:eastAsia="Times New Roman" w:hAnsi="Times New Roman"/>
          <w:sz w:val="18"/>
          <w:szCs w:val="18"/>
          <w:color w:val="auto"/>
        </w:rPr>
        <w:t xml:space="preserve"> below.</w:t>
      </w:r>
    </w:p>
    <w:p>
      <w:pPr>
        <w:spacing w:after="0" w:line="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Net cash used in financing activities decreased $42.5 million in the first nine months of 2025 as compared to the same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primarily due to a decrease in dividends paid between periods.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Natural Gas Distribution Segment Capital Expenditures, Debt Maturities, and Financing</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nine-month period ended September 30, 2025, capital expenditures for the Natural Gas Distribution segment were $570.4 million. These expenditures are associated with new construction and other general plant additions, in addition to the replacement of existing transmission and distribution pipeline facilities to fortify system integrity and reliability.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Management estimates capital expenditures during the three-year period ending December 31, 2027 will be approximately $2.6 billion. Of this amount, approximately $880 million is expected to be incurred during calendar year 2025. Southwest Gas plans to continue to request regulatory support to undertake projects, or to accelerate projects as necessary for the improvement of system flexibility and reliability, or to expand, where relevant, to unserved or underserved areas. Southwest Gas may expand existing, or initiate new, programs. Significant replacement activities are expected to continue well beyond the next few years. See also </w:t>
      </w:r>
      <w:r>
        <w:rPr>
          <w:rFonts w:ascii="Times New Roman" w:cs="Times New Roman" w:eastAsia="Times New Roman" w:hAnsi="Times New Roman"/>
          <w:sz w:val="18"/>
          <w:szCs w:val="18"/>
          <w:i w:val="1"/>
          <w:iCs w:val="1"/>
          <w:color w:val="auto"/>
        </w:rPr>
        <w:t>Rates and Regulatory Proceedings</w:t>
      </w:r>
      <w:r>
        <w:rPr>
          <w:rFonts w:ascii="Times New Roman" w:cs="Times New Roman" w:eastAsia="Times New Roman" w:hAnsi="Times New Roman"/>
          <w:sz w:val="18"/>
          <w:szCs w:val="18"/>
          <w:color w:val="auto"/>
        </w:rPr>
        <w:t>. During that same three-year period, cash flows from operating activities of Southwest Gas are expected to provide approximately 74% of the funding for gas operations of Southwest Gas and total capital expenditures and dividend requirements. Any additional cash requirements, including construction-related, and any paydown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regulatory mechanisms and programs, maturities of long-term debt instruments, as well as growth levels in Southwest Gas’ service areas and earnings. External financings may include the issuance of debt securities, bank and other short-term borrowings, and other forms of financing. Southwest Gas has $75.0 million of long-term debt maturing in 2026, but no debt maturities in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our payout ratio, and our ability to maintain investment-grade credit ratings and liquidity. The Company has paid dividends on its common stock since 1956. In February 2025, the Board determined to maintain the quarterly dividend at $0.62 per share, effective with the June 2025 payment. Although no assurances can be provided on our future dividend payments, it is anticipated that we will pay a dividend at a level consistent with industry peers.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income tax laws and changes thereto, pension funding requirements, inflation, and the level of earnings. Natural gas prices and related gas cost recovery rates, as well as plant investment, have historically had the most significant impact on liquidity. The series of Centuri separation transactions which culminated with the final disposition of Centuri strengthened the Company’s liquidity position, primarily through the repayment of the $550 million term loan, additional cash on hand, and favorable credit rating adjustment by Standard &amp; Poor’s and issuer ratings outlook by Fitch. Aside from these benefits, the transaction is not expected to have a material ongoing effect on the Company’s future liquidity.</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an interim basis, Southwest Gas defers over- or under-collections of gas costs to PGA balancing accounts. In addition, Southwest Gas uses this mechanism to either refund amounts over-collected or recoup amounts under-collected as compared to the price paid for natural gas during the period since the last PGA rate change went into effect. At September 30, 2025, the PGA balance was an over-collection of $356.4 million and Southwest Gas’ substantial cash balance of $182.0 million will be used to provide refunds to customers over future periods along with its credit facilities. See </w:t>
      </w:r>
      <w:r>
        <w:rPr>
          <w:rFonts w:ascii="Times New Roman" w:cs="Times New Roman" w:eastAsia="Times New Roman" w:hAnsi="Times New Roman"/>
          <w:sz w:val="18"/>
          <w:szCs w:val="18"/>
          <w:b w:val="1"/>
          <w:bCs w:val="1"/>
          <w:color w:val="auto"/>
        </w:rPr>
        <w:t>PGA Filings</w:t>
      </w:r>
      <w:r>
        <w:rPr>
          <w:rFonts w:ascii="Times New Roman" w:cs="Times New Roman" w:eastAsia="Times New Roman" w:hAnsi="Times New Roman"/>
          <w:sz w:val="18"/>
          <w:szCs w:val="18"/>
          <w:color w:val="auto"/>
        </w:rPr>
        <w:t xml:space="preserve"> for more information.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Holdings has a $300 million revolving credit facility that matures in August 2029. This facility is intended for short-term financing needs. At September 30, 2025, there were no borrowings outstanding under this facility. At October 8, 2025 the applicable margin changed from 1.25% to 1.125% for loans bearing interest to SOFR and from 0.250% to 0.125% for loans bearing interest with reference to the alternative base.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2024, Southwest Gas Holdings entered into a $550 million term loan that had been set to mature in July 2025. In June 2025, Southwest Gas Holdings entered into a second amended and restated term loan credit agreement, extending the maturity date to June 2026. Southwest Gas Holdings utilized the proceeds received from the Centuri separation transactions to repay the entire balance as of September 30,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Southwest Gas has a revolving credit facility with a borrowing capacity of $400 million, which is set to expire in August 2029. Southwest Gas designates $150 million of capacity under the facility for long-term borrowing needs and the remaining $250 million for working capital purposes. In June 2025, Southwest Gas amended this revolving credit agreement, which</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among other things, added a swingline loan sub-facility in an aggregate principal amount at any time outstanding not to exceed $30 million. There was no activity on either the long-term or short-term portions of the existing facility during the nine-month period ending September 30, 2025. Additionally, at September 30, 2025, no borrowings were outstanding on either the long-term or short-term portions of the existing facility. The credit facility can be used as necessary to meet liquidity requirements, including temporarily financing under-collected PGA balances, or meeting the refund needs of over-collected balances. The credit facility in place has generally been adequate for Southwest Gas’ working capital needs outside of funds raised through operations and other types of external financing. Any additional cash requirements could include utilization of the credit facility, equity contributions from the Company, and/or other external financing sources.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Southwest Gas has a $50 million commercial paper program. Any issuance under the commercial paper program is supported by Southwest Gas’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September 30, 2025, there were no borrowings outstanding under this program.</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Centuri successfully completed the Centuri IPO. Since the Centuri IPO and through September 5, 2025, the Company sold portions of its interests in Centuri through secondary public offerings and private placements. As of September 30, 2025, the Company completed its divestiture of its ownership in Centuri and, resultantly, no longer retains any governance or consent rights over the actions of Centuri under the Separation Agreement. The Company used the proceeds of $1.3 billion for the repayment of outstanding indebtedness, the third quarter dividends to stockholders, and expects to use the remainder for general corporate purposes including support for future capital investments at Southwest Gas as well as the potential 2028 expansion of Great Basin, and future dividend payments to stockholders that would otherwise be funded by Southwest Gas.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Estimates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there have been no significant changes with regard to the critical accounting policies and estimates disclosed in the MD&amp;A in the Companies’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b w:val="1"/>
          <w:bCs w:val="1"/>
          <w:color w:val="auto"/>
        </w:rPr>
        <w:t>Item 7A. Quantitative and Qualitative Disclosures about Market Risk</w:t>
      </w:r>
      <w:r>
        <w:rPr>
          <w:rFonts w:ascii="Times New Roman" w:cs="Times New Roman" w:eastAsia="Times New Roman" w:hAnsi="Times New Roman"/>
          <w:sz w:val="18"/>
          <w:szCs w:val="18"/>
          <w:color w:val="auto"/>
        </w:rPr>
        <w:t xml:space="preserve"> in the 2024 Annual Report on Form 10-K filed with the SEC. No material changes have occurred related to the disclosures about market risk since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of Southwest Gas Holdings, Inc. and Southwest Gas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most recent evaluation, as of September 30, 2025, management of Southwest Gas Holdings, Inc. and Southwest Gas, including the Chief Executive Officer and Chief Financial Officer, believes the Company’s and Southwest Gas’ disclosure controls and procedures are effective at attaining the level of reasonable assurance noted above.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or Southwest Gas’ internal control over financial reporting (as defined in Rules 13a-15(f) and 15d-15(f) of the Exchange Act) during the third quarter of 2025 that have materially affected, or are likely to materially affect the Company’s internal control over financial reporting.</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Southwest Gas are named as defendants in various legal proceedings. The ultimate dispositions of these proceedings are not presently determinable; however, it is the opinion of management that none of these legal proceedings individually or in the aggregate have had or will have a material adverse impact on the Company’s or Southwest Gas’ financial position or results of operations.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color w:val="auto"/>
        </w:rPr>
        <w:t>As of September 30, 2025, there have been no material changes to the risk factors previously disclosed in response to “Part I - Item1A. ‘Risk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Factors’” in our Annual Report on Form 10-K for the year ended December 31, 2024.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through 3.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MINE SAFETY DISCLOSURES </w:t>
      </w: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5(a) and 5(b). </w:t>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ITEM 5(c). </w:t>
      </w:r>
      <w:r>
        <w:rPr>
          <w:rFonts w:ascii="Times New Roman" w:cs="Times New Roman" w:eastAsia="Times New Roman" w:hAnsi="Times New Roman"/>
          <w:sz w:val="18"/>
          <w:szCs w:val="18"/>
          <w:color w:val="auto"/>
        </w:rPr>
        <w:t>During the fiscal quarter ended September 30, 2025, other than as set forth below, no director or officer (as defined in Rule 16a-1(f)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Act) adopted, modified or terminated a “Rule 10b5-1 trading arrangement” or “non-Rule 10b5-1 trading arrangement,” as those terms are defined under Item 408 of Regulation S-K.</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10, 2025, Justin L. Brown, President of Southwest Gas Corporation, adopted a new Rule 10b5-1 trading arrangement intended to satisfy the affirmative defense conditions of Rule 10b5–1(c) of the Exchange Act. Mr. Brown’s trading arrangement is scheduled to terminate on January 7, 2028, subject to early termination for certain specified events set forth in the trading arrangement. The trading arrangement is intended to permit Mr. Brown to sell up to (i) 75% of the net after-tax shares of common stock to be received as a result of the vesting on January 4, 2026 of an aggregate of up to 6,509.393 restricted stock units (“RSUs”), (ii) 75% of the net after-tax shares of common stock to be received as a result of the vesting on January 4, 2027 of an aggregate of up to 4,011.997 RSUs and (iii) 75% of the net after-tax shares of common stock to be received as a result of the vesting on January 4, 2028 of an aggregate of up to 1,911.622 RSUs. The actual number of net after-tax shares to be received will vary based on the market price of our common stock at the time of settlement.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Brown’s Rule 10b5-1 trading arrangement described above was adopted and precleared in accordance with Southwest Gas Holdings’ Insider Trading Policy and actual sale transactions made pursuant to such trading arrangement will be disclosed publicly in future Exchange Act Section 16 filings with the U.S.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or furnished, as applicable, as part of this report on Form 10-Q:</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200" w:type="dxa"/>
            <w:vAlign w:val="bottom"/>
            <w:gridSpan w:val="9"/>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Underwriting Agreement, dated as of August 7, 2025, by and among Centuri Holdings Inc., Southwest Gas</w:t>
              </w:r>
            </w:hyperlink>
          </w:p>
        </w:tc>
      </w:tr>
      <w:tr>
        <w:trPr>
          <w:trHeight w:val="156"/>
        </w:trPr>
        <w:tc>
          <w:tcPr>
            <w:tcW w:w="1620" w:type="dxa"/>
            <w:vAlign w:val="bottom"/>
          </w:tcPr>
          <w:p>
            <w:pPr>
              <w:spacing w:after="0"/>
              <w:rPr>
                <w:sz w:val="13"/>
                <w:szCs w:val="13"/>
                <w:color w:val="auto"/>
              </w:rPr>
            </w:pPr>
          </w:p>
        </w:tc>
        <w:tc>
          <w:tcPr>
            <w:tcW w:w="81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Holdings, Inc. and J.P. Morgan  Securities  LLC,  as  representative  of  the  underwriters  named  therein.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716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Incorporated by reference to Exhibit 10.1 to Form 8-K dated August 12, 2025. File No. 001-37976.</w:t>
              </w:r>
            </w:hyperlink>
          </w:p>
        </w:tc>
        <w:tc>
          <w:tcPr>
            <w:tcW w:w="1040" w:type="dxa"/>
            <w:vAlign w:val="bottom"/>
            <w:gridSpan w:val="4"/>
          </w:tcPr>
          <w:p>
            <w:pPr>
              <w:spacing w:after="0"/>
              <w:rPr>
                <w:sz w:val="14"/>
                <w:szCs w:val="14"/>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10.2</w:t>
            </w:r>
          </w:p>
        </w:tc>
        <w:tc>
          <w:tcPr>
            <w:tcW w:w="8200" w:type="dxa"/>
            <w:vAlign w:val="bottom"/>
            <w:gridSpan w:val="9"/>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Common Stock Purchase Agreement, dated as of August 6, 2025, by and among Southwest Gas Holdings, Inc.,</w:t>
              </w:r>
            </w:hyperlink>
          </w:p>
        </w:tc>
      </w:tr>
      <w:tr>
        <w:trPr>
          <w:trHeight w:val="156"/>
        </w:trPr>
        <w:tc>
          <w:tcPr>
            <w:tcW w:w="162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Icahn Partners LP and Icahn Partners Master Fund LP. Incorporated by reference to Exhibit 10.2 to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620" w:type="dxa"/>
            <w:vAlign w:val="bottom"/>
          </w:tcPr>
          <w:p>
            <w:pPr>
              <w:spacing w:after="0"/>
              <w:rPr>
                <w:sz w:val="14"/>
                <w:szCs w:val="14"/>
                <w:color w:val="auto"/>
              </w:rPr>
            </w:pPr>
          </w:p>
        </w:tc>
        <w:tc>
          <w:tcPr>
            <w:tcW w:w="8180" w:type="dxa"/>
            <w:vAlign w:val="bottom"/>
            <w:gridSpan w:val="8"/>
          </w:tcPr>
          <w:p>
            <w:pPr>
              <w:spacing w:after="0" w:line="169"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dated August 12, 2025. File No. 001-37976.</w:t>
              </w:r>
            </w:hyperlink>
          </w:p>
        </w:tc>
        <w:tc>
          <w:tcPr>
            <w:tcW w:w="20" w:type="dxa"/>
            <w:vAlign w:val="bottom"/>
          </w:tcPr>
          <w:p>
            <w:pPr>
              <w:spacing w:after="0"/>
              <w:rPr>
                <w:sz w:val="14"/>
                <w:szCs w:val="14"/>
                <w:color w:val="auto"/>
              </w:rPr>
            </w:pPr>
          </w:p>
        </w:tc>
      </w:tr>
      <w:tr>
        <w:trPr>
          <w:trHeight w:val="20"/>
        </w:trPr>
        <w:tc>
          <w:tcPr>
            <w:tcW w:w="16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31.01#</w:t>
            </w:r>
          </w:p>
        </w:tc>
        <w:tc>
          <w:tcPr>
            <w:tcW w:w="4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Holdings, Inc.</w:t>
            </w:r>
          </w:p>
        </w:tc>
        <w:tc>
          <w:tcPr>
            <w:tcW w:w="4080" w:type="dxa"/>
            <w:vAlign w:val="bottom"/>
            <w:gridSpan w:val="5"/>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31.02#</w:t>
            </w:r>
          </w:p>
        </w:tc>
        <w:tc>
          <w:tcPr>
            <w:tcW w:w="3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Section 302 Certifications–Southwest Gas Corporation</w:t>
            </w:r>
          </w:p>
        </w:tc>
        <w:tc>
          <w:tcPr>
            <w:tcW w:w="4220" w:type="dxa"/>
            <w:vAlign w:val="bottom"/>
            <w:gridSpan w:val="6"/>
          </w:tcPr>
          <w:p>
            <w:pPr>
              <w:spacing w:after="0"/>
              <w:rPr>
                <w:sz w:val="22"/>
                <w:szCs w:val="22"/>
                <w:color w:val="auto"/>
              </w:rPr>
            </w:pPr>
          </w:p>
        </w:tc>
      </w:tr>
      <w:tr>
        <w:trPr>
          <w:trHeight w:val="26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32.01#</w:t>
            </w:r>
          </w:p>
        </w:tc>
        <w:tc>
          <w:tcPr>
            <w:tcW w:w="4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Section 906 Certifications–Southwest Gas Holdings, Inc.</w:t>
            </w:r>
          </w:p>
        </w:tc>
        <w:tc>
          <w:tcPr>
            <w:tcW w:w="4080" w:type="dxa"/>
            <w:vAlign w:val="bottom"/>
            <w:gridSpan w:val="5"/>
          </w:tcPr>
          <w:p>
            <w:pPr>
              <w:spacing w:after="0"/>
              <w:rPr>
                <w:sz w:val="22"/>
                <w:szCs w:val="22"/>
                <w:color w:val="auto"/>
              </w:rPr>
            </w:pPr>
          </w:p>
        </w:tc>
      </w:tr>
      <w:tr>
        <w:trPr>
          <w:trHeight w:val="26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32.02#</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Section 906 Certifications–Southwest Gas Corporation</w:t>
            </w:r>
          </w:p>
        </w:tc>
      </w:tr>
      <w:tr>
        <w:trPr>
          <w:trHeight w:val="20"/>
        </w:trPr>
        <w:tc>
          <w:tcPr>
            <w:tcW w:w="162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r>
      <w:tr>
        <w:trPr>
          <w:trHeight w:val="25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Exhibit 101#</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the Quarterly Report on Form 10-Q of Southwest Gas Holdings, Inc. and</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Southwest Gas Corporation for the quarter ended September 30, 2025, were formatted in Inline XBRL</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(Extensible Business Reporting Language): (1) Southwest Gas Holdings, Inc. and Subsidiaries Condensed</w:t>
            </w:r>
          </w:p>
        </w:tc>
      </w:tr>
      <w:tr>
        <w:trPr>
          <w:trHeight w:val="176"/>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Consolidated Balance Sheets, (ii) Southwest Gas Holdings, Inc. and Subsidiaries Condensed Consolidated</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Statements of Income, (iii) Southwest Gas Holdings, Inc. and Subsidiaries Condensed Consolidated Statements</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of Comprehensive Income, (iv) Southwest Gas Holdings, Inc. and Subsidiaries Condensed Consolidated</w:t>
            </w:r>
          </w:p>
        </w:tc>
      </w:tr>
      <w:tr>
        <w:trPr>
          <w:trHeight w:val="176"/>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(v) Southwest Gas Holdings, Inc. and Subsidiaries Condensed Consolidated</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Statements of Equity, (vi) Southwest Gas Corporation and Subsidiaries Condensed Consolidated Balance Sheets,</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(vii) Southwest Gas Corporation and Subsidiaries Condensed Consolidated Statements of Income, (viii)</w:t>
            </w:r>
          </w:p>
        </w:tc>
      </w:tr>
      <w:tr>
        <w:trPr>
          <w:trHeight w:val="176"/>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Comprehensive Income,</w:t>
            </w:r>
          </w:p>
        </w:tc>
      </w:tr>
      <w:tr>
        <w:trPr>
          <w:trHeight w:val="184"/>
        </w:trPr>
        <w:tc>
          <w:tcPr>
            <w:tcW w:w="1620" w:type="dxa"/>
            <w:vAlign w:val="bottom"/>
          </w:tcPr>
          <w:p>
            <w:pPr>
              <w:spacing w:after="0"/>
              <w:rPr>
                <w:sz w:val="16"/>
                <w:szCs w:val="16"/>
                <w:color w:val="auto"/>
              </w:rPr>
            </w:pPr>
          </w:p>
        </w:tc>
        <w:tc>
          <w:tcPr>
            <w:tcW w:w="820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(ix) Southwest Gas Corporation and Subsidiaries Condensed Consolidated Statements of Cash Flows, (x)</w:t>
            </w:r>
          </w:p>
        </w:tc>
      </w:tr>
      <w:tr>
        <w:trPr>
          <w:trHeight w:val="180"/>
        </w:trPr>
        <w:tc>
          <w:tcPr>
            <w:tcW w:w="1620" w:type="dxa"/>
            <w:vAlign w:val="bottom"/>
          </w:tcPr>
          <w:p>
            <w:pPr>
              <w:spacing w:after="0"/>
              <w:rPr>
                <w:sz w:val="15"/>
                <w:szCs w:val="15"/>
                <w:color w:val="auto"/>
              </w:rPr>
            </w:pPr>
          </w:p>
        </w:tc>
        <w:tc>
          <w:tcPr>
            <w:tcW w:w="820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Southwest Gas Corporation and Subsidiaries Condensed Consolidated Statements of Equity. The instance</w:t>
            </w:r>
          </w:p>
        </w:tc>
      </w:tr>
      <w:tr>
        <w:trPr>
          <w:trHeight w:val="176"/>
        </w:trPr>
        <w:tc>
          <w:tcPr>
            <w:tcW w:w="1620" w:type="dxa"/>
            <w:vAlign w:val="bottom"/>
          </w:tcPr>
          <w:p>
            <w:pPr>
              <w:spacing w:after="0"/>
              <w:rPr>
                <w:sz w:val="15"/>
                <w:szCs w:val="15"/>
                <w:color w:val="auto"/>
              </w:rPr>
            </w:pPr>
          </w:p>
        </w:tc>
        <w:tc>
          <w:tcPr>
            <w:tcW w:w="82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its XBRL tags are embedded within the Inline</w:t>
            </w:r>
          </w:p>
        </w:tc>
      </w:tr>
      <w:tr>
        <w:trPr>
          <w:trHeight w:val="234"/>
        </w:trPr>
        <w:tc>
          <w:tcPr>
            <w:tcW w:w="1620" w:type="dxa"/>
            <w:vAlign w:val="bottom"/>
          </w:tcPr>
          <w:p>
            <w:pPr>
              <w:spacing w:after="0"/>
              <w:rPr>
                <w:sz w:val="20"/>
                <w:szCs w:val="20"/>
                <w:color w:val="auto"/>
              </w:rPr>
            </w:pP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29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8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3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SOUTHWEST GAS HOLDINGS, INC.</w:t>
            </w: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September 30, 2025</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2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1602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1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FABIO A. PINEDA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17145</wp:posOffset>
            </wp:positionV>
            <wp:extent cx="2588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Fabio A. Pineda</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25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Holdings, Inc.</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Southwest Gas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5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Southwest Gas Corporation</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2025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Holdings, Inc. (the “Company”) on Form 10-Q for the period ended September 30, 2025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hanging="329"/>
        <w:spacing w:after="0" w:line="282" w:lineRule="auto"/>
        <w:tabs>
          <w:tab w:leader="none" w:pos="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2025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Karen S. Haller</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periodic report of Southwest Gas Corporation on Form 10-Q for the period ended September 30, 2025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95" w:lineRule="exact"/>
        <w:rPr>
          <w:sz w:val="20"/>
          <w:szCs w:val="20"/>
          <w:color w:val="auto"/>
        </w:rPr>
      </w:pPr>
    </w:p>
    <w:p>
      <w:pPr>
        <w:ind w:left="560" w:hanging="309"/>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52"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28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Robert J. Stefani</w:t>
      </w:r>
    </w:p>
    <w:p>
      <w:pPr>
        <w:ind w:left="6780"/>
        <w:spacing w:after="0"/>
        <w:rPr>
          <w:sz w:val="20"/>
          <w:szCs w:val="20"/>
          <w:color w:val="auto"/>
        </w:rPr>
      </w:pPr>
      <w:r>
        <w:rPr>
          <w:rFonts w:ascii="Times New Roman" w:cs="Times New Roman" w:eastAsia="Times New Roman" w:hAnsi="Times New Roman"/>
          <w:sz w:val="18"/>
          <w:szCs w:val="18"/>
          <w:color w:val="auto"/>
        </w:rPr>
        <w:t>Senior Vice President/Chief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1"/>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1"/>
    </w:lvl>
    <w:lvl w:ilvl="1">
      <w:lvlJc w:val="left"/>
      <w:lvlText w:val="(%2)"/>
      <w:numFmt w:val="lowerLetter"/>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56" Type="http://schemas.openxmlformats.org/officeDocument/2006/relationships/hyperlink" Target="https://www.sec.gov/Archives/edgar/data/1692115/000119312525178542/d43113dex101.htm" TargetMode="External"/><Relationship Id="rId57" Type="http://schemas.openxmlformats.org/officeDocument/2006/relationships/hyperlink" Target="https://www.sec.gov/Archives/edgar/data/1692115/000119312525178542/d4311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2025-11-05T07:26:59Z</dcterms:created>
  <dcterms:modified xsi:type="dcterms:W3CDTF">2025-11-05T07:26:59Z</dcterms:modified>
</cp:coreProperties>
</file>