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2"/>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5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color w:val="auto"/>
        </w:rPr>
        <w:t>Southwest Gas Holdings, Inc. Common Stock, $1 Par Value, 71,711,480 shares as of July 26,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July 26, 2024.</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30, 2024</w:t>
            </w:r>
          </w:p>
        </w:tc>
        <w:tc>
          <w:tcPr>
            <w:tcW w:w="160" w:type="dxa"/>
            <w:vAlign w:val="bottom"/>
          </w:tcPr>
          <w:p>
            <w:pPr>
              <w:spacing w:after="0"/>
              <w:rPr>
                <w:sz w:val="18"/>
                <w:szCs w:val="18"/>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99"/>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(2,896,703)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7,788,430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1,234,942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1,266,340</w:t>
            </w:r>
          </w:p>
        </w:tc>
        <w:tc>
          <w:tcPr>
            <w:tcW w:w="0" w:type="dxa"/>
            <w:vAlign w:val="bottom"/>
          </w:tcPr>
          <w:p>
            <w:pPr>
              <w:spacing w:after="0"/>
              <w:rPr>
                <w:sz w:val="1"/>
                <w:szCs w:val="1"/>
                <w:color w:val="auto"/>
              </w:rPr>
            </w:pPr>
          </w:p>
        </w:tc>
      </w:t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886,549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218,832</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1,731,602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1,881,114</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789,729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414,008</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1,230,370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1,204,200</w:t>
            </w:r>
          </w:p>
        </w:tc>
        <w:tc>
          <w:tcPr>
            <w:tcW w:w="0" w:type="dxa"/>
            <w:vAlign w:val="bottom"/>
          </w:tcPr>
          <w:p>
            <w:pPr>
              <w:spacing w:after="0"/>
              <w:rPr>
                <w:sz w:val="1"/>
                <w:szCs w:val="1"/>
                <w:color w:val="auto"/>
              </w:rPr>
            </w:pPr>
          </w:p>
        </w:tc>
      </w:tr>
      <w:tr>
        <w:trPr>
          <w:trHeight w:val="207"/>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11,985,344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$1 par (authorized - 120,000,000 shares;</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73,339</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- 71,709,298 and 71,563,750 shares)</w:t>
            </w:r>
          </w:p>
        </w:tc>
        <w:tc>
          <w:tcPr>
            <w:tcW w:w="24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2,709,674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755,367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3,492,765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174,199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3,666,964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104,667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5,063,577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4,609,838</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8,738,212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8,024,541</w:t>
            </w:r>
          </w:p>
        </w:tc>
        <w:tc>
          <w:tcPr>
            <w:tcW w:w="0" w:type="dxa"/>
            <w:vAlign w:val="bottom"/>
          </w:tcPr>
          <w:p>
            <w:pPr>
              <w:spacing w:after="0"/>
              <w:rPr>
                <w:sz w:val="1"/>
                <w:szCs w:val="1"/>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42,552</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628,500</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58,053</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408,364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522,953</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1,684,847</w:t>
            </w:r>
          </w:p>
        </w:tc>
        <w:tc>
          <w:tcPr>
            <w:tcW w:w="0" w:type="dxa"/>
            <w:vAlign w:val="bottom"/>
          </w:tcPr>
          <w:p>
            <w:pPr>
              <w:spacing w:after="0"/>
              <w:rPr>
                <w:sz w:val="1"/>
                <w:szCs w:val="1"/>
                <w:color w:val="auto"/>
              </w:rPr>
            </w:pPr>
          </w:p>
        </w:tc>
      </w:t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752,997</w:t>
            </w:r>
          </w:p>
        </w:tc>
        <w:tc>
          <w:tcPr>
            <w:tcW w:w="0" w:type="dxa"/>
            <w:vAlign w:val="bottom"/>
          </w:tcPr>
          <w:p>
            <w:pPr>
              <w:spacing w:after="0"/>
              <w:rPr>
                <w:sz w:val="1"/>
                <w:szCs w:val="1"/>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949,511</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2,150,978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2,160,508</w:t>
            </w:r>
          </w:p>
        </w:tc>
        <w:tc>
          <w:tcPr>
            <w:tcW w:w="0" w:type="dxa"/>
            <w:vAlign w:val="bottom"/>
          </w:tcPr>
          <w:p>
            <w:pPr>
              <w:spacing w:after="0"/>
              <w:rPr>
                <w:sz w:val="1"/>
                <w:szCs w:val="1"/>
                <w:color w:val="auto"/>
              </w:rPr>
            </w:pPr>
          </w:p>
        </w:tc>
      </w:tr>
      <w:tr>
        <w:trPr>
          <w:trHeight w:val="23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11,985,344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180"/>
          </w:cols>
          <w:pgMar w:left="320" w:top="257" w:right="399" w:bottom="1440" w:gutter="0" w:footer="0" w:header="0"/>
        </w:sect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60" w:type="dxa"/>
            <w:vAlign w:val="bottom"/>
            <w:gridSpan w:val="2"/>
          </w:tcPr>
          <w:p>
            <w:pPr>
              <w:jc w:val="center"/>
              <w:ind w:left="455"/>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6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6"/>
                <w:szCs w:val="16"/>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1,563,026</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1,437,877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revenues</w:t>
            </w:r>
          </w:p>
        </w:tc>
        <w:tc>
          <w:tcPr>
            <w:tcW w:w="2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805,779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1,459,072</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1,182,168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1,293,645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2,763,124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2,896,949</w:t>
            </w:r>
          </w:p>
        </w:tc>
        <w:tc>
          <w:tcPr>
            <w:tcW w:w="0" w:type="dxa"/>
            <w:vAlign w:val="bottom"/>
          </w:tcPr>
          <w:p>
            <w:pPr>
              <w:spacing w:after="0"/>
              <w:rPr>
                <w:sz w:val="1"/>
                <w:szCs w:val="1"/>
                <w:color w:val="auto"/>
              </w:rPr>
            </w:pPr>
          </w:p>
        </w:tc>
      </w:tr>
      <w:tr>
        <w:trPr>
          <w:trHeight w:val="19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738,590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277,703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224,225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expenses</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715,717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1,319,397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 impairment and loss on sale</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1,098,947</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1,208,874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2,521,778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2,676,979</w:t>
            </w:r>
          </w:p>
        </w:tc>
        <w:tc>
          <w:tcPr>
            <w:tcW w:w="0" w:type="dxa"/>
            <w:vAlign w:val="bottom"/>
          </w:tcPr>
          <w:p>
            <w:pPr>
              <w:spacing w:after="0"/>
              <w:rPr>
                <w:sz w:val="1"/>
                <w:szCs w:val="1"/>
                <w:color w:val="auto"/>
              </w:rPr>
            </w:pPr>
          </w:p>
        </w:tc>
      </w:tr>
      <w:tr>
        <w:trPr>
          <w:trHeight w:val="212"/>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219,970</w:t>
            </w:r>
          </w:p>
        </w:tc>
        <w:tc>
          <w:tcPr>
            <w:tcW w:w="0" w:type="dxa"/>
            <w:vAlign w:val="bottom"/>
          </w:tcPr>
          <w:p>
            <w:pPr>
              <w:spacing w:after="0"/>
              <w:rPr>
                <w:sz w:val="1"/>
                <w:szCs w:val="1"/>
                <w:color w:val="auto"/>
              </w:rPr>
            </w:pPr>
          </w:p>
        </w:tc>
      </w:tr>
      <w:tr>
        <w:trPr>
          <w:trHeight w:val="193"/>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(146,681)</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2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38,064</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38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(108,617)</w:t>
            </w:r>
          </w:p>
        </w:tc>
        <w:tc>
          <w:tcPr>
            <w:tcW w:w="0" w:type="dxa"/>
            <w:vAlign w:val="bottom"/>
          </w:tcPr>
          <w:p>
            <w:pPr>
              <w:spacing w:after="0"/>
              <w:rPr>
                <w:sz w:val="1"/>
                <w:szCs w:val="1"/>
                <w:color w:val="auto"/>
              </w:rPr>
            </w:pPr>
          </w:p>
        </w:tc>
      </w:tr>
      <w:tr>
        <w:trPr>
          <w:trHeight w:val="207"/>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111,353</w:t>
            </w:r>
          </w:p>
        </w:tc>
        <w:tc>
          <w:tcPr>
            <w:tcW w:w="0" w:type="dxa"/>
            <w:vAlign w:val="bottom"/>
          </w:tcPr>
          <w:p>
            <w:pPr>
              <w:spacing w:after="0"/>
              <w:rPr>
                <w:sz w:val="1"/>
                <w:szCs w:val="1"/>
                <w:color w:val="auto"/>
              </w:rPr>
            </w:pPr>
          </w:p>
        </w:tc>
      </w:tr>
      <w:tr>
        <w:trPr>
          <w:trHeight w:val="21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33,444</w:t>
            </w:r>
          </w:p>
        </w:tc>
        <w:tc>
          <w:tcPr>
            <w:tcW w:w="0" w:type="dxa"/>
            <w:vAlign w:val="bottom"/>
          </w:tcPr>
          <w:p>
            <w:pPr>
              <w:spacing w:after="0"/>
              <w:rPr>
                <w:sz w:val="1"/>
                <w:szCs w:val="1"/>
                <w:color w:val="auto"/>
              </w:rPr>
            </w:pPr>
          </w:p>
        </w:tc>
      </w:tr>
      <w:tr>
        <w:trPr>
          <w:trHeight w:val="207"/>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77,909</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0" w:type="dxa"/>
            <w:vAlign w:val="bottom"/>
          </w:tcPr>
          <w:p>
            <w:pPr>
              <w:spacing w:after="0"/>
              <w:rPr>
                <w:sz w:val="1"/>
                <w:szCs w:val="1"/>
                <w:color w:val="auto"/>
              </w:rPr>
            </w:pPr>
          </w:p>
        </w:tc>
      </w:tr>
      <w:tr>
        <w:trPr>
          <w:trHeight w:val="210"/>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 attributable to Southwest Gas Holdings, Inc.</w:t>
            </w:r>
          </w:p>
        </w:tc>
        <w:tc>
          <w:tcPr>
            <w:tcW w:w="26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106,070</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Southwest Gas Holdings, Inc.:</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20" w:type="dxa"/>
            <w:vAlign w:val="bottom"/>
            <w:gridSpan w:val="4"/>
            <w:vMerge w:val="continue"/>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70,072</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SOUTHWEST GAS CORPORATION</w:t>
            </w:r>
          </w:p>
        </w:tc>
        <w:tc>
          <w:tcPr>
            <w:tcW w:w="16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6"/>
          </w:tcPr>
          <w:p>
            <w:pPr>
              <w:jc w:val="center"/>
              <w:ind w:left="15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10"/>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40" w:type="dxa"/>
            <w:vAlign w:val="bottom"/>
            <w:gridSpan w:val="2"/>
          </w:tcPr>
          <w:p>
            <w:pPr>
              <w:jc w:val="center"/>
              <w:ind w:right="99"/>
              <w:spacing w:after="0"/>
              <w:rPr>
                <w:sz w:val="20"/>
                <w:szCs w:val="20"/>
                <w:color w:val="auto"/>
              </w:rPr>
            </w:pPr>
            <w:r>
              <w:rPr>
                <w:rFonts w:ascii="Times New Roman" w:cs="Times New Roman" w:eastAsia="Times New Roman" w:hAnsi="Times New Roman"/>
                <w:sz w:val="18"/>
                <w:szCs w:val="18"/>
                <w:color w:val="auto"/>
              </w:rPr>
              <w:t>(Thousands of dollars)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140" w:type="dxa"/>
            <w:vAlign w:val="bottom"/>
            <w:gridSpan w:val="2"/>
          </w:tcPr>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40" w:type="dxa"/>
            <w:vAlign w:val="bottom"/>
            <w:gridSpan w:val="4"/>
          </w:tcPr>
          <w:p>
            <w:pPr>
              <w:jc w:val="right"/>
              <w:ind w:right="458"/>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40" w:type="dxa"/>
            <w:vAlign w:val="bottom"/>
            <w:tcBorders>
              <w:bottom w:val="single" w:sz="8" w:color="auto"/>
            </w:tcBorders>
          </w:tcPr>
          <w:p>
            <w:pPr>
              <w:spacing w:after="0"/>
              <w:rPr>
                <w:sz w:val="18"/>
                <w:szCs w:val="18"/>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4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77,909</w:t>
            </w:r>
          </w:p>
        </w:tc>
      </w:tr>
      <w:tr>
        <w:trPr>
          <w:trHeight w:val="193"/>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45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13"/>
        </w:trPr>
        <w:tc>
          <w:tcPr>
            <w:tcW w:w="6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1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2"/>
        </w:trPr>
        <w:tc>
          <w:tcPr>
            <w:tcW w:w="6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jc w:val="center"/>
              <w:ind w:right="173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1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7"/>
        </w:trPr>
        <w:tc>
          <w:tcPr>
            <w:tcW w:w="60" w:type="dxa"/>
            <w:vAlign w:val="bottom"/>
            <w:tcBorders>
              <w:bottom w:val="single" w:sz="8" w:color="CCEEFF"/>
            </w:tcBorders>
          </w:tcPr>
          <w:p>
            <w:pPr>
              <w:spacing w:after="0"/>
              <w:rPr>
                <w:sz w:val="17"/>
                <w:szCs w:val="17"/>
                <w:color w:val="auto"/>
              </w:rPr>
            </w:pPr>
          </w:p>
        </w:tc>
        <w:tc>
          <w:tcPr>
            <w:tcW w:w="4580" w:type="dxa"/>
            <w:vAlign w:val="bottom"/>
            <w:tcBorders>
              <w:bottom w:val="single" w:sz="8" w:color="CCEEFF"/>
            </w:tcBorders>
            <w:gridSpan w:val="3"/>
          </w:tcPr>
          <w:p>
            <w:pPr>
              <w:jc w:val="center"/>
              <w:ind w:right="167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9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w:t>
            </w:r>
          </w:p>
        </w:tc>
      </w:tr>
      <w:tr>
        <w:trPr>
          <w:trHeight w:val="212"/>
        </w:trPr>
        <w:tc>
          <w:tcPr>
            <w:tcW w:w="4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r>
      <w:tr>
        <w:trPr>
          <w:trHeight w:val="207"/>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104,571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80,693</w:t>
            </w:r>
          </w:p>
        </w:tc>
      </w:tr>
      <w:tr>
        <w:trPr>
          <w:trHeight w:val="219"/>
        </w:trPr>
        <w:tc>
          <w:tcPr>
            <w:tcW w:w="6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9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w:t>
            </w:r>
          </w:p>
        </w:tc>
      </w:tr>
      <w:tr>
        <w:trPr>
          <w:trHeight w:val="210"/>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Southwest Gas Holdings, Inc.</w:t>
            </w:r>
          </w:p>
        </w:tc>
        <w:tc>
          <w:tcPr>
            <w:tcW w:w="19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77,573</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7"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June 30, 2024</w:t>
            </w: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Six Months Ended</w:t>
            </w:r>
          </w:p>
        </w:tc>
        <w:tc>
          <w:tcPr>
            <w:tcW w:w="1060" w:type="dxa"/>
            <w:vAlign w:val="bottom"/>
          </w:tcPr>
          <w:p>
            <w:pPr>
              <w:spacing w:after="0"/>
              <w:rPr>
                <w:sz w:val="24"/>
                <w:szCs w:val="24"/>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June 30,</w:t>
            </w:r>
          </w:p>
        </w:tc>
        <w:tc>
          <w:tcPr>
            <w:tcW w:w="106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77,909</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224,225</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Impairment of assets and other charges</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44,186</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61,648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(71,206)</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44,900</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(350,473)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(349,451)</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(134,039)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368,464</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(17,034)</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(32,430)</w:t>
            </w: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850,285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12,186</w:t>
            </w:r>
          </w:p>
        </w:tc>
      </w:tr>
      <w:tr>
        <w:trPr>
          <w:trHeight w:val="199"/>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(444,502)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(438,735)</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sale of business, net of cash sold</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1,050,878</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(8,296)</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(425,887)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607,433</w:t>
            </w: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246,727</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Centuri distribution to redeemable noncontrolling interest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(39,894)</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(85,916)</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1,027,036</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(346,047)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(102,334)</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(157,000)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(1,822,747)</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Centuri initial public offering,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(9,596)</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(545,431)</w:t>
            </w: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Effects of currency translation on cash and cash equivalents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74,486</w:t>
            </w: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included in current assets held for sale at beginning of period</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23,803</w:t>
            </w: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123,078</w:t>
            </w:r>
          </w:p>
        </w:tc>
      </w:tr>
      <w:tr>
        <w:trPr>
          <w:trHeight w:val="207"/>
        </w:trPr>
        <w:tc>
          <w:tcPr>
            <w:tcW w:w="2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599,639</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6"/>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139,373</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136,174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80"/>
          </w:cols>
          <w:pgMar w:left="36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0" w:type="dxa"/>
            <w:vAlign w:val="bottom"/>
          </w:tcPr>
          <w:p>
            <w:pPr>
              <w:spacing w:after="0"/>
              <w:rPr>
                <w:sz w:val="1"/>
                <w:szCs w:val="1"/>
                <w:color w:val="auto"/>
              </w:rPr>
            </w:pPr>
          </w:p>
        </w:tc>
      </w:tr>
      <w:tr>
        <w:trPr>
          <w:trHeight w:val="866"/>
        </w:trPr>
        <w:tc>
          <w:tcPr>
            <w:tcW w:w="10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24"/>
                <w:szCs w:val="24"/>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June 30,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color w:val="auto"/>
              </w:rPr>
              <w:t>June 30,</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3"/>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71,665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71,709</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71,473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71,709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73,295</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72,961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73,339</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73,103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73,339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2,547,485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2,524,631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Common stock issuances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Centuri IPO</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Promissory notes in association with redeemable noncontrolling interest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2,709,674</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2,534,223</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2,709,674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2,534,223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Centuri IPO</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6200" w:type="dxa"/>
            <w:vAlign w:val="bottom"/>
            <w:gridSpan w:val="3"/>
            <w:shd w:val="clear" w:color="auto" w:fill="CCEEFF"/>
          </w:tcPr>
          <w:p>
            <w:pPr>
              <w:ind w:left="98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benefit plan cost, net of tax</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755,367</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696,958</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755,367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Southwest Gas Holdings, Inc. equity ending balances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3,492,765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3,262,826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3,492,765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6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Centuri IPO</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income attributable to noncontrolling interest holders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20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174,199</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equity ending balances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3,666,964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3,262,826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3,666,964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 w:type="dxa"/>
            <w:vAlign w:val="bottom"/>
          </w:tcPr>
          <w:p>
            <w:pPr>
              <w:spacing w:after="0"/>
              <w:rPr>
                <w:sz w:val="20"/>
                <w:szCs w:val="20"/>
                <w:color w:val="auto"/>
              </w:rPr>
            </w:pPr>
          </w:p>
        </w:tc>
        <w:tc>
          <w:tcPr>
            <w:tcW w:w="6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30, 2024</w:t>
            </w:r>
          </w:p>
        </w:tc>
        <w:tc>
          <w:tcPr>
            <w:tcW w:w="160" w:type="dxa"/>
            <w:vAlign w:val="bottom"/>
          </w:tcPr>
          <w:p>
            <w:pPr>
              <w:spacing w:after="0"/>
              <w:rPr>
                <w:sz w:val="24"/>
                <w:szCs w:val="24"/>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7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Gas plant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(2,896,703)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r>
      <w:tr>
        <w:trPr>
          <w:trHeight w:val="207"/>
        </w:trPr>
        <w:tc>
          <w:tcPr>
            <w:tcW w:w="2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7,788,430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r>
      <w:tr>
        <w:trPr>
          <w:trHeight w:val="212"/>
        </w:trPr>
        <w:tc>
          <w:tcPr>
            <w:tcW w:w="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152,658</w:t>
            </w:r>
          </w:p>
        </w:tc>
      </w:tr>
      <w:tr>
        <w:trPr>
          <w:trHeight w:val="193"/>
        </w:trPr>
        <w:tc>
          <w:tcPr>
            <w:tcW w:w="20" w:type="dxa"/>
            <w:vAlign w:val="bottom"/>
          </w:tcPr>
          <w:p>
            <w:pPr>
              <w:spacing w:after="0"/>
              <w:rPr>
                <w:sz w:val="16"/>
                <w:szCs w:val="16"/>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269,195</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utility revenue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Receivable from parent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188,138</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21,376</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7660" w:type="dxa"/>
            <w:vAlign w:val="bottom"/>
            <w:tcBorders>
              <w:top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1,014,928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1,195,774</w:t>
            </w:r>
          </w:p>
        </w:tc>
      </w:tr>
      <w:tr>
        <w:trPr>
          <w:trHeight w:val="193"/>
        </w:trPr>
        <w:tc>
          <w:tcPr>
            <w:tcW w:w="20" w:type="dxa"/>
            <w:vAlign w:val="bottom"/>
          </w:tcPr>
          <w:p>
            <w:pPr>
              <w:spacing w:after="0"/>
              <w:rPr>
                <w:sz w:val="16"/>
                <w:szCs w:val="16"/>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390,400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390,742</w:t>
            </w: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401,897</w:t>
            </w:r>
          </w:p>
        </w:tc>
      </w:tr>
      <w:tr>
        <w:trPr>
          <w:trHeight w:val="212"/>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9,360,652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9,268,571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Capitalization:</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2,156,577</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1,087,666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1,018,474</w:t>
            </w:r>
          </w:p>
        </w:tc>
      </w:tr>
      <w:tr>
        <w:trPr>
          <w:trHeight w:val="212"/>
        </w:trPr>
        <w:tc>
          <w:tcPr>
            <w:tcW w:w="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3,257,535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3,183,615</w:t>
            </w: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3,503,298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3,501,543</w:t>
            </w:r>
          </w:p>
        </w:tc>
      </w:tr>
      <w:tr>
        <w:trPr>
          <w:trHeight w:val="212"/>
        </w:trPr>
        <w:tc>
          <w:tcPr>
            <w:tcW w:w="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capitalization</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6,760,833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6,685,158</w:t>
            </w:r>
          </w:p>
        </w:tc>
      </w:tr>
      <w:tr>
        <w:trPr>
          <w:trHeight w:val="193"/>
        </w:trPr>
        <w:tc>
          <w:tcPr>
            <w:tcW w:w="20" w:type="dxa"/>
            <w:vAlign w:val="bottom"/>
          </w:tcPr>
          <w:p>
            <w:pPr>
              <w:spacing w:after="0"/>
              <w:rPr>
                <w:sz w:val="16"/>
                <w:szCs w:val="16"/>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215,744</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Customer deposits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48,460</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general taxes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58,053</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34,955</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Payable to parent</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271,899</w:t>
            </w:r>
          </w:p>
        </w:tc>
      </w:tr>
      <w:tr>
        <w:trPr>
          <w:trHeight w:val="207"/>
        </w:trPr>
        <w:tc>
          <w:tcPr>
            <w:tcW w:w="2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636,037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630,822</w:t>
            </w:r>
          </w:p>
        </w:tc>
      </w:tr>
      <w:tr>
        <w:trPr>
          <w:trHeight w:val="199"/>
        </w:trPr>
        <w:tc>
          <w:tcPr>
            <w:tcW w:w="20" w:type="dxa"/>
            <w:vAlign w:val="bottom"/>
            <w:shd w:val="clear" w:color="auto" w:fill="CCEEFF"/>
          </w:tcPr>
          <w:p>
            <w:pPr>
              <w:spacing w:after="0"/>
              <w:rPr>
                <w:sz w:val="17"/>
                <w:szCs w:val="17"/>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749,836</w:t>
            </w: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702,933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744,755</w:t>
            </w:r>
          </w:p>
        </w:tc>
      </w:tr>
      <w:tr>
        <w:trPr>
          <w:trHeight w:val="209"/>
        </w:trPr>
        <w:tc>
          <w:tcPr>
            <w:tcW w:w="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1,963,782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1,952,591</w:t>
            </w:r>
          </w:p>
        </w:tc>
      </w:tr>
      <w:tr>
        <w:trPr>
          <w:trHeight w:val="212"/>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9,360,652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9,268,571</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80"/>
          </w:cols>
          <w:pgMar w:left="36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(Thousands of dollars)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78"/>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487,866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1,563,026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1,402,745</w:t>
            </w:r>
          </w:p>
        </w:tc>
      </w:tr>
      <w:tr>
        <w:trPr>
          <w:trHeight w:val="19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732,222</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255,919</w:t>
            </w: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149,495</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44,344</w:t>
            </w:r>
          </w:p>
        </w:tc>
      </w:tr>
      <w:tr>
        <w:trPr>
          <w:trHeight w:val="20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452,233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1,323,610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1,181,980</w:t>
            </w:r>
          </w:p>
        </w:tc>
      </w:tr>
      <w:tr>
        <w:trPr>
          <w:trHeight w:val="212"/>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239,416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220,765</w:t>
            </w:r>
          </w:p>
        </w:tc>
      </w:tr>
      <w:tr>
        <w:trPr>
          <w:trHeight w:val="19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(75,726)</w:t>
            </w:r>
          </w:p>
        </w:tc>
      </w:tr>
      <w:tr>
        <w:trPr>
          <w:trHeight w:val="213"/>
        </w:trPr>
        <w:tc>
          <w:tcPr>
            <w:tcW w:w="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3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37,185</w:t>
            </w:r>
          </w:p>
        </w:tc>
      </w:tr>
      <w:tr>
        <w:trPr>
          <w:trHeight w:val="212"/>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(43,972)</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(38,541)</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182,224</w:t>
            </w: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28,408</w:t>
            </w:r>
          </w:p>
        </w:tc>
      </w:tr>
      <w:tr>
        <w:trPr>
          <w:trHeight w:val="209"/>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3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163,419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153,816</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10"/>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(Thousands of dollars)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78"/>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3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153,816</w:t>
            </w:r>
          </w:p>
        </w:tc>
      </w:tr>
      <w:tr>
        <w:trPr>
          <w:trHeight w:val="199"/>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60" w:type="dxa"/>
            <w:vAlign w:val="bottom"/>
          </w:tcPr>
          <w:p>
            <w:pPr>
              <w:spacing w:after="0"/>
              <w:rPr>
                <w:sz w:val="18"/>
                <w:szCs w:val="18"/>
                <w:color w:val="auto"/>
              </w:rPr>
            </w:pPr>
          </w:p>
        </w:tc>
        <w:tc>
          <w:tcPr>
            <w:tcW w:w="3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3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7"/>
        </w:trPr>
        <w:tc>
          <w:tcPr>
            <w:tcW w:w="6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3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2"/>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3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0"/>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5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164,189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154,209</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June 30,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Six Months Ended</w:t>
            </w:r>
          </w:p>
        </w:tc>
        <w:tc>
          <w:tcPr>
            <w:tcW w:w="1080" w:type="dxa"/>
            <w:vAlign w:val="bottom"/>
          </w:tcPr>
          <w:p>
            <w:pPr>
              <w:spacing w:after="0"/>
              <w:rPr>
                <w:sz w:val="24"/>
                <w:szCs w:val="24"/>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June 30,</w:t>
            </w:r>
          </w:p>
        </w:tc>
        <w:tc>
          <w:tcPr>
            <w:tcW w:w="10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163,419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153,816</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149,495</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43,668</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60,879</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634,430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(335,469)</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(349,060)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349,295</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(33,384)</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(31,843)</w:t>
            </w: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951,694</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52,171</w:t>
            </w:r>
          </w:p>
        </w:tc>
      </w:tr>
      <w:tr>
        <w:trPr>
          <w:trHeight w:val="19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(391,347)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(381,193)</w:t>
            </w:r>
          </w:p>
        </w:tc>
      </w:tr>
      <w:tr>
        <w:trPr>
          <w:trHeight w:val="232"/>
        </w:trPr>
        <w:tc>
          <w:tcPr>
            <w:tcW w:w="6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(374,707)</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(389,212)</w:t>
            </w:r>
          </w:p>
        </w:tc>
      </w:tr>
      <w:tr>
        <w:trPr>
          <w:trHeight w:val="19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Contribution from parent</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297,759</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r>
      <w:tr>
        <w:trPr>
          <w:trHeight w:val="232"/>
        </w:trPr>
        <w:tc>
          <w:tcPr>
            <w:tcW w:w="6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9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(675,000)</w:t>
            </w: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(83,247)</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478,170</w:t>
            </w:r>
          </w:p>
        </w:tc>
      </w:tr>
      <w:tr>
        <w:trPr>
          <w:trHeight w:val="253"/>
        </w:trPr>
        <w:tc>
          <w:tcPr>
            <w:tcW w:w="6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493,740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141,129</w:t>
            </w:r>
          </w:p>
        </w:tc>
      </w:tr>
      <w:tr>
        <w:trPr>
          <w:trHeight w:val="21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w:t>
            </w:r>
          </w:p>
        </w:tc>
      </w:tr>
      <w:tr>
        <w:trPr>
          <w:trHeight w:val="207"/>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564,894</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192,952</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73,859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68,303</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0" w:type="dxa"/>
            <w:vAlign w:val="bottom"/>
          </w:tcPr>
          <w:p>
            <w:pPr>
              <w:spacing w:after="0"/>
              <w:rPr>
                <w:sz w:val="1"/>
                <w:szCs w:val="1"/>
                <w:color w:val="auto"/>
              </w:rPr>
            </w:pPr>
          </w:p>
        </w:tc>
      </w:tr>
      <w:tr>
        <w:trPr>
          <w:trHeight w:val="866"/>
        </w:trPr>
        <w:tc>
          <w:tcPr>
            <w:tcW w:w="4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Pr>
          <w:p>
            <w:pPr>
              <w:spacing w:after="0"/>
              <w:rPr>
                <w:sz w:val="24"/>
                <w:szCs w:val="24"/>
                <w:color w:val="auto"/>
              </w:rPr>
            </w:pPr>
          </w:p>
        </w:tc>
        <w:tc>
          <w:tcPr>
            <w:tcW w:w="1960" w:type="dxa"/>
            <w:vAlign w:val="bottom"/>
            <w:gridSpan w:val="4"/>
          </w:tcPr>
          <w:p>
            <w:pPr>
              <w:jc w:val="right"/>
              <w:ind w:right="398"/>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6"/>
                <w:szCs w:val="16"/>
                <w:color w:val="auto"/>
              </w:rPr>
              <w:t>June 30,</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6"/>
        </w:trPr>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7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0" w:type="dxa"/>
            <w:vAlign w:val="bottom"/>
          </w:tcPr>
          <w:p>
            <w:pPr>
              <w:spacing w:after="0"/>
              <w:rPr>
                <w:sz w:val="1"/>
                <w:szCs w:val="1"/>
                <w:color w:val="auto"/>
              </w:rPr>
            </w:pPr>
          </w:p>
        </w:tc>
      </w:tr>
      <w:tr>
        <w:trPr>
          <w:trHeight w:val="199"/>
        </w:trPr>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2,156,318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1,624,919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1,622,969</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2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0" w:type="dxa"/>
            <w:vAlign w:val="bottom"/>
          </w:tcPr>
          <w:p>
            <w:pPr>
              <w:spacing w:after="0"/>
              <w:rPr>
                <w:sz w:val="1"/>
                <w:szCs w:val="1"/>
                <w:color w:val="auto"/>
              </w:rPr>
            </w:pPr>
          </w:p>
        </w:tc>
      </w:tr>
      <w:tr>
        <w:trPr>
          <w:trHeight w:val="212"/>
        </w:trPr>
        <w:tc>
          <w:tcPr>
            <w:tcW w:w="4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2,156,026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2,156,026</w:t>
            </w:r>
          </w:p>
        </w:tc>
        <w:tc>
          <w:tcPr>
            <w:tcW w:w="0" w:type="dxa"/>
            <w:vAlign w:val="bottom"/>
          </w:tcPr>
          <w:p>
            <w:pPr>
              <w:spacing w:after="0"/>
              <w:rPr>
                <w:sz w:val="1"/>
                <w:szCs w:val="1"/>
                <w:color w:val="auto"/>
              </w:rPr>
            </w:pPr>
          </w:p>
        </w:tc>
      </w:tr>
      <w:tr>
        <w:trPr>
          <w:trHeight w:val="193"/>
        </w:trPr>
        <w:tc>
          <w:tcPr>
            <w:tcW w:w="6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720" w:type="dxa"/>
            <w:vAlign w:val="bottom"/>
            <w:gridSpan w:val="3"/>
          </w:tcPr>
          <w:p>
            <w:pPr>
              <w:ind w:left="64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 plan cost,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net of tax</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0" w:type="dxa"/>
            <w:vAlign w:val="bottom"/>
          </w:tcPr>
          <w:p>
            <w:pPr>
              <w:spacing w:after="0"/>
              <w:rPr>
                <w:sz w:val="1"/>
                <w:szCs w:val="1"/>
                <w:color w:val="auto"/>
              </w:rPr>
            </w:pPr>
          </w:p>
        </w:tc>
      </w:tr>
      <w:tr>
        <w:trPr>
          <w:trHeight w:val="193"/>
        </w:trPr>
        <w:tc>
          <w:tcPr>
            <w:tcW w:w="6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1,030,164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935,355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72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153,816</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(79,200)</w:t>
            </w: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Ending balances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1,009,608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1,009,608</w:t>
            </w:r>
          </w:p>
        </w:tc>
        <w:tc>
          <w:tcPr>
            <w:tcW w:w="0" w:type="dxa"/>
            <w:vAlign w:val="bottom"/>
          </w:tcPr>
          <w:p>
            <w:pPr>
              <w:spacing w:after="0"/>
              <w:rPr>
                <w:sz w:val="1"/>
                <w:szCs w:val="1"/>
                <w:color w:val="auto"/>
              </w:rPr>
            </w:pPr>
          </w:p>
        </w:tc>
      </w:tr>
      <w:tr>
        <w:trPr>
          <w:trHeight w:val="209"/>
        </w:trPr>
        <w:tc>
          <w:tcPr>
            <w:tcW w:w="67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Southwest Gas Corporation equity ending balances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3,257,535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3,176,878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3,257,535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3,176,878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r>
        <w:rPr>
          <w:rFonts w:ascii="Times New Roman" w:cs="Times New Roman" w:eastAsia="Times New Roman" w:hAnsi="Times New Roman"/>
          <w:sz w:val="18"/>
          <w:szCs w:val="18"/>
          <w:color w:val="EE272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57" w:right="35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Southwest Gas Holdings, Inc. (together with its subsidiaries, the “Company”) is a holding company, owning all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Southwest Gas Corporation (“Southwest” or the “natural gas distribution” segment), and until April 22, 2024, all of the shares of common stock of Centuri Group, Inc. (“utility infrastructure services” segment), and until February 14, 2023, all of the shares of common stock of MountainWest Pipelines Holding Company (“MountainWest” or the “pipeline and storage” segment). References throughout this document to “Centuri” relate to Centuri Group, Inc., for periods prior to April 22, 2024, or more recently, to Centuri Holdings, Inc.</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to Williams Partners Operating LLC (“Williams”) for $1.5 billion in total enterprise value, subject to certain adjustments. The sale closed on February 14, 2023.</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Also as part of this simplification strategy, the Company previously communicated that it would pursue a separation of Centuri. In April 2024, the Company and Centuri Holdings, Inc. announced the completion of an initial public offering of Centuri Holdings, Inc. common stock (the “Centuri IPO”). Following the Centuri IPO, the Company owns approximately 81% of Centuri. Through the first quarter of 2024 and leading up to the Centuri IPO, Centuri continued to be wholly owned by Southwest Gas Holdings, Inc. Centuri continues to be consolidated as part of these financial statements, and will continue to be consolidated until such time as the conditions for consolidation are no longer met. Centuri now makes separate filings with the Securities and Exchange Commission (the “SEC”) as a public company. The Company’s common stock continues to trade under the ticker symbol “SWX,” while Centuri’s common stock trades under the ticker symbol “CTRI.” See </w:t>
      </w:r>
      <w:r>
        <w:rPr>
          <w:rFonts w:ascii="Times New Roman" w:cs="Times New Roman" w:eastAsia="Times New Roman" w:hAnsi="Times New Roman"/>
          <w:sz w:val="18"/>
          <w:szCs w:val="18"/>
          <w:b w:val="1"/>
          <w:bCs w:val="1"/>
          <w:color w:val="auto"/>
        </w:rPr>
        <w:t>Note 8 - Centuri Separation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highlighted by the significant amount of cash existing as of the end of the second quarter of 2024, reflective of the collection of gas cost under purchased gas cost mechanisms as a component of customer bills. While mechanisms exist in all states in which Southwest operates, which effectively and primarily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Southwest Gas Holdings, Inc. and subsidiaries, and of Southwest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included herein have been prepared pursuant to the rules and regulations of the SEC. The year-end 2023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other than the Centuri IPO and the resulting noncontrolling interest in Centuri, has occurred with regard to the Company’s business segments on the whole during the recently completed quarter.</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Centuri and the Company do not always have the same basis of presentation, which could result in differences between the amounts presented in the Company’s financial information related to Centuri, and amounts included in Centuri’s separate publicly filed financial information. The most significant difference during the periods presented in this Form 10-Q were due to Centuri recording income tax expense using an annual effective tax rate methodology, while the Company followed a discrete method consistent with regulated utility accounting.</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and the Company included in our 2023 Annual Report on Form 10-K for the fiscal year ended December 31,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2023, management identified a misstatement related to its accounting for the cost of gas sold at Southwest, thereby determining that Net cost of gas sold was overstated in 2021 and 2022 by $2.3 million and $5.7 million, respectively. Southwest made an adjustment in the first quarter of 2023 to reduce Net cost of gas sold and to increase its asset balance for Deferred purchased gas cost by $8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approximately $21 million, which was corrected in the first quarter of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Southwest, with respect to Net cost of gas sold) assessed, both quantitatively and qualitatively, the impact of these items on previously issued financial statements, concluding they were not material to any earlier period or to the period of correction.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146,546</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1,752,094</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(675,632)</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37,220</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Held for sale. </w:t>
      </w:r>
      <w:r>
        <w:rPr>
          <w:rFonts w:ascii="Times New Roman" w:cs="Times New Roman" w:eastAsia="Times New Roman" w:hAnsi="Times New Roman"/>
          <w:sz w:val="18"/>
          <w:szCs w:val="18"/>
          <w:color w:val="auto"/>
        </w:rPr>
        <w:t>In the first quarter of 2023, the Company and Southwest concluded certain assets associated with their previous corporate headquarters 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criteria to be classified as held for sale. As a result, the Company and Southwest reclassified approximately $27 million from Other property and investments to Current assets held for sale on their respective Condensed Consolidated Balance Sheets in the first quarter of 2023. In 2023, the Company and Southwest recorded an estimated loss of $5.2 million on the assets based upon an updated fair value less costs to sell. The sale was completed in January 2024.</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of the Company include $314.1 million and $48.9 million of money market fund investments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and December 31, 2023, respectively. Of these amounts, $308 million and $38.6 million at June 30, 2024 and December 31, 2023, respectively, were held by Southwest. Refer to discussion above regarding recent collections under Southwest’s purchased gas adjustment mechanisms.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Noncash investing activities include capital expenditures that were not yet paid, thereby remaining in accounts payable, amounts related to which declined by approximately $8.5 million for the Company and increased by approximately $2.2 million for Southwest during the six months ended June 30, 2024; and declined approximately $34 million and $29.7 million during the six months ended June 30, 2023, for the Company and Southwest,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expanded their presentation in the first quarter 2024 to show the Change in short-term portion of credit facility and Repayment of short-term debt as separate line items within their Condensed Consolidated Statements of Cash Flows. The comparable prior-year period has been updated to reflect this change.</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include, among other things, materials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of $82.7 million at June 30, 2024 and $83.4 million at December 31, 2023 (carried at weighted average cost).</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assessed as of October 1 each year for impairment, or more frequently, if circumstances indicate an impairment to the carrying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may have occurred. The Company’s reporting units for goodwill are its operating segments, which are also its reportable segments. Since December 31, 2023, management qualitatively assessed whether events during the first six months of 2024 indicated it was more likely than not that the fair value of our reporting units was less than their carrying value, which if the case, could be an indication of a goodwill impairment. Through management’s assessments, no impairment was deemed to have occurred in the continuing segments of the Company. Goodwill in the Natural Gas</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and Utility Infrastructure Services segments is included in the respective Condensed Consolidated Balance Sheets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Company</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789,729</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786,175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Management recognizes in its balance sheets various liabilities that are expected to be settled through future cash payment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$44.4 million of dividends declared as of both June 30, 2024 and December 31, 2023, respectively. Also included in the balance for the Company and Southwest was $46 million and $87.6 million in accrued purchased gas cost as of June 30, 2024 and December 31, 2023, respectively.</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Condensed Consolidated Statements of Income: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480" w:type="dxa"/>
            <w:vAlign w:val="bottom"/>
          </w:tcPr>
          <w:p>
            <w:pPr>
              <w:spacing w:after="0"/>
              <w:rPr>
                <w:sz w:val="20"/>
                <w:szCs w:val="20"/>
                <w:color w:val="auto"/>
              </w:rPr>
            </w:pP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Pr>
          <w:p>
            <w:pPr>
              <w:spacing w:after="0"/>
              <w:rPr>
                <w:sz w:val="20"/>
                <w:szCs w:val="20"/>
                <w:color w:val="auto"/>
              </w:rPr>
            </w:pPr>
          </w:p>
        </w:tc>
      </w:tr>
      <w:tr>
        <w:trPr>
          <w:trHeight w:val="31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26,986</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37,185</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MountainWest, and Southwest Gas Holdings, Inc.:</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(loss) of unconsolidated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38,064</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primarily relates to Southwest’s regulatory asset balances, including its deferred purchased gas cost mechanisms, the combined balance of which ranged from an asset balance of $786 million as of June 30, 2023 to a net liability balance of $82 million as of June 30, 2024. Interest income is earned on asset balances and interest expense is incurred on liability balances. Refer also to </w:t>
      </w:r>
      <w:r>
        <w:rPr>
          <w:rFonts w:ascii="Times New Roman" w:cs="Times New Roman" w:eastAsia="Times New Roman" w:hAnsi="Times New Roman"/>
          <w:sz w:val="18"/>
          <w:szCs w:val="18"/>
          <w:b w:val="1"/>
          <w:bCs w:val="1"/>
          <w:color w:val="auto"/>
        </w:rPr>
        <w:t>Note 2 – Components of Net Periodic Benefit Cost</w:t>
      </w:r>
      <w:r>
        <w:rPr>
          <w:rFonts w:ascii="Times New Roman" w:cs="Times New Roman" w:eastAsia="Times New Roman" w:hAnsi="Times New Roman"/>
          <w:sz w:val="18"/>
          <w:szCs w:val="18"/>
          <w:color w:val="auto"/>
        </w:rPr>
        <w:t xml:space="preserve"> for details regarding Other components of net periodic benefit cost.</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 In connection with the Centuri IPO, the Company recorded a noncontrolling interest as part of equity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 (associated with the interests held by the new investors), and recognized the excess of the fair value of the Centuri IPO proceeds over the carrying value of the noncontrolling interest, in addition to a portion of Accumulated other comprehensive loss relevant to the proportional interest of the noncontrolling parties in Centuri, within Additional paid-in capital. The Condensed Consolidated Statements of Income include multiple components of comprehensive income attributable to noncontrolling interests following the Centuri IPO. These amounts, including those distinguishable from net income attributed to these parties, are separately presented in the Condensed Consolidated Statements of Equity. Refer also to </w:t>
      </w:r>
      <w:r>
        <w:rPr>
          <w:rFonts w:ascii="Times New Roman" w:cs="Times New Roman" w:eastAsia="Times New Roman" w:hAnsi="Times New Roman"/>
          <w:sz w:val="18"/>
          <w:szCs w:val="18"/>
          <w:b w:val="1"/>
          <w:bCs w:val="1"/>
          <w:color w:val="auto"/>
        </w:rPr>
        <w:t>Note 8 - Centuri Separation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Redeemable Noncontrolling Interests</w:t>
      </w:r>
      <w:r>
        <w:rPr>
          <w:rFonts w:ascii="Times New Roman" w:cs="Times New Roman" w:eastAsia="Times New Roman" w:hAnsi="Times New Roman"/>
          <w:sz w:val="18"/>
          <w:szCs w:val="18"/>
          <w:color w:val="auto"/>
        </w:rPr>
        <w:t>. Separate from the noncontrolling ownership interests in Centuri, in connection with the earlier acquisition of Linetec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2018, the previous Linetec owner initially retained a 20% equity interest in that entity, with redemption of that interest being subject to certain rights based on the passage of time or upon the occurrence of certain triggering events. Effective in 2022, the Company, through Centuri, had the right, but not the obligation, to purchase at fair value (subject to a floor) a portion of the interest held by the previous Linetec owner, and in incremental amounts each year thereafter. In March 2022, the parties agreed to a partial redemption, reducing the noncontrolling interest to 15%, and in March</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2023, agreed to a partial 5% redemption (of the 15% then remaining). In April 2023, Centuri paid $39.9 million to the previous Linetec owner, thereby reducing the balance continuing to be redeemable at that time to 10% under the terms of the original agreement. In March 2024, the parties entered into an agreement to redeem the remaining 10% equity interest for $92 million, which resulted in Centuri owning all of the equity interest in Linetec as of March 31, 2024. The Company paid the $92 million in April 2024, in accordance with the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certain members of Riggs Distler management hold a 1.41% interest in Drum Parent, Inc. (“Drum”), the parent of Riggs Distler, which is redeemable, subject to certain rights based on the passage of time or upon the occurrence of certain triggering events. A portion of the redeemable noncontrolling interest was funded through promissory notes made to noncontrolling interest holders bearing interest at the prime rate plus 2%.</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Centuri forgave all outstanding promissory notes and unpaid interest owed from the Riggs Distler noncontrolling interest holders and in exchange, obtained a 0.47% portion of the equity interest in Drum that had been funded through these notes. This comprises most of the change noted below as redemption of Drum interests during the first six months of 2024. Additionally, during the first quarter of 2024, Centuri reached an agreement to purchase 0.13% of the noncontrolling interest in Drum for $0.8 million, the majority which was accrued in March 2024 and ultimately paid in April 2024. The remaining noncontrolling interest in Drum outstanding as of June 30, 2024 was 0.81%, with Centuri owning over 99% of Drum following these events.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Valuation adjustments also impact retained earnings, as reflected in the Company’s Condensed Consolidated Statement of Equity, but do not impact net income. The following depicts changes to the balances of the redeemable noncontrolling interests: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Linetec</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Drum</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104,667</w:t>
            </w:r>
          </w:p>
        </w:tc>
      </w:tr>
      <w:tr>
        <w:trPr>
          <w:trHeight w:val="23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Redemption of equity interest from noncontrolling party</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(97,025)</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Basic earnings per share (“EPS”) in each period of this report were calculated by dividing net income attributable to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by the weighted-average number of shares during those periods. Diluted EPS includes additional weighted-average common stock equivalents (performance share units and restricted stock units). Unless otherwise noted, the term “Earnings Per Share” refers to Basic EPS. A reconciliation of the denominator used in Basic and Diluted EPS calculations is shown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43"/>
        </w:trPr>
        <w:tc>
          <w:tcPr>
            <w:tcW w:w="6480" w:type="dxa"/>
            <w:vAlign w:val="bottom"/>
          </w:tcPr>
          <w:p>
            <w:pPr>
              <w:spacing w:after="0"/>
              <w:rPr>
                <w:sz w:val="21"/>
                <w:szCs w:val="21"/>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Pr>
          <w:p>
            <w:pPr>
              <w:spacing w:after="0"/>
              <w:rPr>
                <w:sz w:val="21"/>
                <w:szCs w:val="21"/>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69,901</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71,722</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70,072</w:t>
            </w:r>
          </w:p>
        </w:tc>
      </w:tr>
      <w:tr>
        <w:trPr>
          <w:trHeight w:val="21"/>
        </w:trPr>
        <w:tc>
          <w:tcPr>
            <w:tcW w:w="6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left="180" w:hanging="10"/>
        <w:spacing w:after="0" w:line="263" w:lineRule="auto"/>
        <w:tabs>
          <w:tab w:leader="none" w:pos="41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included 144,000 and 159,000 performance share units during the three months ended June 30, 2024 and June 30, 2023, the total of which was derived by assuming that target performance will be achieved during the relevant performance period. During the six months ended June 30, 2024 and June 30, 2023, respectively, the number of securities included 140,000 and 146,000 performance share units, the total of which was derived by assuming that target performance will be achieved during the relevant performance period.</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17.1% for the three months ended June 30, 2024, compared to 13.6% for the corresponding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pre-tax income differences, the amortization of excess deferred income taxes, and nondeductible costs associated with the Centuri IPO. The Company’s effective tax was 16.5% for the six months ended June 30, 2024, compared to 30.0% for corresponding period in 2023 primarily due to amortization of excess deferred income taxes, nondeductible costs associated with the Centuri IPO, and the MountainWest sale in 2023, which included the impact of</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book versus tax basis differences related to that transaction. The tax impacts of further separation of Centuri will depend on the ultimate separation path (See </w:t>
      </w:r>
      <w:r>
        <w:rPr>
          <w:rFonts w:ascii="Times New Roman" w:cs="Times New Roman" w:eastAsia="Times New Roman" w:hAnsi="Times New Roman"/>
          <w:sz w:val="18"/>
          <w:szCs w:val="18"/>
          <w:b w:val="1"/>
          <w:bCs w:val="1"/>
          <w:color w:val="auto"/>
        </w:rPr>
        <w:t>Note 8 - Centuri Separation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Southwest’s effective tax rate was 6.3% for the three months ended June 30, 2024, compared to (10.7)% for the corresponding period in 2023 primarily due to pre-tax income differences, differences in the amount of amortization of excess deferred income taxes between periods, and the impacts of company-owned life insurance. Southwest’s effective tax rate was 16.4% for the six months ended June 30, 2024, compared to 15.6% in the corresponding period in 2023, including the impacts of the items noted above. The effective tax rates varied from the statutory rate primarily as the result of the amortization of excess deferred income taxes.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Internal Revenue Service issued Revenue Procedure 2023-15, which provides a safe harbor method of accounting that taxpayers may use to determine whether expenditures to repair, maintain, replace, or improve natural gas transmission and distribution property must be capitalized for tax purposes. The Company and Southwest are currently reviewing this revenue procedure, and implementing technology system functionality, to determine the potential impact on their financial position, results of operations, and cash flows. Due to the Company’s current tax net operating loss position, the adoption is not expected to result in immediate cash tax benefits.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in 2024 and later periods: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ASU 2023-07 “Segment Reporting (Topic 280): Improvements to Reportable Segment Disclosures.” The update, among other amendments, requires disclosure of significant segment expenses that are regularly provided to the chief operating decision maker (“CODM”) and included within each reported measure of segment profit or loss, as well as an amount and description of the composition of other segment items to reconcile to segment profit or loss. The update also requires the title and position of the entity’s CODM to be disclosed, and extends certain annual disclosures to interim periods. The provisions of the update are effective for fiscal years beginning after December 15, 2023 and interim periods within the fiscal years beginning after December 15, 2024. Early adoption is permitted. Management is evaluating the impacts this update might have on the Company’s and Southwest’s disclosures.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after 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 other amendments, provides for enhanced income tax information primarily through changes in the rate reconciliation and income taxes paid. The update is effective for annual periods beginning after December 15, 2024; early adoption is permitted. Management is evaluating the impacts this update might have on the Company’s and Southwest’s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Components of Net Periodic Benefit Cost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Southwest's net periodic benefit cost for its pension plan, supplemental retirement plan ("SERP"), and postretirement benefits other than pensions ("PBOP") for the three and six months ended June 30, 2024 and 2023 are presented in the following tables.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Qualified Retirement Plan</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30,</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3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SERP</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30,</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3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7"/>
              </w:rPr>
              <w:t>PBOP</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30,</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w:t>
            </w:r>
          </w:p>
        </w:tc>
        <w:tc>
          <w:tcPr>
            <w:tcW w:w="3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40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9A9A9A"/>
            </w:tcBorders>
          </w:tcPr>
          <w:p>
            <w:pPr>
              <w:spacing w:after="0"/>
              <w:rPr>
                <w:sz w:val="17"/>
                <w:szCs w:val="17"/>
                <w:color w:val="auto"/>
              </w:rPr>
            </w:pPr>
          </w:p>
        </w:tc>
        <w:tc>
          <w:tcPr>
            <w:tcW w:w="2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encompasses the natural gas distribution segment and Centuri encompasses the utility infrastructure services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7"/>
                <w:szCs w:val="17"/>
                <w:color w:val="auto"/>
              </w:rPr>
            </w:pPr>
          </w:p>
        </w:tc>
        <w:tc>
          <w:tcPr>
            <w:tcW w:w="22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7"/>
        </w:trPr>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1,061,987</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280,712</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56,133</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35,569</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54,280</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1,488,681</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 (deferrals)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(94,091)</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 (1)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1,402,745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hanging="230"/>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late fees and other miscellaneous revenues, and may also include the impact of certain regulatory mechanisms.</w:t>
      </w:r>
    </w:p>
    <w:p>
      <w:pPr>
        <w:spacing w:after="0" w:line="1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utility infrastructure services segment management, in connection with Centuri’s planned separation, changed its service type revenue classification to align with changes in its organizational structure, and as a result, prior year “other” revenue has been recast into gas infrastructure services or electric power infrastructure services to reflect these changes, with no impact to revenue overall. 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r>
      <w:tr>
        <w:trPr>
          <w:trHeight w:val="23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Types: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infrastructure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738,606</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power infrastructure services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694,061</w:t>
            </w:r>
          </w:p>
        </w:tc>
      </w:tr>
      <w:tr>
        <w:trPr>
          <w:trHeight w:val="23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26,405</w:t>
            </w:r>
          </w:p>
        </w:tc>
      </w:tr>
      <w:tr>
        <w:trPr>
          <w:trHeight w:val="248"/>
        </w:trPr>
        <w:tc>
          <w:tcPr>
            <w:tcW w:w="6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1,459,072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three months ended June 30, 2023 were previously presented as: Gas infrastructure services of $433,469, Electric power infrastructure services of $234,494, and</w:t>
      </w:r>
    </w:p>
    <w:p>
      <w:pPr>
        <w:spacing w:after="0" w:line="21" w:lineRule="exact"/>
        <w:rPr>
          <w:sz w:val="20"/>
          <w:szCs w:val="20"/>
          <w:color w:val="auto"/>
        </w:rPr>
      </w:pPr>
    </w:p>
    <w:p>
      <w:pPr>
        <w:ind w:left="180"/>
        <w:spacing w:after="0" w:line="280" w:lineRule="auto"/>
        <w:rPr>
          <w:sz w:val="20"/>
          <w:szCs w:val="20"/>
          <w:color w:val="auto"/>
        </w:rPr>
      </w:pPr>
      <w:r>
        <w:rPr>
          <w:rFonts w:ascii="Times New Roman" w:cs="Times New Roman" w:eastAsia="Times New Roman" w:hAnsi="Times New Roman"/>
          <w:sz w:val="16"/>
          <w:szCs w:val="16"/>
          <w:color w:val="auto"/>
        </w:rPr>
        <w:t xml:space="preserve">Other of $137,816. The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June 30, 2023 were previously presented as: Gas infrastructure services of $730,877, Electric power infrastructure services of $468,134, and Other of $260,061.</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June 30, 2024</w:t>
            </w:r>
          </w:p>
        </w:tc>
      </w:tr>
      <w:tr>
        <w:trPr>
          <w:trHeight w:val="87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2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7"/>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June 30,</w:t>
            </w:r>
          </w:p>
        </w:tc>
      </w:tr>
      <w:tr>
        <w:trPr>
          <w:trHeight w:val="229"/>
        </w:trPr>
        <w:tc>
          <w:tcPr>
            <w:tcW w:w="6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Types: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1,198,329</w:t>
            </w:r>
          </w:p>
        </w:tc>
      </w:tr>
      <w:tr>
        <w:trPr>
          <w:trHeight w:val="229"/>
        </w:trPr>
        <w:tc>
          <w:tcPr>
            <w:tcW w:w="6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Bid contract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260,743</w:t>
            </w:r>
          </w:p>
        </w:tc>
      </w:tr>
      <w:tr>
        <w:trPr>
          <w:trHeight w:val="223"/>
        </w:trPr>
        <w:tc>
          <w:tcPr>
            <w:tcW w:w="60" w:type="dxa"/>
            <w:vAlign w:val="bottom"/>
          </w:tcPr>
          <w:p>
            <w:pPr>
              <w:spacing w:after="0"/>
              <w:rPr>
                <w:sz w:val="19"/>
                <w:szCs w:val="19"/>
                <w:color w:val="auto"/>
              </w:rPr>
            </w:pPr>
          </w:p>
        </w:tc>
        <w:tc>
          <w:tcPr>
            <w:tcW w:w="6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1,200,098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1,459,072</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 price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398,441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751,102</w:t>
            </w:r>
          </w:p>
        </w:tc>
      </w:tr>
      <w:tr>
        <w:trPr>
          <w:trHeight w:val="230"/>
        </w:trPr>
        <w:tc>
          <w:tcPr>
            <w:tcW w:w="6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 contracts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356,085</w:t>
            </w:r>
          </w:p>
        </w:tc>
      </w:tr>
      <w:tr>
        <w:trPr>
          <w:trHeight w:val="229"/>
        </w:trPr>
        <w:tc>
          <w:tcPr>
            <w:tcW w:w="6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Time and materials contracts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248,960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351,885</w:t>
            </w: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1,459,072</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 excess of revenue earned on contracts (contract liabilities) at Centuri, which are included in Other current liabilities as of June 30, 2024 and December 31, 2023 on the Company’s 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earned on contracts in progress in excess of billings (contract assets) that are not expected to be invoiced and collected within a year from the financial statement date are not included in the table above, and were $25.3 million as of June 30, 2024, and $0.2 million as of December 31, 2023. These non-current balances were included in Deferred charges and other assets on the Company’s Condensed Consolidated Balance Sheets.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contract assets primarily relate to Centuri’s rights to consideration for work completed, but not billed and/or approved for billing at the reporting date, and are transferred to contracts receivable when the rights become unconditional. The amounts billed in excess of revenue earned primarily relate to the advance consideration received from customers for which work has not yet been completed. The decrease in the contract liability balance from December 31, 2023 to June 30, 2024 of $27 million was due to revenue recognized during the period, net of new payments received in advance of work performed.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Centuri had 50 fixed price contracts with an original duration of more than one year. The aggregate amount of the transaction price allocated to the unsatisfied performance obligations of these contracts as of June 30, 2024 was $178 million. Centuri expects to recognize the remaining performance obligations over approximately the next two years; however, the timing of that recognition is largely within the control of the customer, including when the necessary materials required to complete the work are provided by the customer.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 30, 2024</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15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348,021</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349,966</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net</w:t>
            </w: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7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New York Stock Exchange, under the ticker symbol “SWX.” Share-based compensation related to Southwest and Centuri (for award grants prior to 2024 that continue to be subject to time-based vesting) is based on stock awards to be issued in shares of Southwest Gas Holdings, Inc.</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and Southwest jointly filed an automatic shelf registration statement (File No. 333-275774), which became effective upon filing. The prior shelf registration expired in December 2023. Upon expiration of the prior shelf registration, the Company’s equity shelf program was terminated. The Company intends to enter into a similar program during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issued approximately 78,000 shares of common stock through the Omnibus Incentive Plan.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six months ended June 30, 2024, the Company issued 67,000 shares of common stock through the Dividend Reinvestment and Stock Purchase Plan, raising approximately $4.7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5.8%,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309,180</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5.45%,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307,170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563,940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126,238</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214,050</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197,760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3,304,448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3,503,298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3,501,543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SWH term loan facility</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996,723</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77,205</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92,209</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4,609,838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4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has a $400 million credit facility that was otherwise scheduled to expire in April 2025. However, in August 2024, Southwest entered into a new agreement to replace its existing credit facility. The agreement extends the maturity date to August 2029 and makes other miscellaneous changes, while the operations, designations, and key business terms are comparable to the prior facility. In regard to the facility in place as of June 2024, Southwest has designated $150 million of associated capacity as long-term debt and the remaining $250 million for working capital purposes. At June 30, 2024, the applicable margin is 1.125% for loans bearing interest with reference to SOFR and 0.125% for loans bearing interest with reference to the alternative base rate. At June 30, 2024, no borrowings were outstanding on the long-term portion (including under the commercial paper program), nor under the short-term portion of the facility.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On May 13, 2024, Centuri amended its revolving credit facility to transition from Canadian Dollar Offered Rate benchmarks to Canadian Overnight Repo Rate Average (“CORRA”). The applicable margin for the revolving credit facility ranges from 1.0% to 2.5% for SOFR loans and from 0.0% to 1.5% for CORRA and “base rate” loans, depending on Centuri’s total net leverage ratio. The applicable margin for the term loan facility is 1.50% for base rate loans and 2.50% for SOFR loans. The capacity of the line of credit portion of the facility is $400 million; related amounts borrowed and repaid are available to be re-borrowed. The term loan portion of the facility has a limit of $1.145 billion. Centuri’s assets securing the facility at June 30, 2024 totaled $2.5 billion. At June 30, 2024, $1 billion in borrowings were outstanding under Centuri’s combined secured revolving credit and term loan facility.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2024, Centuri amended the financial covenants of its revolving credit facility to increase the maximum total net leverage ratio for the fiscal quarter ending March 31, 2024 to a ratio of 5.75 to 1.00, for the fiscal quarter ending June 30, 2024 to a ratio of 6.00 to 1.00, and for the fiscal quarter ending September 30, 2024 to a ratio of 5.75 to 1.00. In addition, this amendment increased the adjusted maximum total net leverage ratio financial covenants, which would apply in the event that a “Qualified IPO” (as defined in the amendment) was consummated, for each of the fiscal quarters ending March 31, 2024, June 30, 2024, and September 30, 2024. The terms of the Centuri credit facility otherwise remain unchanged. Following the Centuri IPO and private placement, Centuri used approximately $316 million of proceeds to pay down $156 million of debt under the existing line of credit and $160 million of debt under the term loan portion of the facility, with the remainder intended for general corporate purposes.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Southwest Gas Holdings, Inc. entered into a $550 million Term Loan Credit Agreement (the “Term Loan”) that was set to mature in October 2024. Southwest Gas Holdings, Inc. utilized a majority of the proceeds to make an equity contribution to Southwest. In August 2024, the Company amended its Term Loan agreement, extending the maturity date to July 31, 2025 and changed the interest with reference to SOFR from an applicable margin of 1.300% to 1.125%, among other miscellaneous changes. Management has reflected this indebtedness as long-term borrowings as of June 30,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has a $300 million credit facility that is scheduled to expire in December 2026 and is primarily used for short-term financing needs. There was $111 million outstanding under this credit facility as of June 30, 2024.</w:t>
      </w:r>
    </w:p>
    <w:p>
      <w:pPr>
        <w:spacing w:after="0" w:line="54" w:lineRule="exact"/>
        <w:rPr>
          <w:sz w:val="20"/>
          <w:szCs w:val="20"/>
          <w:color w:val="auto"/>
        </w:rPr>
      </w:pPr>
    </w:p>
    <w:p>
      <w:pPr>
        <w:ind w:right="2000"/>
        <w:spacing w:after="0" w:line="375" w:lineRule="auto"/>
        <w:rPr>
          <w:sz w:val="20"/>
          <w:szCs w:val="20"/>
          <w:color w:val="auto"/>
        </w:rPr>
      </w:pPr>
      <w:r>
        <w:rPr>
          <w:rFonts w:ascii="Times New Roman" w:cs="Times New Roman" w:eastAsia="Times New Roman" w:hAnsi="Times New Roman"/>
          <w:sz w:val="18"/>
          <w:szCs w:val="18"/>
          <w:color w:val="auto"/>
        </w:rPr>
        <w:t xml:space="preserve">As indicated above, under Southwest’s $400 million credit facility, no short-term borrowings were outstanding at June 30, 2024. </w:t>
      </w:r>
      <w:r>
        <w:rPr>
          <w:rFonts w:ascii="Times New Roman" w:cs="Times New Roman" w:eastAsia="Times New Roman" w:hAnsi="Times New Roman"/>
          <w:sz w:val="18"/>
          <w:szCs w:val="18"/>
          <w:b w:val="1"/>
          <w:bCs w:val="1"/>
          <w:color w:val="auto"/>
        </w:rPr>
        <w:t>Note 6 – Other Comprehensive Income and Accumulated Other Comprehensive Income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Tax Effects Allocated to Each Component of Other Comprehensive Income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June 30, 2024</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June 30, 2023</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0" w:type="dxa"/>
            <w:vAlign w:val="bottom"/>
          </w:tcPr>
          <w:p>
            <w:pPr>
              <w:spacing w:after="0"/>
              <w:rPr>
                <w:sz w:val="1"/>
                <w:szCs w:val="1"/>
                <w:color w:val="auto"/>
              </w:rPr>
            </w:pPr>
          </w:p>
        </w:tc>
      </w:tr>
      <w:tr>
        <w:trPr>
          <w:trHeight w:val="196"/>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comprehensive income (loss) - noncontrolling interest (2)</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Six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Six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June 30, 2024</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June 30, 2023</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0" w:type="dxa"/>
            <w:vAlign w:val="bottom"/>
          </w:tcPr>
          <w:p>
            <w:pPr>
              <w:spacing w:after="0"/>
              <w:rPr>
                <w:sz w:val="1"/>
                <w:szCs w:val="1"/>
                <w:color w:val="auto"/>
              </w:rPr>
            </w:pPr>
          </w:p>
        </w:tc>
      </w:tr>
      <w:tr>
        <w:trPr>
          <w:trHeight w:val="196"/>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other comprehensive (income) loss - noncontrolling interest (2)</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hanging="10"/>
        <w:spacing w:after="0" w:line="258" w:lineRule="auto"/>
        <w:tabs>
          <w:tab w:leader="none" w:pos="66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ind w:left="660" w:hanging="490"/>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portion of the foreign currency translation adjustment attributable to the noncontrolling interest in Centuri following the Centuri IPO.</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rollforward of AOCI, presented on the Company’s Condensed Consolidated Balance Sheets and its Condensed Consolidated Statements of Equity: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color w:val="auto"/>
              </w:rPr>
              <w:t>Defined Benefit Plans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color w:val="auto"/>
              </w:rPr>
              <w:t>Foreign Currency Items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Before-Tax</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0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6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Benefit (3)</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(43,787)</w:t>
            </w: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adjustment (2)</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0" w:type="dxa"/>
            <w:vAlign w:val="bottom"/>
          </w:tcPr>
          <w:p>
            <w:pPr>
              <w:spacing w:after="0"/>
              <w:rPr>
                <w:sz w:val="1"/>
                <w:szCs w:val="1"/>
                <w:color w:val="auto"/>
              </w:rPr>
            </w:pPr>
          </w:p>
        </w:tc>
      </w:tr>
      <w:tr>
        <w:trPr>
          <w:trHeight w:val="18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Less current period other comprehensive (income) loss attributable to</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 (4)</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Centuri IPO (5)</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6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Net current period other comprehensive income (loss) attributable to</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Southwest Gas Holdings, Inc.</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AOCI June 30,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(45,615)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80" w:right="20" w:hanging="10"/>
        <w:spacing w:after="0" w:line="283" w:lineRule="auto"/>
        <w:tabs>
          <w:tab w:leader="none" w:pos="6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right="20" w:hanging="10"/>
        <w:spacing w:after="0" w:line="260"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5"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foreign currency translation adjustment attributable to the noncontrolling interest in Centuri following the Centuri IPO.</w:t>
      </w:r>
    </w:p>
    <w:p>
      <w:pPr>
        <w:spacing w:after="0" w:line="8" w:lineRule="exact"/>
        <w:rPr>
          <w:rFonts w:ascii="Times New Roman" w:cs="Times New Roman" w:eastAsia="Times New Roman" w:hAnsi="Times New Roman"/>
          <w:sz w:val="16"/>
          <w:szCs w:val="16"/>
          <w:color w:val="auto"/>
        </w:rPr>
      </w:pPr>
    </w:p>
    <w:p>
      <w:pPr>
        <w:ind w:left="180" w:hanging="10"/>
        <w:spacing w:after="0" w:line="270"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the attributed proportion of the AOCI balance associated with the ownership interests in Centuri held by the new investors as of the Centuri IPO date, amounts for which were reclassified from AOCI to Additional paid-in capital on the Company’s Condensed Consolidated Balance Sheet.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Defined Benefit Plans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6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(Expense)</w:t>
            </w:r>
          </w:p>
        </w:tc>
        <w:tc>
          <w:tcPr>
            <w:tcW w:w="200" w:type="dxa"/>
            <w:vAlign w:val="bottom"/>
          </w:tcPr>
          <w:p>
            <w:pPr>
              <w:spacing w:after="0"/>
              <w:rPr>
                <w:sz w:val="12"/>
                <w:szCs w:val="12"/>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After-Tax</w:t>
            </w:r>
          </w:p>
        </w:tc>
        <w:tc>
          <w:tcPr>
            <w:tcW w:w="0" w:type="dxa"/>
            <w:vAlign w:val="bottom"/>
          </w:tcPr>
          <w:p>
            <w:pPr>
              <w:spacing w:after="0"/>
              <w:rPr>
                <w:sz w:val="1"/>
                <w:szCs w:val="1"/>
                <w:color w:val="auto"/>
              </w:rPr>
            </w:pPr>
          </w:p>
        </w:tc>
      </w:tr>
      <w:tr>
        <w:trPr>
          <w:trHeight w:val="196"/>
        </w:trPr>
        <w:tc>
          <w:tcPr>
            <w:tcW w:w="7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Benefit (8)</w:t>
            </w: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0" w:type="dxa"/>
            <w:vAlign w:val="bottom"/>
          </w:tcPr>
          <w:p>
            <w:pPr>
              <w:spacing w:after="0"/>
              <w:rPr>
                <w:sz w:val="1"/>
                <w:szCs w:val="1"/>
                <w:color w:val="auto"/>
              </w:rPr>
            </w:pPr>
          </w:p>
        </w:tc>
      </w:tr>
      <w:tr>
        <w:trPr>
          <w:trHeight w:val="195"/>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(6)</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Regulatory adjustment (7)</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attributable to Southwest Gas Corporation</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AOCI June 30, 2024</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12,561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80" w:right="20" w:hanging="10"/>
        <w:spacing w:after="0" w:line="259"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55" w:lineRule="auto"/>
        <w:tabs>
          <w:tab w:leader="none" w:pos="6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(before income tax impacts) included in AOCI (in the tables above), that have not yet been recognized in net periodic benefit cost: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recognized in regulatory assets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309,794</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w:t>
            </w:r>
          </w:p>
        </w:tc>
      </w:tr>
      <w:tr>
        <w:trPr>
          <w:trHeight w:val="21"/>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Southwest comprises the natural gas distribution segment and Centuri comprises the utility infrastructure services segment. As a result of the MountainWest sale in February 2023 (previously comprising the pipeline and storage segment), the information for the six months ended June 30, 2023 presented below for MountainWest reflects activity from January 1, 2023 through February 13, 2023 (the last full day of its ownership by the Company).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Centuri accounts for services provided to Southwest at contractual prices. Accounts receivable for these services, which are not eliminated during consolidation, are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accounts receivable for services provided to Southwest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reconcile the table below to net income (loss) as disclosed in the Condensed Consolidated Statements of Income, an Other column is included associated with impacts of corporate and administrative activities related to</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The financial information pertaining to the natural gas distribution, utility infrastructure services, and pipeline and storage segments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180" w:type="dxa"/>
            <w:vAlign w:val="bottom"/>
          </w:tcPr>
          <w:p>
            <w:pPr>
              <w:spacing w:after="0"/>
              <w:rPr>
                <w:sz w:val="17"/>
                <w:szCs w:val="17"/>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Pipeline and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Storage</w:t>
            </w:r>
          </w:p>
        </w:tc>
        <w:tc>
          <w:tcPr>
            <w:tcW w:w="28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510,093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643,394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1,153,487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510,093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1,182,168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775,473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1,263,339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805,779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1,293,645</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Pipeline and</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Infrastructure</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Storage</w:t>
            </w: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2,711,165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1,563,026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1,200,098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2,763,124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1,402,745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1,399,962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2,837,839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59,110</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1,402,745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2,896,949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and administrative activities for Southwest Gas Holdings, Inc. in the three months ending June 30, 2024 include approximately $11 million of interest expense, including amounts incurred under the $550 million Term Loan entered into in April 2023, along with the types of costs customarily incurred at the corporate/holding company level, and $1.7 million in costs associated with the planned separation of Centuri, offset by tax benefits experienced during the quarter.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Centuri Separation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Company and Centuri Holdings, Inc. announced the completion of the Centuri IPO of 12,400,000 shares of Centuri’s common stock at a price of $21.00 per share. Centuri granted the underwriters a 30-day option to purchase up to an additional 1,860,000 shares of its common stock, which was exercised. In addition, Centuri announced the concurrent private placement of an additional 2,591,929 shares at a price equal to the Centuri IPO price, with Icahn Partners LP and Icahn Partners Master Fund LP, investment entities associate with Carl C. Icahn. Centuri’s common stock is listed on the New York Stock Exchange under the symbol “CTRI” and began trading on April 18, 2024. The net proceeds to Centuri from the Centuri IPO and the concurrent private placement, after deducting underwriting discounts and commissions of $18 million and offering expenses, were approximately $328 million. Of this amount, offering expenses of approximately $2.4 million were unpaid as of June 30, 2024. Centuri used the proceeds to repay a portion (approximately $316 million) of outstanding indebtedness under its revolving credit and term loan facility, with the remainder for general corporate purposes.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completion of the Centuri IPO, the Company owns approximately 81% of all ownership interests in Centuri, and continues to consolidate the financial results of Centuri. As of the IPO date, management determined the carrying value of the</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noncontrolling interest based on the relationship that the ownership interest of the new investors bears to the carrying value (net assets) of Centuri (as reflected in the Company’s consolidated financial information). The difference between the fair value of proceeds from the Centuri IPO and the carrying value of the noncontrolling interest is reflected as a reduction in Additional paid-in capital of the Company. As of June 30, 2024, $174.2 million is reflected as equity attributable to noncontrolling interest in the Company’s Condensed Consolidated Balance Sheet. Net income attributable to noncontrolling interests for the three months and six months ended June 30, 2024 was $1.9 million, related to the approximately 19% noncontrolling interest in Centuri from the time of the closing of the Centuri IPO on April 22, 2024 through the end of the second quarter of 2024. Refer to the Company’s Condensed Consolidated Statement of Income and the Condensed Consolidated Statement of Equity for impacts associated with the noncontrolling interest in Centuri.</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reflects the effects of changes in the Company’s ownership interest in Centuri on the Company’s equity:</w:t>
            </w: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11"/>
        </w:trPr>
        <w:tc>
          <w:tcPr>
            <w:tcW w:w="8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7"/>
        </w:trPr>
        <w:tc>
          <w:tcPr>
            <w:tcW w:w="8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106,070</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additional paid-in capital as a result of Centuri IPO</w:t>
            </w:r>
          </w:p>
        </w:tc>
        <w:tc>
          <w:tcPr>
            <w:tcW w:w="3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154,287</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Southwest Gas Holdings, Inc. and transfers from noncontrolling interest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further reduce its ownership in future periods by means of: sales of its remaining Centuri shares into the market, a distribution of Centuri shares to Company stockholders, an exchange of Centuri shares for Southwest Gas Holdings, Inc. shares, or a combination thereof. The Company entered into several agreements with Centuri Holdings, Inc. in connection with the Centuri IPO and the planned separation, providing a framework for the relationship between the Company and Centuri after the Centuri IPO, including a Separation Agreement, a Tax Matters Agreement, and a Registration Rights Agreement. Centuri’s new Board of Directors includes certain overlapping board members with the Company, including Andrew W. Evans, Anne L. Mariucci, and Karen S. Haller (the Company’s Chief Executive Officer).</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Holdings, Inc. is a holding company that owns all of the shares of common stock of Southwest Gas Corporation (“Southwest” or the “natural gas distribution” segment), and through April 22, 2024, owned all of the shares of common stock of Centuri Group, Inc. (the “utility infrastructure services” segment). Southwest Gas Holdings, Inc. and its subsidiaries are collectively referred to as the “Company.” References to “Centuri” relate to Centuri Group, Inc., for periods prior to April 22, 2024, or more recently, to Centuri Holdings, Inc.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that closed on February 14, 2023. Additionally, the Company determined it would pursue a separation of Centuri, including forming a new independent publicly traded utility infrastructure services company.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Company and Centuri Holdings, Inc. announced the completion of an initial public offering (“IPO”) of Centuri’s common stock, with the issuance of 14,260,000 shares ($0.01 par value) at a price of $21.00 per share, along with a concurrent private placement of 2,591,929 shares, at a price equal to the IPO price, with Icahn Partners LP and Icahn Partners Master Fund LP, investment entities associated with Carl C. Icahn. The Company owns approximately 81% of Centuri following these events. Through the first quarter of 2024 and leading up to the IPO, Centuri was a wholly owned subsidiary of Southwest Gas Holdings, Inc. The net proceeds to Centuri from the IPO and the concurrent private placement totaled approximately $328 million, including optional purchase of IPO shares from underwriters. The Company intends to further reduce its ownership interest in future periods by means of: sales of its remaining Centuri shares into the market, a distribution of Centuri shares to Company stockholders, an exchange of Centuri shares for Southwest Gas Holdings, Inc. shares, or a combination thereof.</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includes Southwest, which is engaged in the business of purchasing, distributing, and transporting natural gas for customers in portions of Arizona, Nevada, and California. Southwest is the largest regulated distributor of natural gas in Arizona and Nevada, and also distributes and transports natural gas for customers in portions of California. Additionally, through its subsidiaries, Southwest operates two regulated interstate pipelines serving portions of Nevada and California. Southwest makes investments in infrastructure to support customer demand associated with population growth and economic development activity and the safe and reliable operation of its system through adherence to integrity management programs.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June 30, 2024, Southwest had 2,241,000 residential, commercial, industrial, and other natural gas customers, of which 1,201,000 customers were located in Arizona, 834,000 in Nevada, and 206,000 in California. </w:t>
      </w:r>
      <w:r>
        <w:rPr>
          <w:rFonts w:ascii="Times New Roman" w:cs="Times New Roman" w:eastAsia="Times New Roman" w:hAnsi="Times New Roman"/>
          <w:sz w:val="18"/>
          <w:szCs w:val="18"/>
          <w:color w:val="212529"/>
        </w:rPr>
        <w:t>Over the past twelve months, first-time meter sets were approximately 40,000, compared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to 42,000 for the twelve months ended June 2023. </w:t>
      </w:r>
      <w:r>
        <w:rPr>
          <w:rFonts w:ascii="Times New Roman" w:cs="Times New Roman" w:eastAsia="Times New Roman" w:hAnsi="Times New Roman"/>
          <w:sz w:val="18"/>
          <w:szCs w:val="18"/>
          <w:color w:val="000000"/>
        </w:rPr>
        <w:t>Residential and small commercial customers represented over 99% of the total customer base. During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twelve months ended June 30, 2024, 54% of operating margin (Regulated operations revenues less the net cost of gas sold) was earned in Arizona, 34% in Nevada, and 12% in California. During this same period, Southwest earned 86% of its operating margin from residential and small commercial customers, 4% from other sales customers, and 10% from transportation customers. These patterns are expected to remain materially consistent for the foreseeable future.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 Nearly all of our</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customers, and resulting revenue and margin, are included as part of mechanisms that reduce the impact of weather and volume variability on our earnings.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fuels millions of homes and businesses across the United States (“U.S.”) and Canada. With a commitment to serve as long-term partners to customers and communities, Centuri’s employees enable regulated utilities to safely and reliably deliver natural gas and electricity, as well as achieve their goals for environmental sustainability. Centuri operates in 87 primary locations across 45 states and provinces in the U.S. and Canada. It operates in the U.S., primarily as NPL, Neuco, Linetec, and Riggs Distler, and in Canada, primarily as NPL Canada.</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All of our businesses may be impacted by economic conditions that impact businesses generally, such as inflationary impacts on goods and services consumed in the business, rising or sustained high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2023 Annual Report to Stockholders, which is incorporated by reference into Southwest’s and the Company’s Annual Report on Form 10-K for the fiscal year ended December 31, 2023, in addition to the Risk Factors included in these documents, and as updated from time to time.</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Period Ended June 30,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w:t>
            </w:r>
          </w:p>
        </w:tc>
        <w:tc>
          <w:tcPr>
            <w:tcW w:w="2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w:t>
            </w:r>
          </w:p>
        </w:tc>
        <w:tc>
          <w:tcPr>
            <w:tcW w:w="80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4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163,419</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153,816</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29"/>
        </w:trPr>
        <w:tc>
          <w:tcPr>
            <w:tcW w:w="20" w:type="dxa"/>
            <w:vAlign w:val="bottom"/>
          </w:tcPr>
          <w:p>
            <w:pPr>
              <w:spacing w:after="0"/>
              <w:rPr>
                <w:sz w:val="19"/>
                <w:szCs w:val="19"/>
                <w:color w:val="auto"/>
              </w:rPr>
            </w:pPr>
          </w:p>
        </w:tc>
        <w:tc>
          <w:tcPr>
            <w:tcW w:w="6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r>
      <w:tr>
        <w:trPr>
          <w:trHeight w:val="229"/>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(69,685)</w:t>
            </w:r>
          </w:p>
        </w:tc>
      </w:tr>
      <w:tr>
        <w:trPr>
          <w:trHeight w:val="223"/>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Basic earnings per share</w:t>
            </w:r>
          </w:p>
        </w:tc>
        <w:tc>
          <w:tcPr>
            <w:tcW w:w="434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379,585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362,153</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158,875</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149,495</w:t>
            </w:r>
          </w:p>
        </w:tc>
      </w:tr>
      <w:tr>
        <w:trPr>
          <w:trHeight w:val="223"/>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267,614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256,813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670,523</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2nd Quarter 2024 overview and other recent developments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Centuri IPO with net proceeds of $328 million used primarily to repay amounts under Centuri’s term loan and revolving credit facility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amended the $550 million term loan, extending the debt maturity to July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$11 million in interest expense related to borrowings and $1.7 million in Centuri separation costs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first-time meters sets occurred over the past 12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$11 million in the second quarter of 2024, including Nevada rate relief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maintenance expenses grew less than 2% on a year-to-date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replaced the existing credit facility, extending the expiration from 2025 to 2029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 million capital investment year-to-date</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Utility infrastructure services highlights include the following:</w:t>
      </w:r>
    </w:p>
    <w:p>
      <w:pPr>
        <w:spacing w:after="0" w:line="27" w:lineRule="exact"/>
        <w:rPr>
          <w:sz w:val="20"/>
          <w:szCs w:val="20"/>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$672 million in the second quarter of 2024, a decrease of $133.7 million, or 17%, compared to the second quarter of 2023 (which included favorable weather and more offshore wind work, as well more storm restoration work)</w:t>
      </w: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$33.1 million in the second quarter of 2024, a decrease of $20.1 million, compared to the second quarter 2023 operating income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paid down $316 million of debt from proceeds of the successful IPO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remaining interest in Linetec Services, LLC previously held by noncontrolling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allocation discipline and efficient asset utilization resulted in reductions in depreciation expense</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110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487,866</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242,479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231,053</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256,813</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124,731</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74,845</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21,604</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35,633</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39,839</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17,271</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19,120</w:t>
            </w:r>
          </w:p>
        </w:tc>
      </w:tr>
      <w:tr>
        <w:trPr>
          <w:trHeight w:val="21"/>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natural gas distribution operations improved $8.5 million between the second quarters of 2024 and 2023. The improvement was primarily due to an increase in Operating margin and decrease in Depreciation and amortization, offset by an increase in Operations and maintenance expense and decrease in Other income.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margin increased $10.8 million quarter over quarter. Combined rate relief in Nevada and California added approximately $18 million of incremental margin, and an additional $2 million is attributable to customer growth, including 40,000 first-time meter sets during the last twelve months. The combined impacts of certain customer rate components related to infrastructure and similar tracking mechanisms (not also impacting amortization expense), and the variable interest expense (“VIE”) adjustment mechanism in Nevada (for which amortization is recognized in interest expense), resulted in a combined $2 million of incremental margin between comparable periods. Furthermore, late fee assessments on customer account balances provided $1.2 million in incremental margin. Offsetting these impacts was a decrease in recoveries associated with other regulatory program balances of $16.1 million, for which an associated comparable decrease is also reflected in amortization expense (discussed below). The remaining variance primarily relates to changes in other miscellaneous revenue and revenue from customers outside of the decoupling mechanisms.</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Operations and maintenance expense increased $4.9 million or 4% between quarters. General cost increases were experienced in a variety of areas, including in employee labor-related and benefit costs, leak survey and line locating activities, as well as insurance costs. These increases were partially offset by a reduction in external contractor and professional services expenses.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decreased $13.2 million, or 18%, between quarters, driven primarily by $16.1 million in lower amortization associated with regulatory program balances (noted above), including changes in the amount of, and a shift in the timing of, the California Climate Credit return (from being returned and therefore, amortized, during the first quarter of 2023 to reverting to the more typical timing in the second quarter of 2024). This decrease was partially offset by an increase in depreciation on gas plant, reflective of a $695 million, or 7%, increase in average gas plant in service since the corresponding second quarter of 2023. The increase in plant was attributable to pipeline capacity reinforcement work, franchise requirements, scheduled pipe replacement activities, and new infrastructure.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(which is net of other deductions) decreased $4.5 million. Interest income declined $5.4 million between quarters primarily reflecting a reduction in carrying charges associated with regulatory account balances, notably, deferred purchased gas cost balances, which, on a combined basis, decreased from an asset balance of $786 million as of June 30, 2023 to a net liability balance of $82 million as of June 30, 2024. Interest is earned when balances are assets and interest expense is incurred when balances are liabilities. A $2.9 million decrease in values (including net death benefits) associated with company-owned life insurance (“COLI”) policies and a $1.1 million increase in non-service-related costs associated with employee pension and other postretirement benefits also contributed to the decrease overall between periods. Offsetting these decreases was a $1.8 million increase in the equity portion of the allowance for funds used during construction, and approximately $3 million in software write-offs in the prior year period, which did not recur in 2024.</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deductions increased approximately $2.7 million in the second quarter of 2024, as compared to the prior-year quarter, primarily due to the regulatory treatment associated with Southwest’s Industrial development revenue bonds (the VIE mechanism noted above), including the impacts of deferrals and return/recoveries included in revenue/operating margin that are amortized through interest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Natural Gas Distribution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Six-Month Analysis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8"/>
        </w:trPr>
        <w:tc>
          <w:tcPr>
            <w:tcW w:w="146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1,563,026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1,402,745</w:t>
            </w: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872,476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732,222</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690,550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670,523</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260,493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255,919</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149,495</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44,344</w:t>
            </w:r>
          </w:p>
        </w:tc>
      </w:tr>
      <w:tr>
        <w:trPr>
          <w:trHeight w:val="22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220,765</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37,185</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76,283</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75,726</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182,224</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w:t>
            </w:r>
          </w:p>
        </w:tc>
      </w:tr>
      <w:tr>
        <w:trPr>
          <w:trHeight w:val="223"/>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163,419</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153,816</w:t>
            </w:r>
          </w:p>
        </w:tc>
      </w:tr>
      <w:tr>
        <w:trPr>
          <w:trHeight w:val="21"/>
        </w:trPr>
        <w:tc>
          <w:tcPr>
            <w:tcW w:w="1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from natural gas distribution operations improved approximately $10 million between the first six months of 2024 and 2023. The improvement was primarily due to an increase in Operating margin and decrease in Depreciation and amortization, offset by an increase in Operations and maintenance expense.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margin increased $20 million period over period. Approximately $7 million of incremental margin was attributable to customer growth, including 40,000 first-time meter sets during the last twelve months. Combined rate relief across all our service territories added approximately $28 million of incremental margin. Favorable impacts ($4.5 million, combined) were also realized in connection with certain rate components of infrastructure trackers and the Nevada VIE mechanism. Offsetting these increases was a decrease in recoveries associated with other regulatory programs, totaling $9.6 million, for which an associated comparable decrease is also reflected in amortization expense (discussed below). Furthermore, an $8 million out-of-period favorable gas cost adjustment in the prior-year period did not recur in 2024. Customary gas used in operations (the effects of which are offset in Operations and maintenance expense) also reduced operating margin ($3.8 million) in the current period. Changes in miscellaneous revenue and customers outside of the decoupling mechanisms comprise the remaining variance.</w:t>
      </w:r>
    </w:p>
    <w:p>
      <w:pPr>
        <w:spacing w:after="0" w:line="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Operations and maintenance expense increased $4.6 million, or 2%, between periods. General cost increases were experienced in a variety of areas, including in employee labor-related and benefit costs ($2.4 million), leak survey and line locating activities ($3.7 million), and insurance costs. These increases were partially offset by impacts from the cost of fuel used in operations ($3.8 million, as noted above) and a reduction in other contractor and professional services ($3.3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decreased approximately $3 million, or 2%, between periods, due primarily to a decrease of $9.6 million in amortization associated with the recovery of regulatory program balances, including a sizeable difference in the amount of the California Climate Credit between periods. This decrease was offset by an increase in depreciation on gas plant, reflective of a $686 million, or 7%, increase in average gas plant in service since the corresponding period of 2023. The increase in plant was attributable to pipeline capacity reinforcement work, franchise requirements, scheduled pipe replacement activities, and new infrastructure.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(which is net of other deductions) decreased approximately $4.9 million. Interest income declined $8.1 million between periods primarily reflecting a reduction to carrying charges associated with regulatory account balances, notably, deferred purchased gas cost balances, which decreased from an asset balance of $786 million as of June 30, 2023 to a net liability balance of $82 million as of June 30, 2024. Offsetting these decreases was a $3.7 million increase in the equity portion of the allowance for funds used during construction. Non-service components of postretirement benefit costs increased in 2024,</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but COLI policy death benefits and nonrecoverable software write-offs experienced in the prior year period did not recur in 2024.</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deductions increased $0.6 million in the first six months of 2024, as compared to the prior-year period, including offsetting impacts of $300 million of Senior Notes issued in March 2023 and the payoff in April 2023 of a $450 million term loan.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1100" w:type="dxa"/>
            <w:vAlign w:val="bottom"/>
            <w:tcBorders>
              <w:bottom w:val="single" w:sz="8" w:color="auto"/>
            </w:tcBorders>
          </w:tcPr>
          <w:p>
            <w:pPr>
              <w:spacing w:after="0"/>
              <w:rPr>
                <w:sz w:val="20"/>
                <w:szCs w:val="20"/>
                <w:color w:val="auto"/>
              </w:rPr>
            </w:pPr>
          </w:p>
        </w:tc>
      </w:tr>
      <w:tr>
        <w:trPr>
          <w:trHeight w:val="23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805,779</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604,545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715,717</w:t>
            </w:r>
          </w:p>
        </w:tc>
      </w:tr>
      <w:tr>
        <w:trPr>
          <w:trHeight w:val="229"/>
        </w:trPr>
        <w:tc>
          <w:tcPr>
            <w:tcW w:w="7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36,860</w:t>
            </w:r>
          </w:p>
        </w:tc>
      </w:tr>
      <w:tr>
        <w:trPr>
          <w:trHeight w:val="223"/>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53,202</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22,629</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29,560</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20,199</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18,818</w:t>
            </w:r>
          </w:p>
        </w:tc>
      </w:tr>
      <w:tr>
        <w:trPr>
          <w:trHeight w:val="21"/>
        </w:trPr>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revenues decreased $133.7 million, or 17%, in the second quarter of 2024 when compared to the prior-year quarter, driven by decreases in electric utility infrastructure services (“Electric”) revenues of $67.1 million, and $58.3 million gas utility infrastructure services (“Gas”) revenues. The decrease in Electric revenues was primarily due to a reduction in net volume of work under existing master services agreements (“MSAs”), and a decrease specific to offshore wind revenues of $20.8 million due to timing of project completion. Included in current period Electric revenue was $36.4 million from emergency restoration services following storm damage to U.S. customers’ above-ground utility infrastructure, compared to $33.9 million in emergency restoration services in the same quarter in the prior year. The decrease in Gas revenues was primarily due to a reduction in net volume of work under existing customer MSAs and timing of bid projects, as the prior year benefited from the commencement of a large project that has since been completed.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decreased $111.2 million, or 16%, in the second quarter of 2024 when compared to the prior-year quarter due primarily to a lower volume of infrastructure services provided. Subcontractor costs decreased during the second quarter of 2024 compared to the prior-year quarter primarily due to decreased work under offshore wind projects and change in the mix of work. Margin on jobs in the second quarter of 2024 also decreased primarily due to lower margins on bid work, one-time severance incurred in the current period, decreased volumes leading to underutilization of fixed costs, and unfavorable changes in the mix of work. Included in total Utility infrastructure services expenses were general and administrative costs, which decreased approximately $9.4 million between quarters primarily due to lower incentive compensation during the current period and reductions in corporate salary and benefit costs. Gains on sale of equipment in the second quarter of 2024 and 2023 (reflected as an offset to Utility infrastructure services expenses) were approximately $1.1 million and $1.2 million, respectively.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$2.5 million between quarters, primarily due to a number of small tools within Electric operations becoming fully depreciated in 2023 and not requiring replacement based on project needs. Additionally, more efficient utilization of existing fixed assets in recent periods has slowed the growth of the depreciable asset base, highlighted by capital expenditures of $106.6 million in 2023 compared to capital expenditures of $130.2 million in 2022, which impacted depreciation on a relative basis in the periods following.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interest deductions of $1.9 million between quarters was primarily due to a reduction in the average debt balance as Centuri paid down $156 million of debt under its revolving credit facility and $160 million of debt under its term loan facility with proceeds from its April IPO and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8"/>
        </w:trPr>
        <w:tc>
          <w:tcPr>
            <w:tcW w:w="146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1,200,098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1,459,072</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1,120,188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1,319,397</w:t>
            </w:r>
          </w:p>
        </w:tc>
      </w:tr>
      <w:tr>
        <w:trPr>
          <w:trHeight w:val="230"/>
        </w:trPr>
        <w:tc>
          <w:tcPr>
            <w:tcW w:w="7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68,704</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74,730</w:t>
            </w:r>
          </w:p>
        </w:tc>
      </w:tr>
      <w:tr>
        <w:trPr>
          <w:trHeight w:val="223"/>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64,945</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46,728</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46,901</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r>
      <w:tr>
        <w:trPr>
          <w:trHeight w:val="223"/>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1"/>
        </w:trPr>
        <w:tc>
          <w:tcPr>
            <w:tcW w:w="1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Utility infrastructure services revenues decreased $259 million, or 18%, in the first six months of 2024 when compared to the prior-year comparative period, driven primarily by decreases in Electric revenues of $148.9 million, and Gas revenues of $95.7 million. The decline in Electric revenues was primarily due to a net reduction in volume of work under MSAs, as well as a decrease in offshore wind revenues of $33.4 million due to timing of project completion, and due to a decrease in emergency restoration services of $18.9 million during the period ($45.6 million in the current period, compared to $64.5 million in the previous period). The decrease in Gas revenues was primarily due to a reduction in net volumes under existing customer MSAs and timing of bid projects, as the prior year benefited from the commencement of a large project that has since been completed.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decreased $199.2 million, or 15%, between periods. The overall decrease was primarily due to lower volume of infrastructure services provided. Subcontractor costs decreased during the period of 2024 compared to the prior-year period primarily due to decreased work under offshore wind projects and changes in mix of work. Margin on jobs also decreased in the current year-to-date period compared to the same period in the prior year due to unfavorable winter weather, lower margins on bid work, a reduction in more profitable emergency restoration services between periods, and underutilization of fixed costs due to the lower volume of work. General and administrative costs included in total utility infrastructure services expenses decreased approximately $4.4 million between comparative periods primarily due to lower incentive compensation and lower corporate salary and benefit costs during the current period, partially offset by an increase in one-time severance and strategic review costs. Gains on sale of equipment in the first six months of 2024 and 2023 (reflected as an offset to Utility infrastructure services expenses) were approximately $2 million and $1.8 million, respectively.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$6 million between periods, primarily due to a number of small tools within Electric operations becoming fully depreciated in 2023 and not requiring replacement based on project needs. Additionally, more efficient utilization of existing fixed assets in recent periods has slowed the growth of the depreciable asset base, as discussed above.</w:t>
      </w:r>
    </w:p>
    <w:p>
      <w:pPr>
        <w:spacing w:after="0" w:line="68" w:lineRule="exact"/>
        <w:rPr>
          <w:sz w:val="20"/>
          <w:szCs w:val="20"/>
          <w:color w:val="auto"/>
        </w:rPr>
      </w:pPr>
    </w:p>
    <w:p>
      <w:pPr>
        <w:ind w:right="1040"/>
        <w:spacing w:after="0" w:line="375" w:lineRule="auto"/>
        <w:rPr>
          <w:sz w:val="20"/>
          <w:szCs w:val="20"/>
          <w:color w:val="auto"/>
        </w:rPr>
      </w:pPr>
      <w:r>
        <w:rPr>
          <w:rFonts w:ascii="Times New Roman" w:cs="Times New Roman" w:eastAsia="Times New Roman" w:hAnsi="Times New Roman"/>
          <w:sz w:val="18"/>
          <w:szCs w:val="18"/>
          <w:color w:val="auto"/>
        </w:rPr>
        <w:t>Income tax benefit increased $13.5 million between quarters, primarily due to differences in pre-tax income and provisions under the tax law. Rates and Regulatory Proceedings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is subject to the regulation of the Arizona Corporation Commission (“ACC”), the Public Utilities Commission of Nevada (the “PUCN”), the California Public Utilities Commission (the “CPUC”), and two of Southwest’s subsidiaries are subject to regulation by the Federal Energy Regulatory Commission (the “FERC”).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filed its 2024 Arizona rate case application in early February 2024, proposing an increase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$126 million to reflect the continued significant capital investments in the state and to update rates to more closely align with Southwest’s current level of operations and maintenance expense. The request includes a return on common equity of 10.15% and a 0.81% fair value increment, relative to a 50% target equity ratio and a proposed</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twelve-month post-test year adjustment for non-revenue producing plant. In addition to proposing the continuation of full revenue decoupling under the Delivery Charge Adjustment (“DCA”) mechanism, Southwest proposed the establishment of the System Improvement Benefit (“SIB”) mechanism, a capital tracker designed to support required code and regulatory-related infrastructure replacements. Southwest also proposed to set the carrying cost for the interest component of the DCA and Gas Cost Balancing Account (“GCBA”) rate adjustment mechanisms to equal the Commission-authorized Weighted Average Cost of Capital, and to establish an Unrecovered Gas Cost Expense Provision (“UGCE”), which represents the gas cost-related portion of net write-offs of uncollectible customer accounts. The UGCE would allow Southwest to more timely recover commodity and related components of such accounts. Rates, following the conclusion of the rate case, are anticipated to become effective in the second quarter of 2025. Southwest’s existing general rates became effective February 1, 2023 following the conclusion of the previous general rate case.</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described above, includes a filing each April, which along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contemplates a rate to return/recover the over- or under-collected margin balance. The existing rate to return the over-collected balance existing as of March 31, 2023 was approved and became effective August 1, 2023. The most recent filing was made in April 2024, requesting to update rates to address the $17.5 million over-collected balance existing as of March 31, 2024, and is anticipated to be implemented in the third quarter of 2024.</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A Tax Expense Adjustor Mechanism (“TEAM”) was approved in Southwest’s 2019 general rate case to timely recognize tax rate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federal or state tax legislation following the TEAM implementation. In addition, the TEAM tracks and returns/recovers the revenue requirement impact of changes in the amortization of excess accumulated deferred income taxes (“EADIT”), including that which resulted from 2017 U.S. federal tax reform, compared to the amount authorized in the most recently concluded rate case. Following the inaugural surcredit rate establishment under the TEAM mechanism in December 2022, Southwest has filed subsequent TEAM rate applications, including a recent filing, which proposed to update the TEAM surcredit to refund $5.03 million of estimated EADIT savings. The adjusted rate became effective June 1,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Customer-Owned Yard Line (“COYL”) Program</w:t>
      </w:r>
      <w:r>
        <w:rPr>
          <w:rFonts w:ascii="Times New Roman" w:cs="Times New Roman" w:eastAsia="Times New Roman" w:hAnsi="Times New Roman"/>
          <w:sz w:val="18"/>
          <w:szCs w:val="18"/>
          <w:color w:val="auto"/>
        </w:rPr>
        <w:t>. Southwest originally received approval, in connection with its 2010 Arizona general rate case,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 program to conduct leak surveys, and if leaks were present, to replace and relocate service lines and meters for Arizona customers whose meters were placed away from the customer’s home, representing a non-traditional configuration. The COYL program has been subject to proceedings to recover investments since that time. In February 2024, Southwest requested approval to recover the outstanding revenue requirement of approximately $1.8 million associated with 2023 COYL investments. The adjusted rate became effective June 15, 2024.</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On March 1, 2023, Southwest filed a request to adjust the interest rate applicable to the outstanding Purchased Gas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(“PGA”) balance to more closely match the interest expense incurred to finance the balance. In the alternative, the filing requested an expansion of the current GCBA adjustment to clear the then existing $351 million balance. In July 2023, the ACC approved an increase to the GCBA rate (over a two-year period) effective August 1, 2023, to support the timely recovery of the approximately $358 million balance as of May 31, 2023. The increased GCBA rate will remain for up to two years or until the balance drops below $10 million, at which point the GCBA rate will be set to $0.00 per therm, where it will remain until the under- or over-collected balance exceeds $10 million. The ongoing deferred energy rates, separate from the GCBA rates, continue to be updated monthly.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Southwest filed its most recent general rate case in September 2023 based on the test year ended May 2023. The initial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updated with a certification filing primarily for plant placed in service and incremental annual leak survey costs through November 2023. Those updates resulted in an updated overall request of $74 million, an increase over the initial request of $69.8 million. A stipulation was reached with Regulatory Operations Staff and the Bureau of Consumer Protection, settling certain issues and agreeing to a black box settlement with a statewide increase of $65.6 million, before any adjustments for the cost of capital. Following a hearing on cost of capital issues, the PUCN issued a decision approving an annual increase in revenues of $59 million, approving the proposed settlement, and authorizing a return on common equity of 9.5%, including the use of a hypothetical capital structure of 50% debt and 50% equity. Included in the settled items were a continuation of full revenue decoupling; authority to continue tracking incremental annual leak survey costs in a regulatory asset (discussed further below); and refreshed depreciation rates that are somewhat lower than proposed. New rates became effective in April 2024.</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The General Revenues Adjustment (“GRA”), or Nevada decoupling mechanism, was affirmed as part of Southwest’s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concluded general rate case and adjustments are included in the Annual Rate Adjustment (“ARA”) filings intended to update rates to recover/return amounts associated with various regulatory mechanisms, including the GRA. Southwest made its most recent ARA filing in November 2023 related to the approximate $8.7 million over-collected</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balance as of September 30, 2023. Recovery of rates and adjustments thereto as part of the ARA primarily impact cash flows, but not net income overall. Updated rates for the GRA and other regulatory mechanisms included in the ARA filing became effective May 1, 2024, earlier than the typical July 1, 2024 effective date.</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Nevada Leak Survey. </w:t>
      </w:r>
      <w:r>
        <w:rPr>
          <w:rFonts w:ascii="Times New Roman" w:cs="Times New Roman" w:eastAsia="Times New Roman" w:hAnsi="Times New Roman"/>
          <w:sz w:val="18"/>
          <w:szCs w:val="18"/>
          <w:color w:val="auto"/>
        </w:rPr>
        <w:t>In 2019, the PUCN opened an Investigation and Rulemaking action to consider certain amendments to the Nevada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requiring annual leak surveys of distribution pipelines transporting natural gas or liquid petroleum. The increased survey activity was to focus on business districts and to be conducted generally on an annual basis (not exceeding 15-month survey intervals). The proposed regulations were permanently adopted effective January 1, 2023. Regulatory asset treatment was approved for the purpose of tracking incremental costs associated with implementing the increased leak surveys. Continuation of the program, along with recovery of earlier incurred amounts over a two-year period, was approved in conjunction with Southwest’s recently completed general rate case.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most recent general rate case, the continuation of annual Post Test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(“PTY”) margin attrition increases of 2.75% began in January 2022. The most recent increase included the attrition component, along with adjustments related to the amortization of EADIT, the impact of the Automatic Trigger Mechanism (“ATM”) on authorized rate base, and margin associated with the North Lake Tahoe Lateral replacement project. The ATM adjusts the rate of return up or down (in this case, up) as a result of changes in the average utility bond yield that exceed 100 basis points. The cumulative impact resulted in an annual increase of $11.6 million effective January 2024 for Southwest’s combined southern California, northern California, and South Lake Tahoe rate jurisdictions. The PTY increase of $4.7 million associated with the North Lake Tahoe Lateral revenue requirement became effective February 1,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 Area Extension. </w:t>
      </w:r>
      <w:r>
        <w:rPr>
          <w:rFonts w:ascii="Times New Roman" w:cs="Times New Roman" w:eastAsia="Times New Roman" w:hAnsi="Times New Roman"/>
          <w:sz w:val="18"/>
          <w:szCs w:val="18"/>
          <w:color w:val="auto"/>
        </w:rPr>
        <w:t>Southwest filed a request to expand its southern California certificated service area, a Certificate of Public Convenience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Necessity (“CPCN”), to include the Army’s National Training Center at Fort Irwin, located northeast of Barstow, California. The CPCN was approved by the CPUC in April 2024 and authorizes Southwest to construct approximately 21 miles of distribution main pipeline to deliver natural gas service to the newly certificated area in Fort Irwin, which at the time of filing was estimated to cost approximately $38.7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Great Basin Gas Transmission Company (“Great Basin”), a wholly owned subsidiary of Southwest, filed notice of a change in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applicable regulations) on March 6, 2024, requesting that rates for natural gas service subject to the filing be made effective April 6, 2024. The</w:t>
      </w:r>
    </w:p>
    <w:p>
      <w:pPr>
        <w:jc w:val="both"/>
        <w:spacing w:after="0" w:line="256" w:lineRule="auto"/>
        <w:rPr>
          <w:sz w:val="20"/>
          <w:szCs w:val="20"/>
          <w:color w:val="auto"/>
        </w:rPr>
      </w:pPr>
      <w:r>
        <w:rPr>
          <w:rFonts w:ascii="Times New Roman" w:cs="Times New Roman" w:eastAsia="Times New Roman" w:hAnsi="Times New Roman"/>
          <w:sz w:val="18"/>
          <w:szCs w:val="18"/>
          <w:color w:val="auto"/>
        </w:rPr>
        <w:t>FERC, however, suspended the case for a five-month period, which will allow rates to go into effect, subject to refund, September 6, 2024. The filing includes a request to continue a term-differentiated rate structure which was adopted as part of Great Basin’s last general rate case, an overall revenue increase of approximately $16 million, and a return on equity of 14.05% and 13.05% applicable to each category of shippers, as applicable, and a capital structure of 44% long-term debt and 56% common equity. A primary driver of the proposed increase is approximately $99 million of capital investments anticipated to be placed in service by the end of the August 31, 2024 test year. Motion rates, subject to refund, are anticipated to become effective in September 2024, with an initial decision during the second quarter of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June 30, 2024, under-collections in Arizona and California resulted in an asset of approximately $39.8 million and over-collections in southern and northern Nevada resulted in a liability of approximately $121.3 million on the Company’s and Southwest’s Condensed Consolidated Balance Sheets. The substantial reduction in balances between periods in the table below reflects a combination of specific recovery rates in place to collect the build-up of earlier balances as a result of the cost paid for gas in those earlier periods, and recent conditions whereby base rates under the mechanisms have exceeded the cost of recent gas purchases with suppliers, given substantially lower natural gas prices compared to those experienced heading into 2023.</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32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June 30, 2023</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60,781</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349,649</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36,327</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785,588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In addition, certain national events, including several major storms in recent years affecting central portions of the U.S., contributed to the periodic run-up in gas supply costs, before commodity costs significantly dropped in more recent periods. This collective activity necessitated the issuance of both debt and equity securities to supplement cash flows from operations, before cash reserves built up at the utility in more recent periods, including from collections under the PGA mechanisms. Southwest Gas Holdings, Inc. and Southwest’s capitalization strategy is to maintain an appropriate balance of equity and debt to preserve investment-grade credit ratings, which help minimize interest costs. Investment-grade credit ratings have been maintained by Southwest Gas Holdings, Inc. and Southwest.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increased $838 million in the first six months of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2023. The increase was primarily driven by the collection of previously deferred purchased gas costs for Southwest. As noted above, in the previous year rates billed to customers for gas supply costs were lower than actual expenditures. These differences were deferred and are now being collected and have provided a significant source of available funds in the current period. The improvement in cash flows also reflects the impacts of changes in other components of working capital overall, including the timing and amount of accounts payable and other current asset and liability balances.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provided by consolidated investing activities decreased $1.03 billion in the first six months of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2023. The overall decrease was driven by $1.05 billion in proceeds received in connection with the MountainWest sale (net of cash sold) in 2023, partially offset by proceeds from the sale of other property.</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from consolidated financing activities increased $614 million in the first six months of 2024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2023. The overall increase was primarily due to activity in 2023, including the first quarter 2023 repayment ($1.1 billion) of the then remaining balance of the term loan entered into by Southwest Gas Holdings, Inc. in connection with the 2021 acquisition of MountainWest, along with other borrowing and repayment activity in that year. Net financing activities in 2024 include proceeds received ($330 million, excluding $2.4 million of offering expenses that were unpaid as of June 30, 2024) from the Centuri IPO, with the majority of the proceeds used by Centuri to pay down portions of its revolving credit and term loan facility. Financing cash flows also include Centuri’s redemption of the previously remaining redeemable noncontrolling interest in Linetec for $92 million in 2024 (compared to $40 million of partial redemption in the comparable period in the prior year), in addition to utilization of its credit facility for this and other purposes. The prior year period also included proceeds received from the issuance of common stock in an underwritten public offering in March 2023, with no comparable issuance in the current year. Other financing cash flows include borrowings and repayments under the companies’ credit facilities, and an increase in dividends paid between periods.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Inc. in the first six months of 2024 overall primarily include interest paid on outstanding borrowings and costs associated with the Centuri separation.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debt financing sources. However, the holding company may raise funds through stock issuances or other external financing sources in support of each business segment.</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increased approximately $900 million in the first six months of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2023. The improvement in operating cash flows was primarily attributable to the collection of deferred purchased gas costs (as discussed above), as well as cash flows from other working capital changes overall.</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decreased $15 million in the first six months of 2024 as compared to the same period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While outflows for capital expenditures increased by $10 million between periods, the current period also reflects inflows from the sale of property, as well as reduced outflows related to customer advances for construction. See also </w:t>
      </w:r>
      <w:r>
        <w:rPr>
          <w:rFonts w:ascii="Times New Roman" w:cs="Times New Roman" w:eastAsia="Times New Roman" w:hAnsi="Times New Roman"/>
          <w:sz w:val="18"/>
          <w:szCs w:val="18"/>
          <w:i w:val="1"/>
          <w:iCs w:val="1"/>
          <w:color w:val="auto"/>
        </w:rPr>
        <w:t>Natural Gas Distribution Segment Construction Expenditures, Debt Maturities,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Financing </w:t>
      </w:r>
      <w:r>
        <w:rPr>
          <w:rFonts w:ascii="Times New Roman" w:cs="Times New Roman" w:eastAsia="Times New Roman" w:hAnsi="Times New Roman"/>
          <w:sz w:val="18"/>
          <w:szCs w:val="18"/>
          <w:color w:val="auto"/>
        </w:rPr>
        <w:t>below.</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from financing activities decreased $561 million in the first six months of 2024 as compared to the same period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decline was primarily due to $530 million in parent capital contributions in 2023 with no comparable contribution in the current year. Outflows for dividend payments increased in the current period. Other impacts primarily relate to the mostly offsetting borrowing activity in 2023, including issuance of long- and short-term debt and repayment of short-term debt, along with activity under Southwest’s credit facility in that year. See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six-month period ended June 30, 2024, construction expenditures for the natural gas distribution segment were $391 million. The majority of these expenditures, approximately 55%, were associated with the replacement of existing transmission and distribution pipeline facilities to fortify system integrity and reliability, as well as other general plant expenditures, with the remainder related to new construction.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Management estimates natural gas segment construction expenditures during the three-year period ending December 31, 2026 will be approximately $2.4 billion. Of this amount, approximately $830 million is expected to be incurred during calendar year 2024.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In August 2024, Southwest entered into a new credit facility to replace the existing credit facility that was otherwise set to expire in 2025; the new agreement includes similar terms to the existing facility, but the new agreement extends the maturity date to 2029. Otherwise, Southwest has $75 million of long-term debt maturing in 2026, but no debt maturities in either 2024 or 2025. Also during that same three-year period, cash flows from operating activities of Southwest are expected to provide approximately 78% of the funding for gas operations of Southwest and total construction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as well as growth levels in Southwest’s service areas and earnings. External financings may include the issuance of debt securities, bank and other short-term borrowings, and other forms of financing.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our payout ratio, and our ability to maintain investment-grade credit ratings and liquidity. The Company has paid dividends on its common stock since 1956. In February 2024, the Board determined to maintain the quarterly dividend at $0.62 per share, effective with the June 2024 payment. Although no assurances can be provided on our future dividend payments, the Board currently intends to reevaluate the dividend upon the completion of the Centuri separation, and it is anticipated that we will pay a dividend at a level consistent with industry peers.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2024, the balance in the PGA accounts included an under-collection of approximately $39.8 million pertaining to the Arizona and California jurisdictions and an over-collection of $121.3 million pertaining to Nevada. The substantial reduction in the PGA balance as of this date compared to balances existing in recently concluded and comparable earlier periods is also highlighted by the substantial cash balance of $565 million existing as of June 30, 2024.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has a credit facility with a borrowing capacity of $300 million that expires in December 2026. This facility is intended for short-term financing needs. At June 30, 2024, $111 million was outstanding under this facility.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Southwest Gas Holdings, Inc. entered into a $550 million Term Loan Credit Agreement (the “Term Loan”) that was set to mature in October 2024. Southwest Gas Holdings, Inc. utilized a majority of the proceeds to make an equity contribution to Southwest. In August 2024, the Company amended its Term Loan agreement, extending the maturity date to July 31, 2025 and changed the interest with reference to SOFR from an applicable margin of 1.300% to 1.125%, among other miscellaneous changes. Management has reflected this indebtedness as long-term borrowings as of June 30, 2024.</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has a credit facility with a borrowing capacity of $400 million, which was set to expire in April 2025, before it was replaced in August 2024, extending the maturity date to 2029, as noted earlier. The operations, designations, and key business terms are comparable to the prior facility. Southwest designates $150 million of capacity under the facility for long-term borrowing needs and the remaining $250 million for working capital purposes. There was no activity on either the long-term or short-term portions of the existing facility during the six-month period ending June 30, 2024. Additionally, at June 30, 2024, no borrowings were outstanding on either the long-term or short-term portions of the existing facility. The credit facility can be used as necessary to meet liquidity requirements, including temporarily financing under-collected PGA balances, or meeting the refund needs of over-collected balances. The credit facility in place has generally been adequate for Southwest’s working capital needs outside of funds raised through operations and other types of external financing. Any additional cash requirements would include utilization of the credit facility, equity contributions from the Company, and/or other external financing sources.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has a $50 million commercial paper program. Any issuance under the commercial paper program is supported by Southwest’s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June 30, 2024, there were no borrowings outstanding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The capacity of the line of credit is $400 million, with related amounts borrowed and repaid being available to be re-borrowed; the term loan facility has a limit of $1.145 billion. The term loan facility expires on August 27, 2028 and the revolving credit facility expires on August 27, 2026. This multi-currency facility allows the borrower to request loan advances in either Canadian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June 30, 2024 totaled $2.5 billion. The maximum amount outstanding on the combined facility during the first six months of 2024 was $1.117 billion. As of June 30, 2024, $144 million was outstanding on the revolving credit facility, in addition to $831 million that was outstanding on the term loan portion of the facility. Also at June 30, 2024, there was approximately $196 million, net of letters of credit, available for borrowing under the line of credit.</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Centuri successfully completed an IPO of 14,260,000 shares of Centuri common stock at a price of $21.00 per share, in addition to a concurrent private placement of 2,591,929 shares at a price equal to the IPO price. The collective net proceeds to Centuri approximated $328 million. Centuri used $316 million of the proceeds to repay amounts outstanding under its revolving credit and term loan facility, with the remainder intended for general corporate purposes. Following the IPO, the Company owns approximately 81% of the outstanding shares of Centuri common stock. The Company intends to further reduce its ownership in Centuri in future periods through: sales of its remaining Centuri shares into the market, a distribution of Centuri shares to Company stockholders, through an exchange of Centuri shares for Southwest Gas Holdings, Inc. shares, or a combination thereof.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have been no significant changes with regard to the critical accounting policies and estimates disclosed in the MD&amp;A in the Companies’ Annual Report on Form 10-K for the year ended December 31, 2023.</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debt maturities, those regarding separating from Centuri following the completed IPO, by means of sales into the market, a distribution to Company stockholders, or through an exchange of Centuri shares for Southwest Gas Holdings, Inc. shares, or a combination thereof, and any references as to the timing of any separation of Centuri, those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purchase price true-ups or post-closing payments and related impairments or losses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plans and expectations regarding the tax treatment of a separation of Centuri, the impact of any Pipeline and Hazardous Materials Safety Administration rulemaking, the amounts and timing for completion of estimated future construction expenditures, plans to pursue infrastructure programs or programs under SB 151 legislation in Nevada, forecasted operating cash flows and results of operations, net earnings impacts or recovery of costs from gas infrastructure replacement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a planned at-the-market equity program or otherwise, future dividends or increases and the Board’s current payout strategy,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including proposed regulatory mechanisms, or references to impacts believed to be timing-related, are forward-looking statements. All forward-looking statements are intended to be subject to the safe harbor protection provided by the Reform Act.</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earlier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including industry-specific tax regulations, variability in volume of gas or transportation service sold to customers, changes in gas procurement practices, changes in capital requirements and funding,</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0" w:name="page41"/>
    <w:bookmarkEnd w:id="4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impact of credit rating actions and conditions in the capital markets on financing costs, changes in construction expenditures and financing, levels of or changes in operations and maintenance expenses, or other costs, including fuel costs and other costs impacted by inflation or otherwise, the results of any cost containment efforts,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delays, or customer budgetary plans on Centuri’s operations, projections about acquired businesses’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 or reduction, the result of productivity inefficiencies from regulatory requirements or efficiencies in performing storm-related or other types of work, the frequency or amount of work associated with storms,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Centuri separation following the completed IPO,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other intangible assets, and utility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 Quantitative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Qualitative Disclosures About Market Risk </w:t>
      </w:r>
      <w:r>
        <w:rPr>
          <w:rFonts w:ascii="Times New Roman" w:cs="Times New Roman" w:eastAsia="Times New Roman" w:hAnsi="Times New Roman"/>
          <w:sz w:val="18"/>
          <w:szCs w:val="18"/>
          <w:color w:val="auto"/>
        </w:rPr>
        <w:t>in the Annual Report on Form 10-K for the year ended December 31, 2023.</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2023 Annual Report on Form 10-K filed with the SEC. No material changes have occurred related to the disclosures about market risk since December 31, 2023.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June 30, 2024,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Southwest’s internal control over financial reporting (as defined in Rules 13a-15(f) and 15d-15(f) of the Exchange Act) during the second quarter of 2024 that have materially affected, or are likely to materially affect the Company’s internal control over financial reporting.</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Southwest’s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Section 16 officers informed us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380" w:type="dxa"/>
            <w:vAlign w:val="bottom"/>
          </w:tcPr>
          <w:p>
            <w:pPr>
              <w:spacing w:after="0"/>
              <w:rPr>
                <w:sz w:val="17"/>
                <w:szCs w:val="17"/>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of Restricted Stock Unit Award Agreement under the Southwest Gas Holdings, Inc. 2024 Omnibus</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Incentive Plan. Incorporated herein by reference to Exhibit 10.1 to Form 8-K dated May 2, 2024.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53">
              <w:r>
                <w:rPr>
                  <w:rFonts w:ascii="Times New Roman" w:cs="Times New Roman" w:eastAsia="Times New Roman" w:hAnsi="Times New Roman"/>
                  <w:sz w:val="18"/>
                  <w:szCs w:val="18"/>
                  <w:color w:val="0000FF"/>
                  <w:w w:val="96"/>
                </w:rPr>
                <w:t>37976.</w:t>
              </w:r>
            </w:hyperlink>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380" w:type="dxa"/>
            <w:vAlign w:val="bottom"/>
          </w:tcPr>
          <w:p>
            <w:pPr>
              <w:spacing w:after="0"/>
              <w:rPr>
                <w:sz w:val="22"/>
                <w:szCs w:val="22"/>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Form of Performance Stock Unit Award Agreement (EPS and ROE) under the Southwest Gas Holdings, Inc.</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2024 Omnibus Incentive Plan. Incorporated herein by reference to Exhibit 10.2 to Form 8-K dated May 2, 2024.</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File No. 001-37976.</w:t>
              </w:r>
            </w:hyperlink>
          </w:p>
        </w:tc>
        <w:tc>
          <w:tcPr>
            <w:tcW w:w="682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10.3</w:t>
            </w:r>
          </w:p>
        </w:tc>
        <w:tc>
          <w:tcPr>
            <w:tcW w:w="380" w:type="dxa"/>
            <w:vAlign w:val="bottom"/>
          </w:tcPr>
          <w:p>
            <w:pPr>
              <w:spacing w:after="0"/>
              <w:rPr>
                <w:sz w:val="22"/>
                <w:szCs w:val="22"/>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of Performance Stock Unit Award Agreement (UNI and ROE) under the Southwest Gas Holdings, Inc.</w:t>
              </w:r>
            </w:hyperlink>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2024 Omnibus Incentive Plan. Incorporated herein by reference to Exhibit 10.3 to Form 8-K dated May 2, 2024.</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3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File No. 001-37976.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380" w:type="dxa"/>
            <w:vAlign w:val="bottom"/>
          </w:tcPr>
          <w:p>
            <w:pPr>
              <w:spacing w:after="0"/>
              <w:rPr>
                <w:sz w:val="22"/>
                <w:szCs w:val="22"/>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Performance Stock Unit Award Agreement with Karen S. Haller. Incorporated herein by reference to Exhibit</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Form 8-K dated May 2, 2024. File No. 001-37976.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10.5</w:t>
            </w:r>
          </w:p>
        </w:tc>
        <w:tc>
          <w:tcPr>
            <w:tcW w:w="380" w:type="dxa"/>
            <w:vAlign w:val="bottom"/>
          </w:tcPr>
          <w:p>
            <w:pPr>
              <w:spacing w:after="0"/>
              <w:rPr>
                <w:sz w:val="24"/>
                <w:szCs w:val="24"/>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Performance Stock Unit Award Agreement with Robert J. Stefani. Incorporated herein by reference to Exhibit</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to Form 8-K dated May 2, 2024. File No. 001-37976.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10.6</w:t>
            </w:r>
          </w:p>
        </w:tc>
        <w:tc>
          <w:tcPr>
            <w:tcW w:w="380" w:type="dxa"/>
            <w:vAlign w:val="bottom"/>
          </w:tcPr>
          <w:p>
            <w:pPr>
              <w:spacing w:after="0"/>
              <w:rPr>
                <w:sz w:val="24"/>
                <w:szCs w:val="24"/>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Performance Stock Unit Award Agreement with Justin L. Brown. Incorporated herein by reference to Exhibit</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Form 8-K dated May 2, 2024. File No. 001-37976.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10.7</w:t>
            </w:r>
          </w:p>
        </w:tc>
        <w:tc>
          <w:tcPr>
            <w:tcW w:w="380" w:type="dxa"/>
            <w:vAlign w:val="bottom"/>
          </w:tcPr>
          <w:p>
            <w:pPr>
              <w:spacing w:after="0"/>
              <w:rPr>
                <w:sz w:val="24"/>
                <w:szCs w:val="24"/>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Southwest Gas Holdings, Inc. 2024 Omnibus Incentive Plan. Incorporated by reference to Exhibit 10.1 to</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Registration Statement on Form S-8 dated May 10, 2024. File No. 333-279320.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10.8</w:t>
            </w:r>
          </w:p>
        </w:tc>
        <w:tc>
          <w:tcPr>
            <w:tcW w:w="380" w:type="dxa"/>
            <w:vAlign w:val="bottom"/>
          </w:tcPr>
          <w:p>
            <w:pPr>
              <w:spacing w:after="0"/>
              <w:rPr>
                <w:sz w:val="24"/>
                <w:szCs w:val="24"/>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Separation Agreement, dated as of April 11, 2024, by and between Southwest Gas Holding, Inc. and Centuri</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Holdings, Inc. Incorporated herein by reference to Exhibit 10.1 to Form 8-K dated April 11, 2024. File No. 001-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60">
              <w:r>
                <w:rPr>
                  <w:rFonts w:ascii="Times New Roman" w:cs="Times New Roman" w:eastAsia="Times New Roman" w:hAnsi="Times New Roman"/>
                  <w:sz w:val="18"/>
                  <w:szCs w:val="18"/>
                  <w:color w:val="0000FF"/>
                  <w:w w:val="96"/>
                </w:rPr>
                <w:t>37976.</w:t>
              </w:r>
            </w:hyperlink>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10.9</w:t>
            </w:r>
          </w:p>
        </w:tc>
        <w:tc>
          <w:tcPr>
            <w:tcW w:w="380" w:type="dxa"/>
            <w:vAlign w:val="bottom"/>
          </w:tcPr>
          <w:p>
            <w:pPr>
              <w:spacing w:after="0"/>
              <w:rPr>
                <w:sz w:val="22"/>
                <w:szCs w:val="22"/>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Tax Matters Agreement, dated as of April 11, 2024, by and between Southwest Gas Holding, Inc. and Centuri</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Holdings, Inc. Incorporated herein by reference to Exhibit 10.2 to Form 8-K dated April 11, 2024. File No. 001-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61">
              <w:r>
                <w:rPr>
                  <w:rFonts w:ascii="Times New Roman" w:cs="Times New Roman" w:eastAsia="Times New Roman" w:hAnsi="Times New Roman"/>
                  <w:sz w:val="18"/>
                  <w:szCs w:val="18"/>
                  <w:color w:val="0000FF"/>
                  <w:w w:val="96"/>
                </w:rPr>
                <w:t>37976.</w:t>
              </w:r>
            </w:hyperlink>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10.10</w:t>
            </w:r>
          </w:p>
        </w:tc>
        <w:tc>
          <w:tcPr>
            <w:tcW w:w="380" w:type="dxa"/>
            <w:vAlign w:val="bottom"/>
          </w:tcPr>
          <w:p>
            <w:pPr>
              <w:spacing w:after="0"/>
              <w:rPr>
                <w:sz w:val="22"/>
                <w:szCs w:val="22"/>
                <w:color w:val="auto"/>
              </w:rPr>
            </w:pPr>
          </w:p>
        </w:tc>
        <w:tc>
          <w:tcPr>
            <w:tcW w:w="8360" w:type="dxa"/>
            <w:vAlign w:val="bottom"/>
            <w:gridSpan w:val="2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Registration Rights Agreement, dated as of April 11, 2024, by and between Southwest Gas Holding, Inc. and</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Centuri Holdings, Inc. Incorporated herein by reference to Exhibit 10.3 to Form 8-K dated April 11, 2024. File</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320" w:type="dxa"/>
            <w:vAlign w:val="bottom"/>
            <w:gridSpan w:val="18"/>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No. 001-37976.</w:t>
              </w:r>
            </w:hyperlink>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14"/>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874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gridSpan w:val="14"/>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874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4400" w:type="dxa"/>
            <w:vAlign w:val="bottom"/>
            <w:tcBorders>
              <w:left w:val="single" w:sz="8" w:color="0000FF"/>
            </w:tcBorders>
            <w:gridSpan w:val="15"/>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874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40" w:type="dxa"/>
            <w:vAlign w:val="bottom"/>
            <w:gridSpan w:val="14"/>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74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4400" w:type="dxa"/>
            <w:vAlign w:val="bottom"/>
            <w:gridSpan w:val="15"/>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740" w:type="dxa"/>
            <w:vAlign w:val="bottom"/>
            <w:gridSpan w:val="21"/>
          </w:tcPr>
          <w:p>
            <w:pPr>
              <w:ind w:left="180"/>
              <w:spacing w:after="0"/>
              <w:rPr>
                <w:sz w:val="20"/>
                <w:szCs w:val="20"/>
                <w:color w:val="auto"/>
              </w:rPr>
            </w:pPr>
            <w:r>
              <w:rPr>
                <w:rFonts w:ascii="Times New Roman" w:cs="Times New Roman" w:eastAsia="Times New Roman" w:hAnsi="Times New Roman"/>
                <w:sz w:val="18"/>
                <w:szCs w:val="18"/>
                <w:color w:val="auto"/>
              </w:rPr>
              <w:t>-  The following materials from the Quarterly Report on Form 10-Q of Southwest Gas Holdings, Inc. and</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6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June 30, 2024, were formatted in Inline XBRL (Extensible</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60" w:type="dxa"/>
            <w:vAlign w:val="bottom"/>
            <w:gridSpan w:val="20"/>
          </w:tcPr>
          <w:p>
            <w:pPr>
              <w:spacing w:after="0" w:line="181" w:lineRule="exact"/>
              <w:rPr>
                <w:sz w:val="20"/>
                <w:szCs w:val="20"/>
                <w:color w:val="auto"/>
              </w:rPr>
            </w:pPr>
            <w:r>
              <w:rPr>
                <w:rFonts w:ascii="Times New Roman" w:cs="Times New Roman" w:eastAsia="Times New Roman" w:hAnsi="Times New Roman"/>
                <w:sz w:val="18"/>
                <w:szCs w:val="18"/>
                <w:color w:val="auto"/>
              </w:rPr>
              <w:t>Business Reporting Language): (1) Southwest Gas Holdings, Inc. and Subsidiaries Condensed Consolidated</w:t>
            </w:r>
          </w:p>
        </w:tc>
      </w:tr>
      <w:tr>
        <w:trPr>
          <w:trHeight w:val="175"/>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Balance Sheets, (ii) Southwest Gas Holdings, Inc. and Subsidiaries Condensed Consolidated Statements of</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60" w:type="dxa"/>
            <w:vAlign w:val="bottom"/>
            <w:gridSpan w:val="20"/>
          </w:tcPr>
          <w:p>
            <w:pPr>
              <w:spacing w:after="0" w:line="184" w:lineRule="exact"/>
              <w:rPr>
                <w:sz w:val="20"/>
                <w:szCs w:val="20"/>
                <w:color w:val="auto"/>
              </w:rPr>
            </w:pPr>
            <w:r>
              <w:rPr>
                <w:rFonts w:ascii="Times New Roman" w:cs="Times New Roman" w:eastAsia="Times New Roman" w:hAnsi="Times New Roman"/>
                <w:sz w:val="18"/>
                <w:szCs w:val="18"/>
                <w:color w:val="auto"/>
              </w:rPr>
              <w:t>Income,  (iii)  Southwest  Gas  Holdings,  Inc.  and  Subsidiaries  Condensed  Consolidated  Statements  of</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60" w:type="dxa"/>
            <w:vAlign w:val="bottom"/>
            <w:gridSpan w:val="20"/>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(iv)  Southwest  Gas  Holdings,  Inc.  and  Subsidiaries  Condensed  Consolidated</w:t>
            </w:r>
          </w:p>
        </w:tc>
      </w:tr>
      <w:tr>
        <w:trPr>
          <w:trHeight w:val="175"/>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204"/>
        </w:trPr>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gridSpan w:val="20"/>
          </w:tcPr>
          <w:p>
            <w:pPr>
              <w:spacing w:after="0" w:line="204" w:lineRule="exact"/>
              <w:rPr>
                <w:sz w:val="20"/>
                <w:szCs w:val="20"/>
                <w:color w:val="auto"/>
              </w:rPr>
            </w:pPr>
            <w:r>
              <w:rPr>
                <w:rFonts w:ascii="Times New Roman" w:cs="Times New Roman" w:eastAsia="Times New Roman" w:hAnsi="Times New Roman"/>
                <w:sz w:val="18"/>
                <w:szCs w:val="18"/>
                <w:color w:val="auto"/>
              </w:rPr>
              <w:t>Statements of Equity, (vi) Southwest Gas Corporation and Subsidiaries Condensed Consolidated Balance Sheets,</w:t>
            </w:r>
          </w:p>
        </w:tc>
      </w:tr>
    </w:tbl>
    <w:p>
      <w:pPr>
        <w:jc w:val="both"/>
        <w:ind w:left="1640" w:right="359" w:firstLine="6"/>
        <w:spacing w:after="0" w:line="203" w:lineRule="auto"/>
        <w:tabs>
          <w:tab w:leader="none" w:pos="20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Corporation and Subsidiaries Condensed Consolidated Statements of Income, (viii) Southwest Gas Corporation and Subsidiaries Condensed Consolidated Statements of Comprehensive Income,</w:t>
      </w:r>
    </w:p>
    <w:p>
      <w:pPr>
        <w:jc w:val="both"/>
        <w:ind w:left="1640" w:right="339" w:firstLine="6"/>
        <w:spacing w:after="0" w:line="218" w:lineRule="auto"/>
        <w:tabs>
          <w:tab w:leader="none" w:pos="19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Corporation and Subsidiaries Condensed Consolidated Statements of Cash Flows, (x) Southwest Gas Corporation and Subsidiaries Condensed Consolidated Statements of Equity. The instance document does not appear in the Interactive Data File because its XBRL tags are embedded within the Inline XBRL document.</w:t>
      </w:r>
    </w:p>
    <w:p>
      <w:pPr>
        <w:spacing w:after="0" w:line="65"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9"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5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June 30, 2024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June 30, 2024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June 30, 2024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June 30, 2024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7"/>
    </w:lvl>
  </w:abstractNum>
  <w:abstractNum w:abstractNumId="12">
    <w:nsid w:val="25E45D32"/>
    <w:multiLevelType w:val="hybridMultilevel"/>
    <w:lvl w:ilvl="0">
      <w:lvlJc w:val="left"/>
      <w:lvlText w:val="(%1)"/>
      <w:numFmt w:val="lowerRoman"/>
      <w:start w:val="9"/>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53" Type="http://schemas.openxmlformats.org/officeDocument/2006/relationships/hyperlink" Target="https://www.sec.gov/Archives/edgar/data/1692115/000119312524133275/d831494dex101.htm" TargetMode="External"/><Relationship Id="rId54" Type="http://schemas.openxmlformats.org/officeDocument/2006/relationships/hyperlink" Target="https://www.sec.gov/Archives/edgar/data/1692115/000119312524133275/d831494dex102.htm" TargetMode="External"/><Relationship Id="rId55" Type="http://schemas.openxmlformats.org/officeDocument/2006/relationships/hyperlink" Target="https://www.sec.gov/Archives/edgar/data/1692115/000119312524133275/d831494dex103.htm" TargetMode="External"/><Relationship Id="rId56" Type="http://schemas.openxmlformats.org/officeDocument/2006/relationships/hyperlink" Target="https://www.sec.gov/Archives/edgar/data/1692115/000119312524133275/d831494dex104.htm" TargetMode="External"/><Relationship Id="rId57" Type="http://schemas.openxmlformats.org/officeDocument/2006/relationships/hyperlink" Target="https://www.sec.gov/Archives/edgar/data/1692115/000119312524133275/d831494dex105.htm" TargetMode="External"/><Relationship Id="rId58" Type="http://schemas.openxmlformats.org/officeDocument/2006/relationships/hyperlink" Target="https://www.sec.gov/Archives/edgar/data/1692115/000119312524133275/d831494dex106.htm" TargetMode="External"/><Relationship Id="rId59" Type="http://schemas.openxmlformats.org/officeDocument/2006/relationships/hyperlink" Target="https://www.sec.gov/Archives/edgar/data/1692115/000119312524136145/d833764dex101.htm" TargetMode="External"/><Relationship Id="rId60" Type="http://schemas.openxmlformats.org/officeDocument/2006/relationships/hyperlink" Target="https://www.sec.gov/Archives/edgar/data/1692115/000119312524099073/d823906dex101.htm" TargetMode="External"/><Relationship Id="rId61" Type="http://schemas.openxmlformats.org/officeDocument/2006/relationships/hyperlink" Target="https://www.sec.gov/Archives/edgar/data/1692115/000119312524099073/d823906dex102.htm" TargetMode="External"/><Relationship Id="rId62" Type="http://schemas.openxmlformats.org/officeDocument/2006/relationships/hyperlink" Target="https://www.sec.gov/Archives/edgar/data/1692115/000119312524099073/d82390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2024-08-06T07:21:12Z</dcterms:created>
  <dcterms:modified xsi:type="dcterms:W3CDTF">2024-08-06T07:21:12Z</dcterms:modified>
</cp:coreProperties>
</file>